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82F4C" w14:textId="77777777" w:rsidR="00C35D07" w:rsidRDefault="00C35D07" w:rsidP="004A3C21">
      <w:pPr>
        <w:jc w:val="center"/>
        <w:rPr>
          <w:b/>
          <w:bCs/>
          <w:rtl/>
          <w:lang w:bidi="he-IL"/>
        </w:rPr>
      </w:pPr>
    </w:p>
    <w:p w14:paraId="27252709" w14:textId="77777777" w:rsidR="0034734E" w:rsidRDefault="0034734E" w:rsidP="004A3C21">
      <w:pPr>
        <w:jc w:val="center"/>
        <w:rPr>
          <w:b/>
          <w:bCs/>
          <w:lang w:bidi="he-IL"/>
        </w:rPr>
      </w:pPr>
    </w:p>
    <w:p w14:paraId="4BC560BC" w14:textId="77777777" w:rsidR="0034734E" w:rsidRDefault="0034734E" w:rsidP="004A3C21">
      <w:pPr>
        <w:jc w:val="center"/>
        <w:rPr>
          <w:b/>
          <w:bCs/>
          <w:lang w:bidi="he-IL"/>
        </w:rPr>
      </w:pPr>
    </w:p>
    <w:p w14:paraId="25C3A389" w14:textId="77777777" w:rsidR="002E76E0" w:rsidRDefault="002E76E0" w:rsidP="004A3C21">
      <w:pPr>
        <w:jc w:val="center"/>
        <w:rPr>
          <w:b/>
          <w:bCs/>
          <w:lang w:bidi="he-IL"/>
        </w:rPr>
      </w:pPr>
    </w:p>
    <w:p w14:paraId="02232B3F" w14:textId="77777777" w:rsidR="002E76E0" w:rsidRDefault="002E76E0" w:rsidP="004A3C21">
      <w:pPr>
        <w:jc w:val="center"/>
        <w:rPr>
          <w:b/>
          <w:bCs/>
          <w:lang w:bidi="he-IL"/>
        </w:rPr>
      </w:pPr>
    </w:p>
    <w:p w14:paraId="46A048D5" w14:textId="77777777" w:rsidR="002E76E0" w:rsidRDefault="002E76E0" w:rsidP="004A3C21">
      <w:pPr>
        <w:jc w:val="center"/>
        <w:rPr>
          <w:b/>
          <w:bCs/>
          <w:lang w:bidi="he-IL"/>
        </w:rPr>
      </w:pPr>
    </w:p>
    <w:p w14:paraId="5EE88FF1" w14:textId="77777777" w:rsidR="002E76E0" w:rsidRDefault="002E76E0" w:rsidP="004A3C21">
      <w:pPr>
        <w:jc w:val="center"/>
        <w:rPr>
          <w:b/>
          <w:bCs/>
          <w:lang w:bidi="he-IL"/>
        </w:rPr>
      </w:pPr>
    </w:p>
    <w:p w14:paraId="05513A4C" w14:textId="77777777" w:rsidR="002E76E0" w:rsidRDefault="002E76E0" w:rsidP="004A3C21">
      <w:pPr>
        <w:jc w:val="center"/>
        <w:rPr>
          <w:b/>
          <w:bCs/>
          <w:lang w:bidi="he-IL"/>
        </w:rPr>
      </w:pPr>
    </w:p>
    <w:p w14:paraId="2305F4D9" w14:textId="77777777" w:rsidR="002E76E0" w:rsidRDefault="002E76E0" w:rsidP="004A3C21">
      <w:pPr>
        <w:jc w:val="center"/>
        <w:rPr>
          <w:b/>
          <w:bCs/>
          <w:lang w:bidi="he-IL"/>
        </w:rPr>
      </w:pPr>
    </w:p>
    <w:p w14:paraId="6104D5D7" w14:textId="77777777" w:rsidR="002E76E0" w:rsidRDefault="002E76E0" w:rsidP="004A3C21">
      <w:pPr>
        <w:jc w:val="center"/>
        <w:rPr>
          <w:b/>
          <w:bCs/>
          <w:lang w:bidi="he-IL"/>
        </w:rPr>
      </w:pPr>
    </w:p>
    <w:p w14:paraId="392CE474" w14:textId="77777777" w:rsidR="002E76E0" w:rsidRDefault="002E76E0" w:rsidP="004A3C21">
      <w:pPr>
        <w:jc w:val="center"/>
        <w:rPr>
          <w:b/>
          <w:bCs/>
          <w:lang w:bidi="he-IL"/>
        </w:rPr>
      </w:pPr>
    </w:p>
    <w:p w14:paraId="2C34867C" w14:textId="77777777" w:rsidR="002E76E0" w:rsidRDefault="002E76E0" w:rsidP="004A3C21">
      <w:pPr>
        <w:jc w:val="center"/>
        <w:rPr>
          <w:b/>
          <w:bCs/>
          <w:lang w:bidi="he-IL"/>
        </w:rPr>
      </w:pPr>
    </w:p>
    <w:p w14:paraId="6FD249FB" w14:textId="77777777" w:rsidR="002E76E0" w:rsidRDefault="002E76E0" w:rsidP="004A3C21">
      <w:pPr>
        <w:jc w:val="center"/>
        <w:rPr>
          <w:b/>
          <w:bCs/>
          <w:lang w:bidi="he-IL"/>
        </w:rPr>
      </w:pPr>
    </w:p>
    <w:p w14:paraId="24DE2A73" w14:textId="77777777" w:rsidR="002E76E0" w:rsidRDefault="002E76E0" w:rsidP="004A3C21">
      <w:pPr>
        <w:jc w:val="center"/>
        <w:rPr>
          <w:b/>
          <w:bCs/>
          <w:lang w:bidi="he-IL"/>
        </w:rPr>
      </w:pPr>
    </w:p>
    <w:p w14:paraId="7E26587D" w14:textId="77777777" w:rsidR="002E76E0" w:rsidRDefault="002E76E0" w:rsidP="004A3C21">
      <w:pPr>
        <w:jc w:val="center"/>
        <w:rPr>
          <w:b/>
          <w:bCs/>
          <w:lang w:bidi="he-IL"/>
        </w:rPr>
      </w:pPr>
    </w:p>
    <w:p w14:paraId="3C2B01F5" w14:textId="77777777" w:rsidR="002E76E0" w:rsidRDefault="002E76E0" w:rsidP="004A3C21">
      <w:pPr>
        <w:jc w:val="center"/>
        <w:rPr>
          <w:b/>
          <w:bCs/>
          <w:lang w:bidi="he-IL"/>
        </w:rPr>
      </w:pPr>
    </w:p>
    <w:p w14:paraId="131456C8" w14:textId="77777777" w:rsidR="002E76E0" w:rsidRDefault="002E76E0" w:rsidP="004A3C21">
      <w:pPr>
        <w:jc w:val="center"/>
        <w:rPr>
          <w:b/>
          <w:bCs/>
          <w:lang w:bidi="he-IL"/>
        </w:rPr>
      </w:pPr>
    </w:p>
    <w:p w14:paraId="0F6E9FCB" w14:textId="77777777" w:rsidR="002E76E0" w:rsidRDefault="002E76E0" w:rsidP="004A3C21">
      <w:pPr>
        <w:jc w:val="center"/>
        <w:rPr>
          <w:b/>
          <w:bCs/>
          <w:lang w:bidi="he-IL"/>
        </w:rPr>
      </w:pPr>
    </w:p>
    <w:p w14:paraId="3B8489D6" w14:textId="77777777" w:rsidR="002E76E0" w:rsidRDefault="002E76E0" w:rsidP="004A3C21">
      <w:pPr>
        <w:jc w:val="center"/>
        <w:rPr>
          <w:b/>
          <w:bCs/>
          <w:lang w:bidi="he-IL"/>
        </w:rPr>
      </w:pPr>
    </w:p>
    <w:p w14:paraId="65B87E41" w14:textId="77777777" w:rsidR="0034734E" w:rsidRDefault="0034734E" w:rsidP="004A3C21">
      <w:pPr>
        <w:jc w:val="center"/>
        <w:rPr>
          <w:b/>
          <w:bCs/>
          <w:lang w:bidi="he-IL"/>
        </w:rPr>
      </w:pPr>
    </w:p>
    <w:p w14:paraId="79A7B0C3" w14:textId="3BDF25C3" w:rsidR="008957D4" w:rsidRPr="0020502A" w:rsidRDefault="0034734E" w:rsidP="008957D4">
      <w:pPr>
        <w:jc w:val="center"/>
        <w:rPr>
          <w:b/>
          <w:bCs/>
          <w:sz w:val="36"/>
          <w:szCs w:val="36"/>
        </w:rPr>
      </w:pPr>
      <w:r w:rsidRPr="0020502A">
        <w:rPr>
          <w:b/>
          <w:bCs/>
          <w:sz w:val="36"/>
          <w:szCs w:val="36"/>
        </w:rPr>
        <w:t xml:space="preserve">AFI </w:t>
      </w:r>
      <w:r w:rsidR="00031E12" w:rsidRPr="0020502A">
        <w:rPr>
          <w:b/>
          <w:bCs/>
          <w:sz w:val="36"/>
          <w:szCs w:val="36"/>
        </w:rPr>
        <w:t xml:space="preserve">Europe </w:t>
      </w:r>
      <w:r w:rsidRPr="0020502A">
        <w:rPr>
          <w:b/>
          <w:bCs/>
          <w:sz w:val="36"/>
          <w:szCs w:val="36"/>
        </w:rPr>
        <w:t>N.V.</w:t>
      </w:r>
    </w:p>
    <w:p w14:paraId="56F80ACB" w14:textId="77777777" w:rsidR="0034734E" w:rsidRPr="0020502A" w:rsidRDefault="0034734E" w:rsidP="008957D4">
      <w:pPr>
        <w:jc w:val="center"/>
        <w:rPr>
          <w:b/>
          <w:bCs/>
          <w:sz w:val="36"/>
          <w:szCs w:val="36"/>
        </w:rPr>
      </w:pPr>
    </w:p>
    <w:p w14:paraId="5E9FA650" w14:textId="70541AAA" w:rsidR="008957D4" w:rsidRPr="0020502A" w:rsidRDefault="00031E12" w:rsidP="00461B2C">
      <w:pPr>
        <w:jc w:val="center"/>
        <w:outlineLvl w:val="1"/>
        <w:rPr>
          <w:b/>
          <w:bCs/>
          <w:sz w:val="36"/>
          <w:szCs w:val="36"/>
        </w:rPr>
      </w:pPr>
      <w:bookmarkStart w:id="0" w:name="H1_Consolidated_financial_statements_"/>
      <w:r w:rsidRPr="0020502A">
        <w:rPr>
          <w:b/>
          <w:bCs/>
          <w:sz w:val="36"/>
          <w:szCs w:val="36"/>
        </w:rPr>
        <w:t xml:space="preserve">Consolidated </w:t>
      </w:r>
      <w:r w:rsidR="00B37BF1" w:rsidRPr="0020502A">
        <w:rPr>
          <w:b/>
          <w:bCs/>
          <w:sz w:val="36"/>
          <w:szCs w:val="36"/>
        </w:rPr>
        <w:t xml:space="preserve">Financial Statements </w:t>
      </w:r>
      <w:r w:rsidR="00903C29">
        <w:rPr>
          <w:b/>
          <w:bCs/>
          <w:sz w:val="36"/>
          <w:szCs w:val="36"/>
        </w:rPr>
        <w:t xml:space="preserve"> </w:t>
      </w:r>
      <w:r w:rsidR="00903C29">
        <w:rPr>
          <w:b/>
          <w:bCs/>
          <w:sz w:val="36"/>
          <w:szCs w:val="36"/>
        </w:rPr>
        <w:br/>
      </w:r>
      <w:r w:rsidR="00903C29">
        <w:rPr>
          <w:b/>
          <w:bCs/>
          <w:sz w:val="36"/>
          <w:szCs w:val="36"/>
        </w:rPr>
        <w:br/>
      </w:r>
      <w:r w:rsidR="00B37BF1" w:rsidRPr="0020502A">
        <w:rPr>
          <w:b/>
          <w:bCs/>
          <w:sz w:val="36"/>
          <w:szCs w:val="36"/>
        </w:rPr>
        <w:t xml:space="preserve">As </w:t>
      </w:r>
      <w:proofErr w:type="gramStart"/>
      <w:r w:rsidR="00B37BF1" w:rsidRPr="0020502A">
        <w:rPr>
          <w:b/>
          <w:bCs/>
          <w:sz w:val="36"/>
          <w:szCs w:val="36"/>
        </w:rPr>
        <w:t>at</w:t>
      </w:r>
      <w:proofErr w:type="gramEnd"/>
      <w:r w:rsidR="00B37BF1" w:rsidRPr="0020502A">
        <w:rPr>
          <w:b/>
          <w:bCs/>
          <w:sz w:val="36"/>
          <w:szCs w:val="36"/>
        </w:rPr>
        <w:t xml:space="preserve"> </w:t>
      </w:r>
      <w:bookmarkEnd w:id="0"/>
      <w:r w:rsidRPr="0020502A">
        <w:rPr>
          <w:b/>
          <w:bCs/>
          <w:sz w:val="36"/>
          <w:szCs w:val="36"/>
        </w:rPr>
        <w:t xml:space="preserve">December </w:t>
      </w:r>
      <w:r w:rsidR="0034734E" w:rsidRPr="0020502A">
        <w:rPr>
          <w:b/>
          <w:bCs/>
          <w:sz w:val="36"/>
          <w:szCs w:val="36"/>
        </w:rPr>
        <w:t xml:space="preserve">31, </w:t>
      </w:r>
      <w:r w:rsidR="008957D4" w:rsidRPr="0020502A">
        <w:rPr>
          <w:b/>
          <w:bCs/>
          <w:sz w:val="36"/>
          <w:szCs w:val="36"/>
          <w:rtl/>
        </w:rPr>
        <w:t>202</w:t>
      </w:r>
      <w:r w:rsidR="00C74678">
        <w:rPr>
          <w:b/>
          <w:bCs/>
          <w:sz w:val="36"/>
          <w:szCs w:val="36"/>
        </w:rPr>
        <w:t>4</w:t>
      </w:r>
    </w:p>
    <w:p w14:paraId="2C08C01E" w14:textId="77777777" w:rsidR="00031E12" w:rsidRDefault="00031E12" w:rsidP="008957D4">
      <w:pPr>
        <w:jc w:val="center"/>
        <w:rPr>
          <w:b/>
          <w:bCs/>
          <w:sz w:val="32"/>
          <w:szCs w:val="32"/>
          <w:lang w:bidi="he-IL"/>
        </w:rPr>
      </w:pPr>
    </w:p>
    <w:p w14:paraId="4978BB1C" w14:textId="77777777" w:rsidR="00031E12" w:rsidRPr="00F02921" w:rsidRDefault="00031E12" w:rsidP="008957D4">
      <w:pPr>
        <w:jc w:val="center"/>
        <w:rPr>
          <w:b/>
          <w:bCs/>
          <w:sz w:val="32"/>
          <w:szCs w:val="32"/>
          <w:lang w:bidi="he-IL"/>
        </w:rPr>
      </w:pPr>
    </w:p>
    <w:p w14:paraId="0DA05BFD" w14:textId="77777777" w:rsidR="008957D4" w:rsidRDefault="008957D4" w:rsidP="008957D4">
      <w:pPr>
        <w:jc w:val="center"/>
        <w:rPr>
          <w:b/>
          <w:bCs/>
        </w:rPr>
      </w:pPr>
    </w:p>
    <w:p w14:paraId="7AD7EF2E" w14:textId="5BEE82F8" w:rsidR="008957D4" w:rsidRPr="008957D4" w:rsidRDefault="008957D4" w:rsidP="00B955D3">
      <w:pPr>
        <w:tabs>
          <w:tab w:val="left" w:pos="1650"/>
          <w:tab w:val="center" w:pos="4819"/>
        </w:tabs>
        <w:sectPr w:rsidR="008957D4" w:rsidRPr="008957D4" w:rsidSect="00593E8F">
          <w:footerReference w:type="even" r:id="rId11"/>
          <w:footerReference w:type="default" r:id="rId12"/>
          <w:endnotePr>
            <w:numFmt w:val="lowerLetter"/>
          </w:endnotePr>
          <w:type w:val="nextColumn"/>
          <w:pgSz w:w="11906" w:h="16838" w:code="1"/>
          <w:pgMar w:top="1134" w:right="1134" w:bottom="1134" w:left="1134" w:header="567" w:footer="567" w:gutter="0"/>
          <w:paperSrc w:first="15" w:other="15"/>
          <w:pgNumType w:start="0"/>
          <w:cols w:space="709"/>
          <w:bidi/>
          <w:docGrid w:linePitch="299"/>
        </w:sectPr>
      </w:pPr>
    </w:p>
    <w:p w14:paraId="48FF9FA3" w14:textId="77777777" w:rsidR="00C35D07" w:rsidRPr="0034734E" w:rsidRDefault="00C35D07" w:rsidP="004A3C21">
      <w:pPr>
        <w:tabs>
          <w:tab w:val="decimal" w:pos="8352"/>
        </w:tabs>
        <w:jc w:val="right"/>
        <w:rPr>
          <w:b/>
          <w:bCs/>
          <w:sz w:val="22"/>
          <w:szCs w:val="22"/>
        </w:rPr>
      </w:pPr>
      <w:r w:rsidRPr="0034734E">
        <w:rPr>
          <w:b/>
          <w:bCs/>
          <w:sz w:val="22"/>
          <w:szCs w:val="22"/>
        </w:rPr>
        <w:lastRenderedPageBreak/>
        <w:t>AFI Europe N.V.</w:t>
      </w:r>
    </w:p>
    <w:p w14:paraId="119C07A9" w14:textId="77777777" w:rsidR="00C35D07" w:rsidRPr="00F02921" w:rsidRDefault="00C35D07" w:rsidP="004A3C21">
      <w:pPr>
        <w:tabs>
          <w:tab w:val="decimal" w:pos="8352"/>
        </w:tabs>
        <w:rPr>
          <w:sz w:val="22"/>
          <w:szCs w:val="22"/>
        </w:rPr>
      </w:pPr>
    </w:p>
    <w:p w14:paraId="29DE90E6" w14:textId="3444DB42" w:rsidR="00C35D07" w:rsidRPr="00F02921" w:rsidRDefault="005C1F65" w:rsidP="00D34954">
      <w:pPr>
        <w:pBdr>
          <w:bottom w:val="single" w:sz="6" w:space="1" w:color="auto"/>
        </w:pBdr>
        <w:tabs>
          <w:tab w:val="decimal" w:pos="8352"/>
        </w:tabs>
        <w:rPr>
          <w:sz w:val="22"/>
          <w:szCs w:val="22"/>
          <w:lang w:bidi="he-IL"/>
        </w:rPr>
      </w:pPr>
      <w:bookmarkStart w:id="1" w:name="H2_Annual_report_for_the_year_ended_Dece"/>
      <w:r>
        <w:rPr>
          <w:b/>
          <w:sz w:val="22"/>
          <w:szCs w:val="22"/>
        </w:rPr>
        <w:t>Annual r</w:t>
      </w:r>
      <w:r w:rsidR="00C35D07" w:rsidRPr="00F02921">
        <w:rPr>
          <w:b/>
          <w:sz w:val="22"/>
          <w:szCs w:val="22"/>
        </w:rPr>
        <w:t xml:space="preserve">eport for the year ended December 31, </w:t>
      </w:r>
      <w:r w:rsidR="0040585B">
        <w:rPr>
          <w:b/>
          <w:sz w:val="22"/>
          <w:szCs w:val="22"/>
        </w:rPr>
        <w:t>202</w:t>
      </w:r>
      <w:r w:rsidR="00C74678" w:rsidRPr="00C74678">
        <w:rPr>
          <w:b/>
          <w:bCs/>
          <w:sz w:val="22"/>
          <w:szCs w:val="22"/>
          <w:lang w:bidi="he-IL"/>
        </w:rPr>
        <w:t>4</w:t>
      </w:r>
    </w:p>
    <w:bookmarkEnd w:id="1"/>
    <w:p w14:paraId="5A698B5D" w14:textId="77777777" w:rsidR="00C35D07" w:rsidRDefault="00C35D07" w:rsidP="004A3C21">
      <w:pPr>
        <w:tabs>
          <w:tab w:val="decimal" w:pos="8352"/>
        </w:tabs>
        <w:rPr>
          <w:sz w:val="22"/>
          <w:szCs w:val="22"/>
        </w:rPr>
      </w:pPr>
    </w:p>
    <w:p w14:paraId="28B39369" w14:textId="77777777" w:rsidR="0034734E" w:rsidRPr="00F02921" w:rsidRDefault="0034734E" w:rsidP="004A3C21">
      <w:pPr>
        <w:tabs>
          <w:tab w:val="decimal" w:pos="8352"/>
        </w:tabs>
        <w:rPr>
          <w:sz w:val="22"/>
          <w:szCs w:val="22"/>
        </w:rPr>
      </w:pPr>
    </w:p>
    <w:p w14:paraId="1E145763" w14:textId="77777777" w:rsidR="00C35D07" w:rsidRPr="00F02921" w:rsidRDefault="00C35D07" w:rsidP="00D34954">
      <w:pPr>
        <w:tabs>
          <w:tab w:val="decimal" w:pos="9923"/>
        </w:tabs>
        <w:outlineLvl w:val="2"/>
        <w:rPr>
          <w:sz w:val="22"/>
          <w:szCs w:val="22"/>
        </w:rPr>
      </w:pPr>
      <w:bookmarkStart w:id="2" w:name="H2_Contents"/>
      <w:r w:rsidRPr="00F02921">
        <w:rPr>
          <w:b/>
          <w:sz w:val="22"/>
          <w:szCs w:val="22"/>
        </w:rPr>
        <w:t>Contents</w:t>
      </w:r>
    </w:p>
    <w:bookmarkEnd w:id="2"/>
    <w:p w14:paraId="18EF2EF6" w14:textId="77777777" w:rsidR="00C35D07" w:rsidRPr="00F02921" w:rsidRDefault="00C35D07" w:rsidP="004A3C21">
      <w:pPr>
        <w:tabs>
          <w:tab w:val="decimal" w:pos="9923"/>
        </w:tabs>
        <w:rPr>
          <w:sz w:val="22"/>
          <w:szCs w:val="22"/>
          <w:lang w:bidi="he-IL"/>
        </w:rPr>
      </w:pPr>
    </w:p>
    <w:p w14:paraId="2AE95EAC" w14:textId="77777777" w:rsidR="00C35D07" w:rsidRPr="00F02921" w:rsidRDefault="00C35D07" w:rsidP="004A3C21">
      <w:pPr>
        <w:tabs>
          <w:tab w:val="decimal" w:pos="9923"/>
        </w:tabs>
        <w:rPr>
          <w:sz w:val="22"/>
          <w:szCs w:val="22"/>
        </w:rPr>
      </w:pPr>
    </w:p>
    <w:p w14:paraId="55E1B504" w14:textId="54473803" w:rsidR="00C35D07" w:rsidRPr="000C09AB" w:rsidRDefault="00C35D07" w:rsidP="0034734E">
      <w:pPr>
        <w:tabs>
          <w:tab w:val="left" w:pos="0"/>
          <w:tab w:val="decimal" w:pos="9072"/>
        </w:tabs>
        <w:ind w:right="-72"/>
        <w:rPr>
          <w:sz w:val="22"/>
          <w:szCs w:val="22"/>
        </w:rPr>
      </w:pPr>
      <w:r w:rsidRPr="00420397">
        <w:rPr>
          <w:sz w:val="22"/>
          <w:szCs w:val="22"/>
        </w:rPr>
        <w:t xml:space="preserve">Auditor’s </w:t>
      </w:r>
      <w:r w:rsidRPr="000C09AB">
        <w:rPr>
          <w:sz w:val="22"/>
          <w:szCs w:val="22"/>
        </w:rPr>
        <w:t>report</w:t>
      </w:r>
      <w:r w:rsidRPr="000C09AB">
        <w:rPr>
          <w:sz w:val="22"/>
          <w:szCs w:val="22"/>
        </w:rPr>
        <w:tab/>
      </w:r>
      <w:r w:rsidR="00882A6E">
        <w:rPr>
          <w:sz w:val="22"/>
          <w:szCs w:val="22"/>
        </w:rPr>
        <w:t>2-4</w:t>
      </w:r>
    </w:p>
    <w:p w14:paraId="4EEA2DB3" w14:textId="77777777" w:rsidR="00C35D07" w:rsidRPr="000C09AB" w:rsidRDefault="00C35D07" w:rsidP="004A3C21">
      <w:pPr>
        <w:tabs>
          <w:tab w:val="left" w:pos="9356"/>
          <w:tab w:val="decimal" w:pos="9923"/>
        </w:tabs>
        <w:rPr>
          <w:sz w:val="22"/>
          <w:szCs w:val="22"/>
        </w:rPr>
      </w:pPr>
    </w:p>
    <w:p w14:paraId="08E7FE4D" w14:textId="77777777" w:rsidR="00C35D07" w:rsidRPr="000C09AB" w:rsidRDefault="00C35D07" w:rsidP="004A3C21">
      <w:pPr>
        <w:tabs>
          <w:tab w:val="left" w:pos="9356"/>
          <w:tab w:val="decimal" w:pos="9923"/>
        </w:tabs>
        <w:rPr>
          <w:sz w:val="22"/>
          <w:szCs w:val="22"/>
        </w:rPr>
      </w:pPr>
    </w:p>
    <w:p w14:paraId="47139462" w14:textId="77777777" w:rsidR="00C35D07" w:rsidRPr="000C09AB" w:rsidRDefault="00C35D07" w:rsidP="004A3C21">
      <w:pPr>
        <w:tabs>
          <w:tab w:val="left" w:pos="9356"/>
          <w:tab w:val="decimal" w:pos="9923"/>
        </w:tabs>
        <w:rPr>
          <w:b/>
          <w:bCs/>
          <w:sz w:val="22"/>
          <w:szCs w:val="22"/>
        </w:rPr>
      </w:pPr>
      <w:r w:rsidRPr="000C09AB">
        <w:rPr>
          <w:b/>
          <w:bCs/>
          <w:sz w:val="22"/>
          <w:szCs w:val="22"/>
        </w:rPr>
        <w:t>Consolidated Financial Statement</w:t>
      </w:r>
      <w:r w:rsidRPr="000C09AB">
        <w:rPr>
          <w:b/>
          <w:bCs/>
          <w:sz w:val="22"/>
          <w:szCs w:val="22"/>
          <w:lang w:bidi="he-IL"/>
        </w:rPr>
        <w:t>s</w:t>
      </w:r>
      <w:r w:rsidRPr="000C09AB">
        <w:rPr>
          <w:b/>
          <w:bCs/>
          <w:sz w:val="22"/>
          <w:szCs w:val="22"/>
        </w:rPr>
        <w:t>:</w:t>
      </w:r>
    </w:p>
    <w:p w14:paraId="55304738" w14:textId="77777777" w:rsidR="00C35D07" w:rsidRPr="000C09AB" w:rsidRDefault="00C35D07" w:rsidP="004A3C21">
      <w:pPr>
        <w:tabs>
          <w:tab w:val="left" w:pos="9356"/>
          <w:tab w:val="decimal" w:pos="9923"/>
        </w:tabs>
        <w:rPr>
          <w:sz w:val="22"/>
          <w:szCs w:val="22"/>
        </w:rPr>
      </w:pPr>
    </w:p>
    <w:p w14:paraId="38292475" w14:textId="77777777" w:rsidR="00C35D07" w:rsidRPr="000C09AB" w:rsidRDefault="00C35D07" w:rsidP="004A3C21">
      <w:pPr>
        <w:tabs>
          <w:tab w:val="left" w:pos="9356"/>
          <w:tab w:val="decimal" w:pos="9923"/>
        </w:tabs>
        <w:rPr>
          <w:sz w:val="22"/>
          <w:szCs w:val="22"/>
        </w:rPr>
      </w:pPr>
    </w:p>
    <w:p w14:paraId="1D6872AD" w14:textId="4B3CBABC" w:rsidR="00C35D07" w:rsidRPr="000C09AB" w:rsidRDefault="00C35D07" w:rsidP="0034734E">
      <w:pPr>
        <w:tabs>
          <w:tab w:val="left" w:pos="0"/>
          <w:tab w:val="decimal" w:pos="9072"/>
        </w:tabs>
        <w:ind w:right="-72"/>
        <w:rPr>
          <w:sz w:val="22"/>
          <w:szCs w:val="22"/>
        </w:rPr>
      </w:pPr>
      <w:r w:rsidRPr="000C09AB">
        <w:rPr>
          <w:sz w:val="22"/>
          <w:szCs w:val="22"/>
        </w:rPr>
        <w:t>Consolidated statement of financial position</w:t>
      </w:r>
      <w:r w:rsidRPr="000C09AB">
        <w:rPr>
          <w:sz w:val="22"/>
          <w:szCs w:val="22"/>
        </w:rPr>
        <w:tab/>
      </w:r>
      <w:r w:rsidR="00882A6E">
        <w:rPr>
          <w:sz w:val="22"/>
          <w:szCs w:val="22"/>
        </w:rPr>
        <w:t>5</w:t>
      </w:r>
    </w:p>
    <w:p w14:paraId="4B0405FA" w14:textId="77777777" w:rsidR="00C35D07" w:rsidRPr="000C09AB" w:rsidRDefault="00C35D07" w:rsidP="0034734E">
      <w:pPr>
        <w:tabs>
          <w:tab w:val="left" w:pos="0"/>
          <w:tab w:val="decimal" w:pos="9072"/>
        </w:tabs>
        <w:ind w:right="-72"/>
        <w:rPr>
          <w:sz w:val="22"/>
          <w:szCs w:val="22"/>
        </w:rPr>
      </w:pPr>
    </w:p>
    <w:p w14:paraId="74662B52" w14:textId="77777777" w:rsidR="00C35D07" w:rsidRPr="000C09AB" w:rsidRDefault="00C35D07" w:rsidP="0034734E">
      <w:pPr>
        <w:tabs>
          <w:tab w:val="left" w:pos="0"/>
          <w:tab w:val="decimal" w:pos="9072"/>
        </w:tabs>
        <w:ind w:right="-72"/>
        <w:rPr>
          <w:sz w:val="22"/>
          <w:szCs w:val="22"/>
        </w:rPr>
      </w:pPr>
    </w:p>
    <w:p w14:paraId="0E98F163" w14:textId="73D48A7F" w:rsidR="00C35D07" w:rsidRPr="000C09AB" w:rsidRDefault="00C35D07" w:rsidP="0034734E">
      <w:pPr>
        <w:tabs>
          <w:tab w:val="left" w:pos="0"/>
          <w:tab w:val="decimal" w:pos="9072"/>
        </w:tabs>
        <w:ind w:right="-72"/>
        <w:rPr>
          <w:sz w:val="22"/>
          <w:szCs w:val="22"/>
        </w:rPr>
      </w:pPr>
      <w:r w:rsidRPr="000C09AB">
        <w:rPr>
          <w:sz w:val="22"/>
          <w:szCs w:val="22"/>
        </w:rPr>
        <w:t>Consolidated income statement</w:t>
      </w:r>
      <w:r w:rsidRPr="000C09AB">
        <w:rPr>
          <w:sz w:val="22"/>
          <w:szCs w:val="22"/>
        </w:rPr>
        <w:tab/>
      </w:r>
      <w:r w:rsidR="00882A6E">
        <w:rPr>
          <w:sz w:val="22"/>
          <w:szCs w:val="22"/>
        </w:rPr>
        <w:t>6</w:t>
      </w:r>
    </w:p>
    <w:p w14:paraId="1C711B8A" w14:textId="77777777" w:rsidR="00C35D07" w:rsidRPr="000C09AB" w:rsidRDefault="00C35D07" w:rsidP="0034734E">
      <w:pPr>
        <w:tabs>
          <w:tab w:val="left" w:pos="0"/>
          <w:tab w:val="decimal" w:pos="9072"/>
        </w:tabs>
        <w:ind w:right="-72"/>
        <w:rPr>
          <w:sz w:val="22"/>
          <w:szCs w:val="22"/>
        </w:rPr>
      </w:pPr>
    </w:p>
    <w:p w14:paraId="3A3A35EE" w14:textId="77777777" w:rsidR="00C35D07" w:rsidRPr="000C09AB" w:rsidRDefault="00C35D07" w:rsidP="0034734E">
      <w:pPr>
        <w:tabs>
          <w:tab w:val="left" w:pos="0"/>
          <w:tab w:val="decimal" w:pos="9072"/>
        </w:tabs>
        <w:ind w:right="-72"/>
        <w:rPr>
          <w:sz w:val="22"/>
          <w:szCs w:val="22"/>
        </w:rPr>
      </w:pPr>
    </w:p>
    <w:p w14:paraId="6633B929" w14:textId="3BD21FED" w:rsidR="00C35D07" w:rsidRPr="000C09AB" w:rsidRDefault="00C35D07" w:rsidP="0034734E">
      <w:pPr>
        <w:tabs>
          <w:tab w:val="left" w:pos="0"/>
          <w:tab w:val="decimal" w:pos="9072"/>
        </w:tabs>
        <w:ind w:right="-72"/>
        <w:rPr>
          <w:sz w:val="22"/>
          <w:szCs w:val="22"/>
        </w:rPr>
      </w:pPr>
      <w:r w:rsidRPr="000C09AB">
        <w:rPr>
          <w:sz w:val="22"/>
          <w:szCs w:val="22"/>
        </w:rPr>
        <w:t>Consolidated statement of comprehensive income</w:t>
      </w:r>
      <w:r w:rsidRPr="000C09AB">
        <w:rPr>
          <w:sz w:val="22"/>
          <w:szCs w:val="22"/>
        </w:rPr>
        <w:tab/>
      </w:r>
      <w:r w:rsidR="00882A6E">
        <w:rPr>
          <w:sz w:val="22"/>
          <w:szCs w:val="22"/>
        </w:rPr>
        <w:t>7</w:t>
      </w:r>
    </w:p>
    <w:p w14:paraId="69534198" w14:textId="77777777" w:rsidR="00C35D07" w:rsidRPr="000C09AB" w:rsidRDefault="00C35D07" w:rsidP="0034734E">
      <w:pPr>
        <w:tabs>
          <w:tab w:val="left" w:pos="0"/>
          <w:tab w:val="decimal" w:pos="9072"/>
        </w:tabs>
        <w:ind w:right="-72"/>
        <w:rPr>
          <w:sz w:val="22"/>
          <w:szCs w:val="22"/>
        </w:rPr>
      </w:pPr>
    </w:p>
    <w:p w14:paraId="3A084D0B" w14:textId="77777777" w:rsidR="00C35D07" w:rsidRPr="000C09AB" w:rsidRDefault="00C35D07" w:rsidP="0034734E">
      <w:pPr>
        <w:tabs>
          <w:tab w:val="left" w:pos="0"/>
          <w:tab w:val="decimal" w:pos="9072"/>
        </w:tabs>
        <w:ind w:right="-72"/>
        <w:rPr>
          <w:sz w:val="22"/>
          <w:szCs w:val="22"/>
        </w:rPr>
      </w:pPr>
    </w:p>
    <w:p w14:paraId="6B807D41" w14:textId="071F8F42" w:rsidR="00C35D07" w:rsidRPr="000C09AB" w:rsidRDefault="00C35D07" w:rsidP="0034734E">
      <w:pPr>
        <w:tabs>
          <w:tab w:val="left" w:pos="0"/>
          <w:tab w:val="decimal" w:pos="9072"/>
        </w:tabs>
        <w:ind w:right="-72"/>
        <w:rPr>
          <w:sz w:val="22"/>
          <w:szCs w:val="22"/>
        </w:rPr>
      </w:pPr>
      <w:r w:rsidRPr="000C09AB">
        <w:rPr>
          <w:sz w:val="22"/>
          <w:szCs w:val="22"/>
        </w:rPr>
        <w:t>Consolidated statement of changes in equity</w:t>
      </w:r>
      <w:r w:rsidRPr="000C09AB">
        <w:rPr>
          <w:sz w:val="22"/>
          <w:szCs w:val="22"/>
        </w:rPr>
        <w:tab/>
      </w:r>
      <w:r w:rsidR="00882A6E">
        <w:rPr>
          <w:sz w:val="22"/>
          <w:szCs w:val="22"/>
        </w:rPr>
        <w:t>8</w:t>
      </w:r>
    </w:p>
    <w:p w14:paraId="3B5213C9" w14:textId="77777777" w:rsidR="00C35D07" w:rsidRPr="000C09AB" w:rsidRDefault="00C35D07" w:rsidP="0034734E">
      <w:pPr>
        <w:tabs>
          <w:tab w:val="left" w:pos="0"/>
          <w:tab w:val="decimal" w:pos="9072"/>
        </w:tabs>
        <w:ind w:right="-72"/>
        <w:rPr>
          <w:sz w:val="22"/>
          <w:szCs w:val="22"/>
        </w:rPr>
      </w:pPr>
    </w:p>
    <w:p w14:paraId="56CDD285" w14:textId="77777777" w:rsidR="00C35D07" w:rsidRPr="000C09AB" w:rsidRDefault="00C35D07" w:rsidP="0034734E">
      <w:pPr>
        <w:tabs>
          <w:tab w:val="left" w:pos="0"/>
          <w:tab w:val="decimal" w:pos="9072"/>
        </w:tabs>
        <w:ind w:right="-72"/>
        <w:rPr>
          <w:sz w:val="22"/>
          <w:szCs w:val="22"/>
        </w:rPr>
      </w:pPr>
    </w:p>
    <w:p w14:paraId="3112239D" w14:textId="61A17B1D" w:rsidR="00C35D07" w:rsidRPr="000C09AB" w:rsidRDefault="00C35D07" w:rsidP="0034734E">
      <w:pPr>
        <w:tabs>
          <w:tab w:val="left" w:pos="0"/>
          <w:tab w:val="decimal" w:pos="9072"/>
        </w:tabs>
        <w:ind w:right="-72"/>
        <w:rPr>
          <w:sz w:val="22"/>
          <w:szCs w:val="22"/>
        </w:rPr>
      </w:pPr>
      <w:r w:rsidRPr="000C09AB">
        <w:rPr>
          <w:sz w:val="22"/>
          <w:szCs w:val="22"/>
        </w:rPr>
        <w:t>Consolidated statement of cash flows</w:t>
      </w:r>
      <w:r w:rsidRPr="000C09AB">
        <w:rPr>
          <w:sz w:val="22"/>
          <w:szCs w:val="22"/>
        </w:rPr>
        <w:tab/>
      </w:r>
      <w:r w:rsidR="00882A6E">
        <w:rPr>
          <w:sz w:val="22"/>
          <w:szCs w:val="22"/>
        </w:rPr>
        <w:t>9-10</w:t>
      </w:r>
    </w:p>
    <w:p w14:paraId="1FED1C13" w14:textId="77777777" w:rsidR="00C35D07" w:rsidRPr="000C09AB" w:rsidRDefault="00C35D07" w:rsidP="0034734E">
      <w:pPr>
        <w:tabs>
          <w:tab w:val="left" w:pos="0"/>
          <w:tab w:val="decimal" w:pos="9072"/>
        </w:tabs>
        <w:ind w:right="-72"/>
        <w:rPr>
          <w:sz w:val="22"/>
          <w:szCs w:val="22"/>
        </w:rPr>
      </w:pPr>
    </w:p>
    <w:p w14:paraId="665AB6CD" w14:textId="77777777" w:rsidR="00C35D07" w:rsidRPr="000C09AB" w:rsidRDefault="00C35D07" w:rsidP="0034734E">
      <w:pPr>
        <w:tabs>
          <w:tab w:val="left" w:pos="0"/>
          <w:tab w:val="decimal" w:pos="9072"/>
        </w:tabs>
        <w:ind w:right="-72"/>
        <w:rPr>
          <w:sz w:val="22"/>
          <w:szCs w:val="22"/>
        </w:rPr>
      </w:pPr>
    </w:p>
    <w:p w14:paraId="4123D5A0" w14:textId="5BEB2C8C" w:rsidR="00C35D07" w:rsidRPr="00F02921" w:rsidRDefault="00C35D07" w:rsidP="0034734E">
      <w:pPr>
        <w:tabs>
          <w:tab w:val="left" w:pos="0"/>
          <w:tab w:val="decimal" w:pos="9072"/>
        </w:tabs>
        <w:ind w:right="-72"/>
        <w:rPr>
          <w:sz w:val="22"/>
          <w:szCs w:val="22"/>
          <w:rtl/>
          <w:lang w:bidi="he-IL"/>
        </w:rPr>
      </w:pPr>
      <w:r w:rsidRPr="003E54EC">
        <w:rPr>
          <w:sz w:val="22"/>
          <w:szCs w:val="22"/>
        </w:rPr>
        <w:t>Notes to the consolidated financial statements</w:t>
      </w:r>
      <w:r w:rsidRPr="003E54EC">
        <w:rPr>
          <w:sz w:val="22"/>
          <w:szCs w:val="22"/>
        </w:rPr>
        <w:tab/>
      </w:r>
      <w:r w:rsidR="00882A6E" w:rsidRPr="00E43187">
        <w:rPr>
          <w:sz w:val="22"/>
          <w:szCs w:val="22"/>
        </w:rPr>
        <w:t>11</w:t>
      </w:r>
      <w:r w:rsidR="00746F92" w:rsidRPr="00E43187">
        <w:rPr>
          <w:sz w:val="22"/>
          <w:szCs w:val="22"/>
        </w:rPr>
        <w:t>-</w:t>
      </w:r>
      <w:r w:rsidR="00E85D90" w:rsidRPr="00E43187">
        <w:rPr>
          <w:sz w:val="22"/>
          <w:szCs w:val="22"/>
          <w:rtl/>
          <w:lang w:bidi="he-IL"/>
        </w:rPr>
        <w:t>7</w:t>
      </w:r>
      <w:r w:rsidR="006766A0" w:rsidRPr="00B22C9B">
        <w:rPr>
          <w:sz w:val="22"/>
          <w:szCs w:val="22"/>
          <w:lang w:bidi="he-IL"/>
        </w:rPr>
        <w:t>1</w:t>
      </w:r>
    </w:p>
    <w:p w14:paraId="16C73E55" w14:textId="77777777" w:rsidR="00C35D07" w:rsidRPr="00F02921" w:rsidRDefault="00C35D07" w:rsidP="004A3C21">
      <w:pPr>
        <w:tabs>
          <w:tab w:val="decimal" w:pos="9923"/>
        </w:tabs>
        <w:rPr>
          <w:sz w:val="22"/>
          <w:szCs w:val="22"/>
        </w:rPr>
      </w:pPr>
    </w:p>
    <w:p w14:paraId="74AF093C" w14:textId="77777777" w:rsidR="00C35D07" w:rsidRPr="00F02921" w:rsidRDefault="00C35D07" w:rsidP="004A3C21">
      <w:pPr>
        <w:tabs>
          <w:tab w:val="decimal" w:pos="9923"/>
        </w:tabs>
        <w:rPr>
          <w:sz w:val="22"/>
          <w:szCs w:val="22"/>
        </w:rPr>
      </w:pPr>
    </w:p>
    <w:p w14:paraId="7A023223" w14:textId="77777777" w:rsidR="00C35D07" w:rsidRPr="00F02921" w:rsidRDefault="00C35D07" w:rsidP="004A3C21">
      <w:pPr>
        <w:tabs>
          <w:tab w:val="decimal" w:pos="9923"/>
        </w:tabs>
        <w:rPr>
          <w:sz w:val="22"/>
          <w:szCs w:val="22"/>
        </w:rPr>
      </w:pPr>
    </w:p>
    <w:p w14:paraId="414A65EC" w14:textId="77777777" w:rsidR="00C35D07" w:rsidRPr="00F02921" w:rsidRDefault="00C35D07" w:rsidP="004A3C21">
      <w:pPr>
        <w:tabs>
          <w:tab w:val="decimal" w:pos="9923"/>
        </w:tabs>
        <w:rPr>
          <w:sz w:val="22"/>
          <w:szCs w:val="22"/>
        </w:rPr>
      </w:pPr>
    </w:p>
    <w:p w14:paraId="5E34D64A" w14:textId="77777777" w:rsidR="00C35D07" w:rsidRPr="00F02921" w:rsidRDefault="00C35D07" w:rsidP="00223B49">
      <w:pPr>
        <w:pStyle w:val="NormalWeb"/>
        <w:spacing w:before="0" w:beforeAutospacing="0" w:after="0" w:afterAutospacing="0"/>
        <w:jc w:val="both"/>
        <w:rPr>
          <w:sz w:val="22"/>
          <w:szCs w:val="22"/>
        </w:rPr>
      </w:pPr>
    </w:p>
    <w:p w14:paraId="4824183F" w14:textId="77777777" w:rsidR="00A619F2" w:rsidRDefault="00A619F2" w:rsidP="00302707">
      <w:pPr>
        <w:pStyle w:val="Normal1"/>
        <w:spacing w:line="480" w:lineRule="auto"/>
        <w:rPr>
          <w:rFonts w:cs="Narkisim"/>
          <w:b/>
          <w:bCs/>
        </w:rPr>
        <w:sectPr w:rsidR="00A619F2" w:rsidSect="00593E8F">
          <w:headerReference w:type="default" r:id="rId13"/>
          <w:footerReference w:type="default" r:id="rId14"/>
          <w:endnotePr>
            <w:numFmt w:val="lowerLetter"/>
          </w:endnotePr>
          <w:type w:val="nextColumn"/>
          <w:pgSz w:w="11906" w:h="16838"/>
          <w:pgMar w:top="1134" w:right="1134" w:bottom="1134" w:left="1134" w:header="567" w:footer="567" w:gutter="0"/>
          <w:paperSrc w:first="15" w:other="15"/>
          <w:pgNumType w:start="2"/>
          <w:cols w:space="720"/>
          <w:bidi/>
          <w:docGrid w:linePitch="326"/>
        </w:sectPr>
      </w:pPr>
      <w:bookmarkStart w:id="3" w:name="_Hlk34657124"/>
      <w:bookmarkStart w:id="4" w:name="H2_AUDITORS_REPORT_To_the_Shareholders_o"/>
    </w:p>
    <w:p w14:paraId="5E8F3148" w14:textId="77777777" w:rsidR="00110844" w:rsidRPr="000408FE" w:rsidRDefault="00110844" w:rsidP="00110844">
      <w:pPr>
        <w:pStyle w:val="a6"/>
        <w:rPr>
          <w:bCs/>
          <w:iCs/>
          <w:color w:val="808080"/>
          <w:kern w:val="12"/>
          <w:sz w:val="15"/>
          <w:szCs w:val="15"/>
        </w:rPr>
      </w:pPr>
      <w:r w:rsidRPr="000408FE">
        <w:rPr>
          <w:bCs/>
          <w:iCs/>
          <w:noProof/>
          <w:color w:val="808080"/>
          <w:kern w:val="12"/>
          <w:sz w:val="15"/>
          <w:szCs w:val="15"/>
        </w:rPr>
        <w:lastRenderedPageBreak/>
        <w:drawing>
          <wp:anchor distT="0" distB="0" distL="114300" distR="114300" simplePos="0" relativeHeight="251660288" behindDoc="1" locked="0" layoutInCell="1" allowOverlap="1" wp14:anchorId="373E81E5" wp14:editId="1511AE0B">
            <wp:simplePos x="0" y="0"/>
            <wp:positionH relativeFrom="margin">
              <wp:posOffset>-12396</wp:posOffset>
            </wp:positionH>
            <wp:positionV relativeFrom="page">
              <wp:posOffset>301625</wp:posOffset>
            </wp:positionV>
            <wp:extent cx="768096" cy="896112"/>
            <wp:effectExtent l="0" t="0" r="0" b="0"/>
            <wp:wrapNone/>
            <wp:docPr id="4" name="Pictur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Picture 2">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68096" cy="896112"/>
                    </a:xfrm>
                    <a:prstGeom prst="rect">
                      <a:avLst/>
                    </a:prstGeom>
                    <a:noFill/>
                    <a:ln>
                      <a:noFill/>
                    </a:ln>
                    <a:effectLst/>
                  </pic:spPr>
                </pic:pic>
              </a:graphicData>
            </a:graphic>
          </wp:anchor>
        </w:drawing>
      </w:r>
      <w:r w:rsidRPr="000408FE">
        <w:rPr>
          <w:bCs/>
          <w:iCs/>
          <w:noProof/>
          <w:color w:val="808080"/>
          <w:kern w:val="12"/>
          <w:sz w:val="15"/>
          <w:szCs w:val="15"/>
        </w:rPr>
        <mc:AlternateContent>
          <mc:Choice Requires="wps">
            <w:drawing>
              <wp:anchor distT="0" distB="0" distL="114300" distR="114300" simplePos="0" relativeHeight="251657216" behindDoc="0" locked="1" layoutInCell="1" allowOverlap="1" wp14:anchorId="3BE39A9E" wp14:editId="645063ED">
                <wp:simplePos x="0" y="0"/>
                <wp:positionH relativeFrom="page">
                  <wp:posOffset>2120900</wp:posOffset>
                </wp:positionH>
                <wp:positionV relativeFrom="page">
                  <wp:posOffset>609600</wp:posOffset>
                </wp:positionV>
                <wp:extent cx="3962400" cy="406400"/>
                <wp:effectExtent l="0" t="0" r="0" b="0"/>
                <wp:wrapSquare wrapText="bothSides"/>
                <wp:docPr id="1" name="Text Box 2" descr="פרטי קשר רואה חשבון"/>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2977"/>
                              <w:gridCol w:w="142"/>
                              <w:gridCol w:w="1701"/>
                            </w:tblGrid>
                            <w:tr w:rsidR="00110844" w14:paraId="1E68CFAA" w14:textId="77777777" w:rsidTr="008176EC">
                              <w:tc>
                                <w:tcPr>
                                  <w:tcW w:w="2977" w:type="dxa"/>
                                </w:tcPr>
                                <w:p w14:paraId="2461AB12" w14:textId="77777777" w:rsidR="00110844" w:rsidRPr="005E0021" w:rsidRDefault="00110844" w:rsidP="000805C9">
                                  <w:pPr>
                                    <w:pStyle w:val="EYBusinessaddress"/>
                                    <w:rPr>
                                      <w:rFonts w:asciiTheme="minorBidi" w:hAnsiTheme="minorBidi" w:cstheme="minorBidi"/>
                                      <w:b/>
                                      <w:bCs/>
                                    </w:rPr>
                                  </w:pPr>
                                  <w:r w:rsidRPr="005E0021">
                                    <w:rPr>
                                      <w:rFonts w:asciiTheme="minorBidi" w:hAnsiTheme="minorBidi" w:cstheme="minorBidi"/>
                                      <w:b/>
                                      <w:bCs/>
                                    </w:rPr>
                                    <w:t>Kost Forer Gabbay &amp; Kasierer</w:t>
                                  </w:r>
                                </w:p>
                                <w:p w14:paraId="51EC8ED4" w14:textId="77777777" w:rsidR="00110844" w:rsidRPr="005E0021" w:rsidRDefault="00110844" w:rsidP="000805C9">
                                  <w:pPr>
                                    <w:rPr>
                                      <w:rFonts w:asciiTheme="minorBidi" w:hAnsiTheme="minorBidi" w:cstheme="minorBidi"/>
                                      <w:bCs/>
                                      <w:iCs/>
                                      <w:color w:val="808080"/>
                                      <w:kern w:val="12"/>
                                      <w:sz w:val="15"/>
                                      <w:szCs w:val="15"/>
                                    </w:rPr>
                                  </w:pPr>
                                  <w:r w:rsidRPr="005E0021">
                                    <w:rPr>
                                      <w:rFonts w:asciiTheme="minorBidi" w:hAnsiTheme="minorBidi" w:cstheme="minorBidi"/>
                                      <w:bCs/>
                                      <w:iCs/>
                                      <w:color w:val="808080"/>
                                      <w:kern w:val="12"/>
                                      <w:sz w:val="15"/>
                                      <w:szCs w:val="15"/>
                                    </w:rPr>
                                    <w:t xml:space="preserve">144 Menachem Begin Road, Building A </w:t>
                                  </w:r>
                                </w:p>
                                <w:p w14:paraId="7B304B2E" w14:textId="77777777" w:rsidR="00110844" w:rsidRPr="005E0021" w:rsidRDefault="00110844" w:rsidP="000805C9">
                                  <w:pPr>
                                    <w:pStyle w:val="EYBusinessaddress"/>
                                    <w:rPr>
                                      <w:rFonts w:asciiTheme="minorBidi" w:hAnsiTheme="minorBidi" w:cstheme="minorBidi"/>
                                    </w:rPr>
                                  </w:pPr>
                                  <w:r w:rsidRPr="005E0021">
                                    <w:rPr>
                                      <w:rFonts w:asciiTheme="minorBidi" w:hAnsiTheme="minorBidi" w:cstheme="minorBidi"/>
                                      <w:bCs/>
                                      <w:iCs/>
                                      <w:szCs w:val="15"/>
                                    </w:rPr>
                                    <w:t>Tel-Aviv 6492102, Israel</w:t>
                                  </w:r>
                                </w:p>
                                <w:p w14:paraId="06C120B2" w14:textId="77777777" w:rsidR="00110844" w:rsidRPr="005E0021" w:rsidRDefault="00110844" w:rsidP="000805C9">
                                  <w:pPr>
                                    <w:pStyle w:val="EYBusinessaddress"/>
                                    <w:rPr>
                                      <w:rFonts w:asciiTheme="minorBidi" w:hAnsiTheme="minorBidi" w:cstheme="minorBidi"/>
                                    </w:rPr>
                                  </w:pPr>
                                </w:p>
                              </w:tc>
                              <w:tc>
                                <w:tcPr>
                                  <w:tcW w:w="142" w:type="dxa"/>
                                </w:tcPr>
                                <w:p w14:paraId="3A0FFF3E" w14:textId="77777777" w:rsidR="00110844" w:rsidRPr="005E0021" w:rsidRDefault="00110844" w:rsidP="000805C9">
                                  <w:pPr>
                                    <w:pStyle w:val="EYBusinessaddress"/>
                                    <w:rPr>
                                      <w:rFonts w:asciiTheme="minorBidi" w:hAnsiTheme="minorBidi" w:cstheme="minorBidi"/>
                                    </w:rPr>
                                  </w:pPr>
                                </w:p>
                              </w:tc>
                              <w:tc>
                                <w:tcPr>
                                  <w:tcW w:w="1701" w:type="dxa"/>
                                </w:tcPr>
                                <w:p w14:paraId="12BFB84E" w14:textId="77777777" w:rsidR="00110844" w:rsidRPr="005E0021" w:rsidRDefault="00110844" w:rsidP="000805C9">
                                  <w:pPr>
                                    <w:pStyle w:val="EYBusinessaddress"/>
                                    <w:rPr>
                                      <w:rFonts w:asciiTheme="minorBidi" w:hAnsiTheme="minorBidi" w:cstheme="minorBidi"/>
                                      <w:szCs w:val="15"/>
                                      <w:lang w:bidi="he-IL"/>
                                    </w:rPr>
                                  </w:pPr>
                                  <w:r w:rsidRPr="005E0021">
                                    <w:rPr>
                                      <w:rFonts w:asciiTheme="minorBidi" w:hAnsiTheme="minorBidi" w:cstheme="minorBidi"/>
                                      <w:szCs w:val="15"/>
                                    </w:rPr>
                                    <w:t xml:space="preserve">Tel: </w:t>
                                  </w:r>
                                  <w:r w:rsidRPr="005E0021">
                                    <w:rPr>
                                      <w:rFonts w:asciiTheme="minorBidi" w:hAnsiTheme="minorBidi" w:cstheme="minorBidi"/>
                                      <w:bCs/>
                                      <w:iCs/>
                                      <w:szCs w:val="15"/>
                                    </w:rPr>
                                    <w:t>+972-3-6232525</w:t>
                                  </w:r>
                                </w:p>
                                <w:p w14:paraId="600E4673" w14:textId="77777777" w:rsidR="00110844" w:rsidRPr="005E0021" w:rsidRDefault="00110844" w:rsidP="000805C9">
                                  <w:pPr>
                                    <w:pStyle w:val="EYBusinessaddress"/>
                                    <w:rPr>
                                      <w:rFonts w:asciiTheme="minorBidi" w:hAnsiTheme="minorBidi" w:cstheme="minorBidi"/>
                                      <w:szCs w:val="15"/>
                                    </w:rPr>
                                  </w:pPr>
                                  <w:r w:rsidRPr="005E0021">
                                    <w:rPr>
                                      <w:rFonts w:asciiTheme="minorBidi" w:hAnsiTheme="minorBidi" w:cstheme="minorBidi"/>
                                      <w:szCs w:val="15"/>
                                    </w:rPr>
                                    <w:t xml:space="preserve">Fax: </w:t>
                                  </w:r>
                                  <w:r w:rsidRPr="005E0021">
                                    <w:rPr>
                                      <w:rFonts w:asciiTheme="minorBidi" w:hAnsiTheme="minorBidi" w:cstheme="minorBidi"/>
                                      <w:bCs/>
                                      <w:iCs/>
                                      <w:szCs w:val="15"/>
                                    </w:rPr>
                                    <w:t>+972-3-5622555</w:t>
                                  </w:r>
                                </w:p>
                                <w:p w14:paraId="1EB199DF" w14:textId="77777777" w:rsidR="00110844" w:rsidRPr="005E0021" w:rsidRDefault="00110844" w:rsidP="000805C9">
                                  <w:pPr>
                                    <w:pStyle w:val="EYBusinessaddress"/>
                                    <w:rPr>
                                      <w:rFonts w:asciiTheme="minorBidi" w:hAnsiTheme="minorBidi" w:cstheme="minorBidi"/>
                                    </w:rPr>
                                  </w:pPr>
                                  <w:r w:rsidRPr="005E0021">
                                    <w:rPr>
                                      <w:rFonts w:asciiTheme="minorBidi" w:hAnsiTheme="minorBidi" w:cstheme="minorBidi"/>
                                      <w:szCs w:val="15"/>
                                    </w:rPr>
                                    <w:t>ey.com</w:t>
                                  </w:r>
                                </w:p>
                              </w:tc>
                            </w:tr>
                          </w:tbl>
                          <w:p w14:paraId="35F36375" w14:textId="77777777" w:rsidR="00110844" w:rsidRDefault="00110844" w:rsidP="00110844">
                            <w:pPr>
                              <w:pStyle w:val="EYBusinessaddres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E39A9E" id="_x0000_t202" coordsize="21600,21600" o:spt="202" path="m,l,21600r21600,l21600,xe">
                <v:stroke joinstyle="miter"/>
                <v:path gradientshapeok="t" o:connecttype="rect"/>
              </v:shapetype>
              <v:shape id="Text Box 2" o:spid="_x0000_s1026" type="#_x0000_t202" alt="פרטי קשר רואה חשבון" style="position:absolute;margin-left:167pt;margin-top:48pt;width:312pt;height:3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" filled="f" stroked="f">
                <v:textbox inset="0,0,0,0">
                  <w:txbxContent>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2977"/>
                        <w:gridCol w:w="142"/>
                        <w:gridCol w:w="1701"/>
                      </w:tblGrid>
                      <w:tr w:rsidR="00110844" w14:paraId="1E68CFAA" w14:textId="77777777" w:rsidTr="008176EC">
                        <w:tc>
                          <w:tcPr>
                            <w:tcW w:w="2977" w:type="dxa"/>
                          </w:tcPr>
                          <w:p w14:paraId="2461AB12" w14:textId="77777777" w:rsidR="00110844" w:rsidRPr="005E0021" w:rsidRDefault="00110844" w:rsidP="000805C9">
                            <w:pPr>
                              <w:pStyle w:val="EYBusinessaddress"/>
                              <w:rPr>
                                <w:rFonts w:asciiTheme="minorBidi" w:hAnsiTheme="minorBidi" w:cstheme="minorBidi"/>
                                <w:b/>
                                <w:bCs/>
                              </w:rPr>
                            </w:pPr>
                            <w:r w:rsidRPr="005E0021">
                              <w:rPr>
                                <w:rFonts w:asciiTheme="minorBidi" w:hAnsiTheme="minorBidi" w:cstheme="minorBidi"/>
                                <w:b/>
                                <w:bCs/>
                              </w:rPr>
                              <w:t>Kost Forer Gabbay &amp; Kasierer</w:t>
                            </w:r>
                          </w:p>
                          <w:p w14:paraId="51EC8ED4" w14:textId="77777777" w:rsidR="00110844" w:rsidRPr="005E0021" w:rsidRDefault="00110844" w:rsidP="000805C9">
                            <w:pPr>
                              <w:rPr>
                                <w:rFonts w:asciiTheme="minorBidi" w:hAnsiTheme="minorBidi" w:cstheme="minorBidi"/>
                                <w:bCs/>
                                <w:iCs/>
                                <w:color w:val="808080"/>
                                <w:kern w:val="12"/>
                                <w:sz w:val="15"/>
                                <w:szCs w:val="15"/>
                              </w:rPr>
                            </w:pPr>
                            <w:r w:rsidRPr="005E0021">
                              <w:rPr>
                                <w:rFonts w:asciiTheme="minorBidi" w:hAnsiTheme="minorBidi" w:cstheme="minorBidi"/>
                                <w:bCs/>
                                <w:iCs/>
                                <w:color w:val="808080"/>
                                <w:kern w:val="12"/>
                                <w:sz w:val="15"/>
                                <w:szCs w:val="15"/>
                              </w:rPr>
                              <w:t xml:space="preserve">144 Menachem Begin Road, Building A </w:t>
                            </w:r>
                          </w:p>
                          <w:p w14:paraId="7B304B2E" w14:textId="77777777" w:rsidR="00110844" w:rsidRPr="005E0021" w:rsidRDefault="00110844" w:rsidP="000805C9">
                            <w:pPr>
                              <w:pStyle w:val="EYBusinessaddress"/>
                              <w:rPr>
                                <w:rFonts w:asciiTheme="minorBidi" w:hAnsiTheme="minorBidi" w:cstheme="minorBidi"/>
                              </w:rPr>
                            </w:pPr>
                            <w:r w:rsidRPr="005E0021">
                              <w:rPr>
                                <w:rFonts w:asciiTheme="minorBidi" w:hAnsiTheme="minorBidi" w:cstheme="minorBidi"/>
                                <w:bCs/>
                                <w:iCs/>
                                <w:szCs w:val="15"/>
                              </w:rPr>
                              <w:t>Tel-Aviv 6492102, Israel</w:t>
                            </w:r>
                          </w:p>
                          <w:p w14:paraId="06C120B2" w14:textId="77777777" w:rsidR="00110844" w:rsidRPr="005E0021" w:rsidRDefault="00110844" w:rsidP="000805C9">
                            <w:pPr>
                              <w:pStyle w:val="EYBusinessaddress"/>
                              <w:rPr>
                                <w:rFonts w:asciiTheme="minorBidi" w:hAnsiTheme="minorBidi" w:cstheme="minorBidi"/>
                              </w:rPr>
                            </w:pPr>
                          </w:p>
                        </w:tc>
                        <w:tc>
                          <w:tcPr>
                            <w:tcW w:w="142" w:type="dxa"/>
                          </w:tcPr>
                          <w:p w14:paraId="3A0FFF3E" w14:textId="77777777" w:rsidR="00110844" w:rsidRPr="005E0021" w:rsidRDefault="00110844" w:rsidP="000805C9">
                            <w:pPr>
                              <w:pStyle w:val="EYBusinessaddress"/>
                              <w:rPr>
                                <w:rFonts w:asciiTheme="minorBidi" w:hAnsiTheme="minorBidi" w:cstheme="minorBidi"/>
                              </w:rPr>
                            </w:pPr>
                          </w:p>
                        </w:tc>
                        <w:tc>
                          <w:tcPr>
                            <w:tcW w:w="1701" w:type="dxa"/>
                          </w:tcPr>
                          <w:p w14:paraId="12BFB84E" w14:textId="77777777" w:rsidR="00110844" w:rsidRPr="005E0021" w:rsidRDefault="00110844" w:rsidP="000805C9">
                            <w:pPr>
                              <w:pStyle w:val="EYBusinessaddress"/>
                              <w:rPr>
                                <w:rFonts w:asciiTheme="minorBidi" w:hAnsiTheme="minorBidi" w:cstheme="minorBidi"/>
                                <w:szCs w:val="15"/>
                                <w:lang w:bidi="he-IL"/>
                              </w:rPr>
                            </w:pPr>
                            <w:r w:rsidRPr="005E0021">
                              <w:rPr>
                                <w:rFonts w:asciiTheme="minorBidi" w:hAnsiTheme="minorBidi" w:cstheme="minorBidi"/>
                                <w:szCs w:val="15"/>
                              </w:rPr>
                              <w:t xml:space="preserve">Tel: </w:t>
                            </w:r>
                            <w:r w:rsidRPr="005E0021">
                              <w:rPr>
                                <w:rFonts w:asciiTheme="minorBidi" w:hAnsiTheme="minorBidi" w:cstheme="minorBidi"/>
                                <w:bCs/>
                                <w:iCs/>
                                <w:szCs w:val="15"/>
                              </w:rPr>
                              <w:t>+972-3-6232525</w:t>
                            </w:r>
                          </w:p>
                          <w:p w14:paraId="600E4673" w14:textId="77777777" w:rsidR="00110844" w:rsidRPr="005E0021" w:rsidRDefault="00110844" w:rsidP="000805C9">
                            <w:pPr>
                              <w:pStyle w:val="EYBusinessaddress"/>
                              <w:rPr>
                                <w:rFonts w:asciiTheme="minorBidi" w:hAnsiTheme="minorBidi" w:cstheme="minorBidi"/>
                                <w:szCs w:val="15"/>
                              </w:rPr>
                            </w:pPr>
                            <w:r w:rsidRPr="005E0021">
                              <w:rPr>
                                <w:rFonts w:asciiTheme="minorBidi" w:hAnsiTheme="minorBidi" w:cstheme="minorBidi"/>
                                <w:szCs w:val="15"/>
                              </w:rPr>
                              <w:t xml:space="preserve">Fax: </w:t>
                            </w:r>
                            <w:r w:rsidRPr="005E0021">
                              <w:rPr>
                                <w:rFonts w:asciiTheme="minorBidi" w:hAnsiTheme="minorBidi" w:cstheme="minorBidi"/>
                                <w:bCs/>
                                <w:iCs/>
                                <w:szCs w:val="15"/>
                              </w:rPr>
                              <w:t>+972-3-5622555</w:t>
                            </w:r>
                          </w:p>
                          <w:p w14:paraId="1EB199DF" w14:textId="77777777" w:rsidR="00110844" w:rsidRPr="005E0021" w:rsidRDefault="00110844" w:rsidP="000805C9">
                            <w:pPr>
                              <w:pStyle w:val="EYBusinessaddress"/>
                              <w:rPr>
                                <w:rFonts w:asciiTheme="minorBidi" w:hAnsiTheme="minorBidi" w:cstheme="minorBidi"/>
                              </w:rPr>
                            </w:pPr>
                            <w:r w:rsidRPr="005E0021">
                              <w:rPr>
                                <w:rFonts w:asciiTheme="minorBidi" w:hAnsiTheme="minorBidi" w:cstheme="minorBidi"/>
                                <w:szCs w:val="15"/>
                              </w:rPr>
                              <w:t>ey.com</w:t>
                            </w:r>
                          </w:p>
                        </w:tc>
                      </w:tr>
                    </w:tbl>
                    <w:p w14:paraId="35F36375" w14:textId="77777777" w:rsidR="00110844" w:rsidRDefault="00110844" w:rsidP="00110844">
                      <w:pPr>
                        <w:pStyle w:val="EYBusinessaddress"/>
                      </w:pPr>
                    </w:p>
                  </w:txbxContent>
                </v:textbox>
                <w10:wrap type="square" anchorx="page" anchory="page"/>
                <w10:anchorlock/>
              </v:shape>
            </w:pict>
          </mc:Fallback>
        </mc:AlternateContent>
      </w:r>
    </w:p>
    <w:p w14:paraId="3662757E" w14:textId="77777777" w:rsidR="00110844" w:rsidRPr="000408FE" w:rsidRDefault="00110844" w:rsidP="00110844">
      <w:pPr>
        <w:jc w:val="center"/>
        <w:rPr>
          <w:b/>
        </w:rPr>
      </w:pPr>
    </w:p>
    <w:p w14:paraId="7A42308C" w14:textId="77777777" w:rsidR="00110844" w:rsidRPr="000408FE" w:rsidRDefault="00110844" w:rsidP="00110844">
      <w:pPr>
        <w:jc w:val="center"/>
        <w:rPr>
          <w:b/>
        </w:rPr>
      </w:pPr>
    </w:p>
    <w:p w14:paraId="584D5987" w14:textId="77777777" w:rsidR="00110844" w:rsidRPr="000408FE" w:rsidRDefault="00110844" w:rsidP="00110844">
      <w:pPr>
        <w:jc w:val="center"/>
        <w:rPr>
          <w:b/>
        </w:rPr>
      </w:pPr>
    </w:p>
    <w:p w14:paraId="1E86868E" w14:textId="320361E3" w:rsidR="002F1CF2" w:rsidRPr="005930EC" w:rsidRDefault="002A2084" w:rsidP="00D34954">
      <w:pPr>
        <w:pStyle w:val="Normal1"/>
        <w:spacing w:line="480" w:lineRule="auto"/>
        <w:outlineLvl w:val="2"/>
        <w:rPr>
          <w:b/>
          <w:bCs/>
          <w:iCs/>
          <w:rtl/>
        </w:rPr>
      </w:pPr>
      <w:r>
        <w:rPr>
          <w:rFonts w:cs="Narkisim"/>
          <w:b/>
          <w:bCs/>
        </w:rPr>
        <w:t xml:space="preserve">AUDITORS’ REPORT </w:t>
      </w:r>
      <w:r w:rsidR="00903C29">
        <w:rPr>
          <w:rFonts w:cs="Narkisim"/>
          <w:b/>
          <w:bCs/>
        </w:rPr>
        <w:br/>
      </w:r>
      <w:r w:rsidR="002F1CF2" w:rsidRPr="001754D0">
        <w:rPr>
          <w:rFonts w:cs="Narkisim"/>
          <w:b/>
          <w:bCs/>
        </w:rPr>
        <w:t>To the Shareholders of</w:t>
      </w:r>
      <w:r w:rsidR="005930EC">
        <w:rPr>
          <w:rFonts w:cs="Narkisim"/>
          <w:b/>
          <w:bCs/>
        </w:rPr>
        <w:t xml:space="preserve"> </w:t>
      </w:r>
      <w:r w:rsidR="00903C29">
        <w:rPr>
          <w:rFonts w:cs="Narkisim"/>
          <w:b/>
          <w:bCs/>
        </w:rPr>
        <w:br/>
      </w:r>
      <w:r w:rsidR="002F1CF2">
        <w:rPr>
          <w:b/>
          <w:bCs/>
        </w:rPr>
        <w:t>AFI Europe N.V</w:t>
      </w:r>
    </w:p>
    <w:bookmarkEnd w:id="3"/>
    <w:bookmarkEnd w:id="4"/>
    <w:p w14:paraId="48416DED" w14:textId="77777777" w:rsidR="002F1CF2" w:rsidRPr="002D41DC" w:rsidRDefault="002F1CF2" w:rsidP="002F1CF2">
      <w:pPr>
        <w:spacing w:line="264" w:lineRule="auto"/>
        <w:rPr>
          <w:rtl/>
        </w:rPr>
      </w:pPr>
    </w:p>
    <w:p w14:paraId="013C6D41" w14:textId="528EC2C2" w:rsidR="00882A6E" w:rsidRPr="00882A6E" w:rsidRDefault="00882A6E" w:rsidP="00A842D3">
      <w:pPr>
        <w:spacing w:line="264" w:lineRule="auto"/>
        <w:jc w:val="both"/>
        <w:rPr>
          <w:rFonts w:cs="Narkisim"/>
          <w:sz w:val="22"/>
          <w:szCs w:val="22"/>
          <w:lang w:bidi="he-IL"/>
        </w:rPr>
      </w:pPr>
      <w:bookmarkStart w:id="5" w:name="_Hlk34657109"/>
      <w:r w:rsidRPr="00882A6E">
        <w:rPr>
          <w:rFonts w:cs="Narkisim"/>
          <w:sz w:val="22"/>
          <w:szCs w:val="22"/>
          <w:lang w:bidi="he-IL"/>
        </w:rPr>
        <w:t xml:space="preserve">We have audited the accompanying consolidated statements of financial position of AFI Europe N.V. ("the Company") as of December 31, </w:t>
      </w:r>
      <w:proofErr w:type="gramStart"/>
      <w:r w:rsidR="00C74678">
        <w:rPr>
          <w:rFonts w:cs="Narkisim"/>
          <w:sz w:val="22"/>
          <w:szCs w:val="22"/>
          <w:lang w:bidi="he-IL"/>
        </w:rPr>
        <w:t>2024</w:t>
      </w:r>
      <w:proofErr w:type="gramEnd"/>
      <w:r w:rsidR="00C74678">
        <w:rPr>
          <w:rFonts w:cs="Narkisim"/>
          <w:sz w:val="22"/>
          <w:szCs w:val="22"/>
          <w:lang w:bidi="he-IL"/>
        </w:rPr>
        <w:t xml:space="preserve"> and 2023</w:t>
      </w:r>
      <w:r w:rsidRPr="00882A6E">
        <w:rPr>
          <w:rFonts w:cs="Narkisim"/>
          <w:sz w:val="22"/>
          <w:szCs w:val="22"/>
          <w:lang w:bidi="he-IL"/>
        </w:rPr>
        <w:t>, and the related consolidated statements of profit or loss, comprehensive income, changes in equity and cash flows for each of the three years in the period ended December 31, 202</w:t>
      </w:r>
      <w:r w:rsidR="00215FA4">
        <w:rPr>
          <w:rFonts w:cs="Narkisim"/>
          <w:sz w:val="22"/>
          <w:szCs w:val="22"/>
          <w:lang w:bidi="he-IL"/>
        </w:rPr>
        <w:t>4</w:t>
      </w:r>
      <w:r w:rsidRPr="00882A6E">
        <w:rPr>
          <w:rFonts w:cs="Narkisim"/>
          <w:sz w:val="22"/>
          <w:szCs w:val="22"/>
          <w:lang w:bidi="he-IL"/>
        </w:rPr>
        <w:t xml:space="preserve">. These financial statements are the responsibility of the Company's board of directors and management. Our responsibility is to express an opinion on these financial statements based on our audits. </w:t>
      </w:r>
    </w:p>
    <w:p w14:paraId="063800CD" w14:textId="77777777" w:rsidR="00882A6E" w:rsidRPr="00882A6E" w:rsidRDefault="00882A6E" w:rsidP="00A842D3">
      <w:pPr>
        <w:spacing w:line="264" w:lineRule="auto"/>
        <w:jc w:val="both"/>
        <w:rPr>
          <w:rFonts w:cs="Narkisim"/>
          <w:sz w:val="22"/>
          <w:szCs w:val="22"/>
          <w:lang w:bidi="he-IL"/>
        </w:rPr>
      </w:pPr>
    </w:p>
    <w:p w14:paraId="2D837611" w14:textId="77777777" w:rsidR="00882A6E" w:rsidRPr="00882A6E" w:rsidRDefault="00882A6E" w:rsidP="00A842D3">
      <w:pPr>
        <w:spacing w:line="264" w:lineRule="auto"/>
        <w:jc w:val="both"/>
        <w:rPr>
          <w:rFonts w:cs="Narkisim"/>
          <w:sz w:val="22"/>
          <w:szCs w:val="22"/>
          <w:lang w:bidi="he-IL"/>
        </w:rPr>
      </w:pPr>
      <w:r w:rsidRPr="00882A6E">
        <w:rPr>
          <w:rFonts w:cs="Narkisim"/>
          <w:sz w:val="22"/>
          <w:szCs w:val="22"/>
          <w:lang w:bidi="he-IL"/>
        </w:rPr>
        <w:t>We conducted our audits in accordance with generally accepted auditing standards in Israel, including standards prescribed by the Auditor's Regulations (Auditor's Mode of Performance), 1973. Those standards require that we plan and perform the audit to obtain reasonable assurance about whether the financial statements are free of material misstatement. An audit includes examining, on a test basis, evidence supporting the amounts and disclosures in the financial statements. An audit also includes assessing the accounting principles used and significant estimates made by the board of directors and management, as well as evaluating the overall financial statement presentation. We believe that our audits provide a reasonable basis for our opinion.</w:t>
      </w:r>
    </w:p>
    <w:p w14:paraId="0ADE9B0D" w14:textId="77777777" w:rsidR="00882A6E" w:rsidRPr="00882A6E" w:rsidRDefault="00882A6E" w:rsidP="00A842D3">
      <w:pPr>
        <w:spacing w:line="264" w:lineRule="auto"/>
        <w:jc w:val="both"/>
        <w:rPr>
          <w:rFonts w:cs="Narkisim"/>
          <w:sz w:val="22"/>
          <w:szCs w:val="22"/>
          <w:lang w:bidi="he-IL"/>
        </w:rPr>
      </w:pPr>
    </w:p>
    <w:p w14:paraId="18EF0858" w14:textId="09E338A7" w:rsidR="00882A6E" w:rsidRPr="00882A6E" w:rsidRDefault="00882A6E" w:rsidP="00A842D3">
      <w:pPr>
        <w:spacing w:line="264" w:lineRule="auto"/>
        <w:jc w:val="both"/>
        <w:rPr>
          <w:rFonts w:cs="Narkisim"/>
          <w:sz w:val="22"/>
          <w:szCs w:val="22"/>
          <w:lang w:bidi="he-IL"/>
        </w:rPr>
      </w:pPr>
      <w:r w:rsidRPr="00882A6E">
        <w:rPr>
          <w:rFonts w:cs="Narkisim"/>
          <w:sz w:val="22"/>
          <w:szCs w:val="22"/>
          <w:lang w:bidi="he-IL"/>
        </w:rPr>
        <w:t xml:space="preserve">In our opinion, the financial statements referred to above present fairly, in all material respects, the financial position of the Company as of December 31, </w:t>
      </w:r>
      <w:proofErr w:type="gramStart"/>
      <w:r w:rsidR="00C74678">
        <w:rPr>
          <w:rFonts w:cs="Narkisim"/>
          <w:sz w:val="22"/>
          <w:szCs w:val="22"/>
          <w:lang w:bidi="he-IL"/>
        </w:rPr>
        <w:t>2024</w:t>
      </w:r>
      <w:proofErr w:type="gramEnd"/>
      <w:r w:rsidR="00C74678">
        <w:rPr>
          <w:rFonts w:cs="Narkisim"/>
          <w:sz w:val="22"/>
          <w:szCs w:val="22"/>
          <w:lang w:bidi="he-IL"/>
        </w:rPr>
        <w:t xml:space="preserve"> and 2023</w:t>
      </w:r>
      <w:r w:rsidRPr="00882A6E">
        <w:rPr>
          <w:rFonts w:cs="Narkisim"/>
          <w:sz w:val="22"/>
          <w:szCs w:val="22"/>
          <w:lang w:bidi="he-IL"/>
        </w:rPr>
        <w:t xml:space="preserve">, and the results of its operations, changes in equity and their cash </w:t>
      </w:r>
      <w:proofErr w:type="gramStart"/>
      <w:r w:rsidRPr="00882A6E">
        <w:rPr>
          <w:rFonts w:cs="Narkisim"/>
          <w:sz w:val="22"/>
          <w:szCs w:val="22"/>
          <w:lang w:bidi="he-IL"/>
        </w:rPr>
        <w:t>flows</w:t>
      </w:r>
      <w:proofErr w:type="gramEnd"/>
      <w:r w:rsidRPr="00882A6E">
        <w:rPr>
          <w:rFonts w:cs="Narkisim"/>
          <w:sz w:val="22"/>
          <w:szCs w:val="22"/>
          <w:lang w:bidi="he-IL"/>
        </w:rPr>
        <w:t xml:space="preserve"> for each of the three years in the period ended December 31, 202</w:t>
      </w:r>
      <w:r w:rsidR="00215FA4">
        <w:rPr>
          <w:rFonts w:cs="Narkisim"/>
          <w:sz w:val="22"/>
          <w:szCs w:val="22"/>
          <w:lang w:bidi="he-IL"/>
        </w:rPr>
        <w:t>4</w:t>
      </w:r>
      <w:r w:rsidRPr="00882A6E">
        <w:rPr>
          <w:rFonts w:cs="Narkisim"/>
          <w:sz w:val="22"/>
          <w:szCs w:val="22"/>
          <w:lang w:bidi="he-IL"/>
        </w:rPr>
        <w:t xml:space="preserve">, in conformity with </w:t>
      </w:r>
      <w:r w:rsidR="00C01EF2">
        <w:rPr>
          <w:rFonts w:cs="Narkisim"/>
          <w:sz w:val="22"/>
          <w:szCs w:val="22"/>
          <w:lang w:bidi="he-IL"/>
        </w:rPr>
        <w:t>IFRS Accounting Standards.</w:t>
      </w:r>
    </w:p>
    <w:p w14:paraId="251FE629" w14:textId="77777777" w:rsidR="00882A6E" w:rsidRPr="00882A6E" w:rsidRDefault="00882A6E" w:rsidP="00A842D3">
      <w:pPr>
        <w:spacing w:line="264" w:lineRule="auto"/>
        <w:jc w:val="both"/>
        <w:rPr>
          <w:rFonts w:cs="Narkisim"/>
          <w:sz w:val="22"/>
          <w:szCs w:val="22"/>
          <w:lang w:bidi="he-IL"/>
        </w:rPr>
      </w:pPr>
    </w:p>
    <w:p w14:paraId="53CD67FB" w14:textId="46F5F97D" w:rsidR="00882A6E" w:rsidRPr="00A842D3" w:rsidRDefault="00882A6E" w:rsidP="00D34954">
      <w:pPr>
        <w:spacing w:line="264" w:lineRule="auto"/>
        <w:jc w:val="both"/>
        <w:outlineLvl w:val="3"/>
        <w:rPr>
          <w:rFonts w:cs="Narkisim"/>
          <w:b/>
          <w:bCs/>
          <w:sz w:val="22"/>
          <w:szCs w:val="22"/>
          <w:lang w:bidi="he-IL"/>
        </w:rPr>
      </w:pPr>
      <w:r w:rsidRPr="00A842D3">
        <w:rPr>
          <w:rFonts w:cs="Narkisim"/>
          <w:b/>
          <w:bCs/>
          <w:sz w:val="22"/>
          <w:szCs w:val="22"/>
          <w:lang w:bidi="he-IL"/>
        </w:rPr>
        <w:t xml:space="preserve">Key </w:t>
      </w:r>
      <w:r w:rsidR="00110844" w:rsidRPr="00A842D3">
        <w:rPr>
          <w:rFonts w:cs="Narkisim"/>
          <w:b/>
          <w:bCs/>
          <w:sz w:val="22"/>
          <w:szCs w:val="22"/>
          <w:lang w:bidi="he-IL"/>
        </w:rPr>
        <w:t>audit matters</w:t>
      </w:r>
    </w:p>
    <w:p w14:paraId="0A1AE968" w14:textId="77777777" w:rsidR="00882A6E" w:rsidRPr="00882A6E" w:rsidRDefault="00882A6E" w:rsidP="00A842D3">
      <w:pPr>
        <w:spacing w:line="264" w:lineRule="auto"/>
        <w:jc w:val="both"/>
        <w:rPr>
          <w:rFonts w:cs="Narkisim"/>
          <w:sz w:val="22"/>
          <w:szCs w:val="22"/>
          <w:lang w:bidi="he-IL"/>
        </w:rPr>
      </w:pPr>
    </w:p>
    <w:p w14:paraId="4C7FE516" w14:textId="6D012626" w:rsidR="00882A6E" w:rsidRDefault="00C01EF2" w:rsidP="00882A6E">
      <w:pPr>
        <w:pStyle w:val="FirsLine"/>
        <w:spacing w:line="264" w:lineRule="auto"/>
        <w:ind w:firstLine="0"/>
        <w:rPr>
          <w:szCs w:val="22"/>
        </w:rPr>
      </w:pPr>
      <w:r>
        <w:rPr>
          <w:szCs w:val="22"/>
        </w:rPr>
        <w:t>The k</w:t>
      </w:r>
      <w:r w:rsidR="00882A6E" w:rsidRPr="00882A6E">
        <w:rPr>
          <w:szCs w:val="22"/>
        </w:rPr>
        <w:t xml:space="preserve">ey Audit Matters </w:t>
      </w:r>
      <w:r>
        <w:rPr>
          <w:szCs w:val="22"/>
        </w:rPr>
        <w:t xml:space="preserve">described below </w:t>
      </w:r>
      <w:r w:rsidR="00882A6E" w:rsidRPr="00882A6E">
        <w:rPr>
          <w:szCs w:val="22"/>
        </w:rPr>
        <w:t xml:space="preserve">are those matters that were communicated, or should have been communicated, to the Company's board of directors and that, in our professional judgment, were of most significance in the audit of the consolidated financial statements of the current period. These matters include, among others, any matter: (1) which relates, or may relate, to significant accounts or disclosures in the financial statements and (2) that involved our professional judgment that was challenging, subjective or especially complex. The Key Audit Matter described below was addressed in the context of our audit of the consolidated financial </w:t>
      </w:r>
      <w:proofErr w:type="gramStart"/>
      <w:r w:rsidR="00882A6E" w:rsidRPr="00882A6E">
        <w:rPr>
          <w:szCs w:val="22"/>
        </w:rPr>
        <w:t>statements as a whole, and</w:t>
      </w:r>
      <w:proofErr w:type="gramEnd"/>
      <w:r w:rsidR="00882A6E" w:rsidRPr="00882A6E">
        <w:rPr>
          <w:szCs w:val="22"/>
        </w:rPr>
        <w:t xml:space="preserve"> in forming our opinion thereon. The communication of this matter below does not change our opinion on the consolidated financial statements as a whole nor do we provide through such communication a separate opinion on this matter or on the accounts or disclosures to which they relate.</w:t>
      </w:r>
    </w:p>
    <w:p w14:paraId="50B3BF42" w14:textId="77777777" w:rsidR="00031E12" w:rsidRDefault="00031E12" w:rsidP="00A842D3">
      <w:pPr>
        <w:pStyle w:val="FirsLine"/>
        <w:spacing w:line="264" w:lineRule="auto"/>
        <w:ind w:firstLine="0"/>
        <w:rPr>
          <w:b/>
          <w:bCs/>
          <w:szCs w:val="22"/>
        </w:rPr>
      </w:pPr>
    </w:p>
    <w:p w14:paraId="1B960E62" w14:textId="73139122" w:rsidR="00882A6E" w:rsidRPr="00A842D3" w:rsidRDefault="00882A6E" w:rsidP="00D34954">
      <w:pPr>
        <w:pStyle w:val="FirsLine"/>
        <w:spacing w:line="264" w:lineRule="auto"/>
        <w:ind w:firstLine="0"/>
        <w:outlineLvl w:val="3"/>
        <w:rPr>
          <w:b/>
          <w:bCs/>
          <w:szCs w:val="22"/>
        </w:rPr>
      </w:pPr>
      <w:r w:rsidRPr="00A842D3">
        <w:rPr>
          <w:b/>
          <w:bCs/>
          <w:szCs w:val="22"/>
        </w:rPr>
        <w:t>Fair value measurement of investment property and investment property under development</w:t>
      </w:r>
    </w:p>
    <w:p w14:paraId="66B2977F" w14:textId="77777777" w:rsidR="00882A6E" w:rsidRPr="00882A6E" w:rsidRDefault="00882A6E" w:rsidP="00882A6E">
      <w:pPr>
        <w:pStyle w:val="FirsLine"/>
        <w:spacing w:line="264" w:lineRule="auto"/>
        <w:rPr>
          <w:szCs w:val="22"/>
        </w:rPr>
      </w:pPr>
    </w:p>
    <w:p w14:paraId="58F1512F" w14:textId="2FEEA888" w:rsidR="00882A6E" w:rsidRPr="00882A6E" w:rsidRDefault="00882A6E" w:rsidP="00A842D3">
      <w:pPr>
        <w:pStyle w:val="FirsLine"/>
        <w:spacing w:line="264" w:lineRule="auto"/>
        <w:ind w:firstLine="0"/>
        <w:rPr>
          <w:szCs w:val="22"/>
        </w:rPr>
      </w:pPr>
      <w:r w:rsidRPr="00882A6E">
        <w:rPr>
          <w:szCs w:val="22"/>
        </w:rPr>
        <w:t xml:space="preserve">As described in Notes </w:t>
      </w:r>
      <w:r w:rsidR="00300001">
        <w:rPr>
          <w:szCs w:val="22"/>
        </w:rPr>
        <w:t>3(G)</w:t>
      </w:r>
      <w:r w:rsidRPr="00882A6E">
        <w:rPr>
          <w:szCs w:val="22"/>
        </w:rPr>
        <w:t xml:space="preserve">, 5 and 6 in the consolidated financial statements, the Company measures the investment properties initially at cost and in subsequent periods the investment properties are measured at fair value. Investment properties under development are also measured at fair value starting from the date when their fair value can be reliably measured. Changes in fair value are recorded in profit and loss. The balance of investment property and investment property under development as of December 31, </w:t>
      </w:r>
      <w:r w:rsidR="00993180">
        <w:rPr>
          <w:szCs w:val="22"/>
        </w:rPr>
        <w:t>202</w:t>
      </w:r>
      <w:r w:rsidR="00215FA4">
        <w:rPr>
          <w:szCs w:val="22"/>
        </w:rPr>
        <w:t>4</w:t>
      </w:r>
      <w:r w:rsidRPr="00882A6E">
        <w:rPr>
          <w:szCs w:val="22"/>
        </w:rPr>
        <w:t xml:space="preserve">, is Euro </w:t>
      </w:r>
      <w:r w:rsidR="00215FA4">
        <w:rPr>
          <w:szCs w:val="22"/>
        </w:rPr>
        <w:t>3</w:t>
      </w:r>
      <w:r w:rsidRPr="00882A6E">
        <w:rPr>
          <w:szCs w:val="22"/>
        </w:rPr>
        <w:t>,</w:t>
      </w:r>
      <w:r w:rsidR="00215FA4">
        <w:rPr>
          <w:szCs w:val="22"/>
        </w:rPr>
        <w:t>343</w:t>
      </w:r>
      <w:r w:rsidR="00993180" w:rsidRPr="00882A6E">
        <w:rPr>
          <w:szCs w:val="22"/>
        </w:rPr>
        <w:t xml:space="preserve"> </w:t>
      </w:r>
      <w:r w:rsidRPr="00882A6E">
        <w:rPr>
          <w:szCs w:val="22"/>
        </w:rPr>
        <w:t xml:space="preserve">million, which represents </w:t>
      </w:r>
      <w:r w:rsidR="00993180" w:rsidRPr="00882A6E">
        <w:rPr>
          <w:szCs w:val="22"/>
        </w:rPr>
        <w:t>8</w:t>
      </w:r>
      <w:r w:rsidR="00215FA4">
        <w:rPr>
          <w:szCs w:val="22"/>
        </w:rPr>
        <w:t>7</w:t>
      </w:r>
      <w:r w:rsidRPr="00882A6E">
        <w:rPr>
          <w:szCs w:val="22"/>
        </w:rPr>
        <w:t>% of the total assets.</w:t>
      </w:r>
    </w:p>
    <w:p w14:paraId="2CAFCD99" w14:textId="77777777" w:rsidR="00031E12" w:rsidRDefault="00031E12">
      <w:pPr>
        <w:rPr>
          <w:rFonts w:cs="Narkisim"/>
          <w:sz w:val="22"/>
          <w:szCs w:val="22"/>
          <w:lang w:bidi="he-IL"/>
        </w:rPr>
        <w:sectPr w:rsidR="00031E12" w:rsidSect="00593E8F">
          <w:footerReference w:type="default" r:id="rId16"/>
          <w:endnotePr>
            <w:numFmt w:val="lowerLetter"/>
          </w:endnotePr>
          <w:pgSz w:w="11906" w:h="16838"/>
          <w:pgMar w:top="1134" w:right="1134" w:bottom="1134" w:left="1134" w:header="567" w:footer="567" w:gutter="0"/>
          <w:paperSrc w:first="15" w:other="15"/>
          <w:pgNumType w:start="2"/>
          <w:cols w:space="720"/>
          <w:bidi/>
          <w:docGrid w:linePitch="326"/>
        </w:sectPr>
      </w:pPr>
    </w:p>
    <w:p w14:paraId="2B468651" w14:textId="77777777" w:rsidR="00110844" w:rsidRPr="000408FE" w:rsidRDefault="00110844" w:rsidP="00110844">
      <w:pPr>
        <w:pStyle w:val="a6"/>
        <w:rPr>
          <w:bCs/>
          <w:iCs/>
          <w:color w:val="808080"/>
          <w:kern w:val="12"/>
          <w:sz w:val="15"/>
          <w:szCs w:val="15"/>
        </w:rPr>
      </w:pPr>
      <w:r w:rsidRPr="000408FE">
        <w:rPr>
          <w:bCs/>
          <w:iCs/>
          <w:noProof/>
          <w:color w:val="808080"/>
          <w:kern w:val="12"/>
          <w:sz w:val="15"/>
          <w:szCs w:val="15"/>
        </w:rPr>
        <w:lastRenderedPageBreak/>
        <w:drawing>
          <wp:anchor distT="0" distB="0" distL="114300" distR="114300" simplePos="0" relativeHeight="251666432" behindDoc="1" locked="0" layoutInCell="1" allowOverlap="1" wp14:anchorId="0972F5A1" wp14:editId="624EABA5">
            <wp:simplePos x="0" y="0"/>
            <wp:positionH relativeFrom="margin">
              <wp:posOffset>-12396</wp:posOffset>
            </wp:positionH>
            <wp:positionV relativeFrom="page">
              <wp:posOffset>301625</wp:posOffset>
            </wp:positionV>
            <wp:extent cx="768096" cy="896112"/>
            <wp:effectExtent l="0" t="0" r="0" b="0"/>
            <wp:wrapNone/>
            <wp:docPr id="5" name="תמונה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 name="תמונה 5">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68096" cy="896112"/>
                    </a:xfrm>
                    <a:prstGeom prst="rect">
                      <a:avLst/>
                    </a:prstGeom>
                    <a:noFill/>
                    <a:ln>
                      <a:noFill/>
                    </a:ln>
                    <a:effectLst/>
                  </pic:spPr>
                </pic:pic>
              </a:graphicData>
            </a:graphic>
          </wp:anchor>
        </w:drawing>
      </w:r>
      <w:r w:rsidRPr="000408FE">
        <w:rPr>
          <w:bCs/>
          <w:iCs/>
          <w:noProof/>
          <w:color w:val="808080"/>
          <w:kern w:val="12"/>
          <w:sz w:val="15"/>
          <w:szCs w:val="15"/>
        </w:rPr>
        <mc:AlternateContent>
          <mc:Choice Requires="wps">
            <w:drawing>
              <wp:anchor distT="0" distB="0" distL="114300" distR="114300" simplePos="0" relativeHeight="251663360" behindDoc="0" locked="1" layoutInCell="1" allowOverlap="1" wp14:anchorId="05A0070B" wp14:editId="673ADA48">
                <wp:simplePos x="0" y="0"/>
                <wp:positionH relativeFrom="page">
                  <wp:posOffset>2120900</wp:posOffset>
                </wp:positionH>
                <wp:positionV relativeFrom="page">
                  <wp:posOffset>609600</wp:posOffset>
                </wp:positionV>
                <wp:extent cx="3962400" cy="4064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2977"/>
                              <w:gridCol w:w="142"/>
                              <w:gridCol w:w="1701"/>
                            </w:tblGrid>
                            <w:tr w:rsidR="00110844" w14:paraId="6FADB687" w14:textId="77777777" w:rsidTr="008176EC">
                              <w:tc>
                                <w:tcPr>
                                  <w:tcW w:w="2977" w:type="dxa"/>
                                </w:tcPr>
                                <w:p w14:paraId="663DAA07" w14:textId="77777777" w:rsidR="00110844" w:rsidRPr="005E0021" w:rsidRDefault="00110844" w:rsidP="000805C9">
                                  <w:pPr>
                                    <w:pStyle w:val="EYBusinessaddress"/>
                                    <w:rPr>
                                      <w:rFonts w:asciiTheme="minorBidi" w:hAnsiTheme="minorBidi" w:cstheme="minorBidi"/>
                                      <w:b/>
                                      <w:bCs/>
                                    </w:rPr>
                                  </w:pPr>
                                  <w:r w:rsidRPr="005E0021">
                                    <w:rPr>
                                      <w:rFonts w:asciiTheme="minorBidi" w:hAnsiTheme="minorBidi" w:cstheme="minorBidi"/>
                                      <w:b/>
                                      <w:bCs/>
                                    </w:rPr>
                                    <w:t xml:space="preserve">Kost Forer Gabbay &amp; </w:t>
                                  </w:r>
                                  <w:r w:rsidRPr="005E0021">
                                    <w:rPr>
                                      <w:rFonts w:asciiTheme="minorBidi" w:hAnsiTheme="minorBidi" w:cstheme="minorBidi"/>
                                      <w:b/>
                                      <w:bCs/>
                                    </w:rPr>
                                    <w:t>Kasierer</w:t>
                                  </w:r>
                                </w:p>
                                <w:p w14:paraId="66B0B4F8" w14:textId="77777777" w:rsidR="00110844" w:rsidRPr="005E0021" w:rsidRDefault="00110844" w:rsidP="000805C9">
                                  <w:pPr>
                                    <w:rPr>
                                      <w:rFonts w:asciiTheme="minorBidi" w:hAnsiTheme="minorBidi" w:cstheme="minorBidi"/>
                                      <w:bCs/>
                                      <w:iCs/>
                                      <w:color w:val="808080"/>
                                      <w:kern w:val="12"/>
                                      <w:sz w:val="15"/>
                                      <w:szCs w:val="15"/>
                                    </w:rPr>
                                  </w:pPr>
                                  <w:r w:rsidRPr="005E0021">
                                    <w:rPr>
                                      <w:rFonts w:asciiTheme="minorBidi" w:hAnsiTheme="minorBidi" w:cstheme="minorBidi"/>
                                      <w:bCs/>
                                      <w:iCs/>
                                      <w:color w:val="808080"/>
                                      <w:kern w:val="12"/>
                                      <w:sz w:val="15"/>
                                      <w:szCs w:val="15"/>
                                    </w:rPr>
                                    <w:t xml:space="preserve">144 Menachem Begin Road, Building A </w:t>
                                  </w:r>
                                </w:p>
                                <w:p w14:paraId="241B738C" w14:textId="77777777" w:rsidR="00110844" w:rsidRPr="005E0021" w:rsidRDefault="00110844" w:rsidP="000805C9">
                                  <w:pPr>
                                    <w:pStyle w:val="EYBusinessaddress"/>
                                    <w:rPr>
                                      <w:rFonts w:asciiTheme="minorBidi" w:hAnsiTheme="minorBidi" w:cstheme="minorBidi"/>
                                    </w:rPr>
                                  </w:pPr>
                                  <w:r w:rsidRPr="005E0021">
                                    <w:rPr>
                                      <w:rFonts w:asciiTheme="minorBidi" w:hAnsiTheme="minorBidi" w:cstheme="minorBidi"/>
                                      <w:bCs/>
                                      <w:iCs/>
                                      <w:szCs w:val="15"/>
                                    </w:rPr>
                                    <w:t>Tel-Aviv 6492102, Israel</w:t>
                                  </w:r>
                                </w:p>
                                <w:p w14:paraId="4C2C9973" w14:textId="77777777" w:rsidR="00110844" w:rsidRPr="005E0021" w:rsidRDefault="00110844" w:rsidP="000805C9">
                                  <w:pPr>
                                    <w:pStyle w:val="EYBusinessaddress"/>
                                    <w:rPr>
                                      <w:rFonts w:asciiTheme="minorBidi" w:hAnsiTheme="minorBidi" w:cstheme="minorBidi"/>
                                    </w:rPr>
                                  </w:pPr>
                                </w:p>
                              </w:tc>
                              <w:tc>
                                <w:tcPr>
                                  <w:tcW w:w="142" w:type="dxa"/>
                                </w:tcPr>
                                <w:p w14:paraId="6607B794" w14:textId="77777777" w:rsidR="00110844" w:rsidRPr="005E0021" w:rsidRDefault="00110844" w:rsidP="000805C9">
                                  <w:pPr>
                                    <w:pStyle w:val="EYBusinessaddress"/>
                                    <w:rPr>
                                      <w:rFonts w:asciiTheme="minorBidi" w:hAnsiTheme="minorBidi" w:cstheme="minorBidi"/>
                                    </w:rPr>
                                  </w:pPr>
                                </w:p>
                              </w:tc>
                              <w:tc>
                                <w:tcPr>
                                  <w:tcW w:w="1701" w:type="dxa"/>
                                </w:tcPr>
                                <w:p w14:paraId="511A8AB2" w14:textId="77777777" w:rsidR="00110844" w:rsidRPr="005E0021" w:rsidRDefault="00110844" w:rsidP="000805C9">
                                  <w:pPr>
                                    <w:pStyle w:val="EYBusinessaddress"/>
                                    <w:rPr>
                                      <w:rFonts w:asciiTheme="minorBidi" w:hAnsiTheme="minorBidi" w:cstheme="minorBidi"/>
                                      <w:szCs w:val="15"/>
                                      <w:lang w:bidi="he-IL"/>
                                    </w:rPr>
                                  </w:pPr>
                                  <w:r w:rsidRPr="005E0021">
                                    <w:rPr>
                                      <w:rFonts w:asciiTheme="minorBidi" w:hAnsiTheme="minorBidi" w:cstheme="minorBidi"/>
                                      <w:szCs w:val="15"/>
                                    </w:rPr>
                                    <w:t xml:space="preserve">Tel: </w:t>
                                  </w:r>
                                  <w:r w:rsidRPr="005E0021">
                                    <w:rPr>
                                      <w:rFonts w:asciiTheme="minorBidi" w:hAnsiTheme="minorBidi" w:cstheme="minorBidi"/>
                                      <w:bCs/>
                                      <w:iCs/>
                                      <w:szCs w:val="15"/>
                                    </w:rPr>
                                    <w:t>+972-3-6232525</w:t>
                                  </w:r>
                                </w:p>
                                <w:p w14:paraId="0247B804" w14:textId="77777777" w:rsidR="00110844" w:rsidRPr="005E0021" w:rsidRDefault="00110844" w:rsidP="000805C9">
                                  <w:pPr>
                                    <w:pStyle w:val="EYBusinessaddress"/>
                                    <w:rPr>
                                      <w:rFonts w:asciiTheme="minorBidi" w:hAnsiTheme="minorBidi" w:cstheme="minorBidi"/>
                                      <w:szCs w:val="15"/>
                                    </w:rPr>
                                  </w:pPr>
                                  <w:r w:rsidRPr="005E0021">
                                    <w:rPr>
                                      <w:rFonts w:asciiTheme="minorBidi" w:hAnsiTheme="minorBidi" w:cstheme="minorBidi"/>
                                      <w:szCs w:val="15"/>
                                    </w:rPr>
                                    <w:t xml:space="preserve">Fax: </w:t>
                                  </w:r>
                                  <w:r w:rsidRPr="005E0021">
                                    <w:rPr>
                                      <w:rFonts w:asciiTheme="minorBidi" w:hAnsiTheme="minorBidi" w:cstheme="minorBidi"/>
                                      <w:bCs/>
                                      <w:iCs/>
                                      <w:szCs w:val="15"/>
                                    </w:rPr>
                                    <w:t>+972-3-5622555</w:t>
                                  </w:r>
                                </w:p>
                                <w:p w14:paraId="146B33C5" w14:textId="77777777" w:rsidR="00110844" w:rsidRPr="005E0021" w:rsidRDefault="00110844" w:rsidP="000805C9">
                                  <w:pPr>
                                    <w:pStyle w:val="EYBusinessaddress"/>
                                    <w:rPr>
                                      <w:rFonts w:asciiTheme="minorBidi" w:hAnsiTheme="minorBidi" w:cstheme="minorBidi"/>
                                    </w:rPr>
                                  </w:pPr>
                                  <w:r w:rsidRPr="005E0021">
                                    <w:rPr>
                                      <w:rFonts w:asciiTheme="minorBidi" w:hAnsiTheme="minorBidi" w:cstheme="minorBidi"/>
                                      <w:szCs w:val="15"/>
                                    </w:rPr>
                                    <w:t>ey.com</w:t>
                                  </w:r>
                                </w:p>
                              </w:tc>
                            </w:tr>
                          </w:tbl>
                          <w:p w14:paraId="76403F18" w14:textId="77777777" w:rsidR="00110844" w:rsidRDefault="00110844" w:rsidP="00110844">
                            <w:pPr>
                              <w:pStyle w:val="EYBusinessaddres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A0070B" id="_x0000_s1027" type="#_x0000_t202" style="position:absolute;margin-left:167pt;margin-top:48pt;width:312pt;height:3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" filled="f" stroked="f">
                <v:textbox inset="0,0,0,0">
                  <w:txbxContent>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2977"/>
                        <w:gridCol w:w="142"/>
                        <w:gridCol w:w="1701"/>
                      </w:tblGrid>
                      <w:tr w:rsidR="00110844" w14:paraId="6FADB687" w14:textId="77777777" w:rsidTr="008176EC">
                        <w:tc>
                          <w:tcPr>
                            <w:tcW w:w="2977" w:type="dxa"/>
                          </w:tcPr>
                          <w:p w14:paraId="663DAA07" w14:textId="77777777" w:rsidR="00110844" w:rsidRPr="005E0021" w:rsidRDefault="00110844" w:rsidP="000805C9">
                            <w:pPr>
                              <w:pStyle w:val="EYBusinessaddress"/>
                              <w:rPr>
                                <w:rFonts w:asciiTheme="minorBidi" w:hAnsiTheme="minorBidi" w:cstheme="minorBidi"/>
                                <w:b/>
                                <w:bCs/>
                              </w:rPr>
                            </w:pPr>
                            <w:r w:rsidRPr="005E0021">
                              <w:rPr>
                                <w:rFonts w:asciiTheme="minorBidi" w:hAnsiTheme="minorBidi" w:cstheme="minorBidi"/>
                                <w:b/>
                                <w:bCs/>
                              </w:rPr>
                              <w:t xml:space="preserve">Kost Forer Gabbay &amp; </w:t>
                            </w:r>
                            <w:r w:rsidRPr="005E0021">
                              <w:rPr>
                                <w:rFonts w:asciiTheme="minorBidi" w:hAnsiTheme="minorBidi" w:cstheme="minorBidi"/>
                                <w:b/>
                                <w:bCs/>
                              </w:rPr>
                              <w:t>Kasierer</w:t>
                            </w:r>
                          </w:p>
                          <w:p w14:paraId="66B0B4F8" w14:textId="77777777" w:rsidR="00110844" w:rsidRPr="005E0021" w:rsidRDefault="00110844" w:rsidP="000805C9">
                            <w:pPr>
                              <w:rPr>
                                <w:rFonts w:asciiTheme="minorBidi" w:hAnsiTheme="minorBidi" w:cstheme="minorBidi"/>
                                <w:bCs/>
                                <w:iCs/>
                                <w:color w:val="808080"/>
                                <w:kern w:val="12"/>
                                <w:sz w:val="15"/>
                                <w:szCs w:val="15"/>
                              </w:rPr>
                            </w:pPr>
                            <w:r w:rsidRPr="005E0021">
                              <w:rPr>
                                <w:rFonts w:asciiTheme="minorBidi" w:hAnsiTheme="minorBidi" w:cstheme="minorBidi"/>
                                <w:bCs/>
                                <w:iCs/>
                                <w:color w:val="808080"/>
                                <w:kern w:val="12"/>
                                <w:sz w:val="15"/>
                                <w:szCs w:val="15"/>
                              </w:rPr>
                              <w:t xml:space="preserve">144 Menachem Begin Road, Building A </w:t>
                            </w:r>
                          </w:p>
                          <w:p w14:paraId="241B738C" w14:textId="77777777" w:rsidR="00110844" w:rsidRPr="005E0021" w:rsidRDefault="00110844" w:rsidP="000805C9">
                            <w:pPr>
                              <w:pStyle w:val="EYBusinessaddress"/>
                              <w:rPr>
                                <w:rFonts w:asciiTheme="minorBidi" w:hAnsiTheme="minorBidi" w:cstheme="minorBidi"/>
                              </w:rPr>
                            </w:pPr>
                            <w:r w:rsidRPr="005E0021">
                              <w:rPr>
                                <w:rFonts w:asciiTheme="minorBidi" w:hAnsiTheme="minorBidi" w:cstheme="minorBidi"/>
                                <w:bCs/>
                                <w:iCs/>
                                <w:szCs w:val="15"/>
                              </w:rPr>
                              <w:t>Tel-Aviv 6492102, Israel</w:t>
                            </w:r>
                          </w:p>
                          <w:p w14:paraId="4C2C9973" w14:textId="77777777" w:rsidR="00110844" w:rsidRPr="005E0021" w:rsidRDefault="00110844" w:rsidP="000805C9">
                            <w:pPr>
                              <w:pStyle w:val="EYBusinessaddress"/>
                              <w:rPr>
                                <w:rFonts w:asciiTheme="minorBidi" w:hAnsiTheme="minorBidi" w:cstheme="minorBidi"/>
                              </w:rPr>
                            </w:pPr>
                          </w:p>
                        </w:tc>
                        <w:tc>
                          <w:tcPr>
                            <w:tcW w:w="142" w:type="dxa"/>
                          </w:tcPr>
                          <w:p w14:paraId="6607B794" w14:textId="77777777" w:rsidR="00110844" w:rsidRPr="005E0021" w:rsidRDefault="00110844" w:rsidP="000805C9">
                            <w:pPr>
                              <w:pStyle w:val="EYBusinessaddress"/>
                              <w:rPr>
                                <w:rFonts w:asciiTheme="minorBidi" w:hAnsiTheme="minorBidi" w:cstheme="minorBidi"/>
                              </w:rPr>
                            </w:pPr>
                          </w:p>
                        </w:tc>
                        <w:tc>
                          <w:tcPr>
                            <w:tcW w:w="1701" w:type="dxa"/>
                          </w:tcPr>
                          <w:p w14:paraId="511A8AB2" w14:textId="77777777" w:rsidR="00110844" w:rsidRPr="005E0021" w:rsidRDefault="00110844" w:rsidP="000805C9">
                            <w:pPr>
                              <w:pStyle w:val="EYBusinessaddress"/>
                              <w:rPr>
                                <w:rFonts w:asciiTheme="minorBidi" w:hAnsiTheme="minorBidi" w:cstheme="minorBidi"/>
                                <w:szCs w:val="15"/>
                                <w:lang w:bidi="he-IL"/>
                              </w:rPr>
                            </w:pPr>
                            <w:r w:rsidRPr="005E0021">
                              <w:rPr>
                                <w:rFonts w:asciiTheme="minorBidi" w:hAnsiTheme="minorBidi" w:cstheme="minorBidi"/>
                                <w:szCs w:val="15"/>
                              </w:rPr>
                              <w:t xml:space="preserve">Tel: </w:t>
                            </w:r>
                            <w:r w:rsidRPr="005E0021">
                              <w:rPr>
                                <w:rFonts w:asciiTheme="minorBidi" w:hAnsiTheme="minorBidi" w:cstheme="minorBidi"/>
                                <w:bCs/>
                                <w:iCs/>
                                <w:szCs w:val="15"/>
                              </w:rPr>
                              <w:t>+972-3-6232525</w:t>
                            </w:r>
                          </w:p>
                          <w:p w14:paraId="0247B804" w14:textId="77777777" w:rsidR="00110844" w:rsidRPr="005E0021" w:rsidRDefault="00110844" w:rsidP="000805C9">
                            <w:pPr>
                              <w:pStyle w:val="EYBusinessaddress"/>
                              <w:rPr>
                                <w:rFonts w:asciiTheme="minorBidi" w:hAnsiTheme="minorBidi" w:cstheme="minorBidi"/>
                                <w:szCs w:val="15"/>
                              </w:rPr>
                            </w:pPr>
                            <w:r w:rsidRPr="005E0021">
                              <w:rPr>
                                <w:rFonts w:asciiTheme="minorBidi" w:hAnsiTheme="minorBidi" w:cstheme="minorBidi"/>
                                <w:szCs w:val="15"/>
                              </w:rPr>
                              <w:t xml:space="preserve">Fax: </w:t>
                            </w:r>
                            <w:r w:rsidRPr="005E0021">
                              <w:rPr>
                                <w:rFonts w:asciiTheme="minorBidi" w:hAnsiTheme="minorBidi" w:cstheme="minorBidi"/>
                                <w:bCs/>
                                <w:iCs/>
                                <w:szCs w:val="15"/>
                              </w:rPr>
                              <w:t>+972-3-5622555</w:t>
                            </w:r>
                          </w:p>
                          <w:p w14:paraId="146B33C5" w14:textId="77777777" w:rsidR="00110844" w:rsidRPr="005E0021" w:rsidRDefault="00110844" w:rsidP="000805C9">
                            <w:pPr>
                              <w:pStyle w:val="EYBusinessaddress"/>
                              <w:rPr>
                                <w:rFonts w:asciiTheme="minorBidi" w:hAnsiTheme="minorBidi" w:cstheme="minorBidi"/>
                              </w:rPr>
                            </w:pPr>
                            <w:r w:rsidRPr="005E0021">
                              <w:rPr>
                                <w:rFonts w:asciiTheme="minorBidi" w:hAnsiTheme="minorBidi" w:cstheme="minorBidi"/>
                                <w:szCs w:val="15"/>
                              </w:rPr>
                              <w:t>ey.com</w:t>
                            </w:r>
                          </w:p>
                        </w:tc>
                      </w:tr>
                    </w:tbl>
                    <w:p w14:paraId="76403F18" w14:textId="77777777" w:rsidR="00110844" w:rsidRDefault="00110844" w:rsidP="00110844">
                      <w:pPr>
                        <w:pStyle w:val="EYBusinessaddress"/>
                      </w:pPr>
                    </w:p>
                  </w:txbxContent>
                </v:textbox>
                <w10:wrap type="square" anchorx="page" anchory="page"/>
                <w10:anchorlock/>
              </v:shape>
            </w:pict>
          </mc:Fallback>
        </mc:AlternateContent>
      </w:r>
    </w:p>
    <w:p w14:paraId="4B9B8EB7" w14:textId="77777777" w:rsidR="00110844" w:rsidRPr="000408FE" w:rsidRDefault="00110844" w:rsidP="00110844">
      <w:pPr>
        <w:jc w:val="center"/>
        <w:rPr>
          <w:b/>
        </w:rPr>
      </w:pPr>
    </w:p>
    <w:p w14:paraId="29BEF2A6" w14:textId="77777777" w:rsidR="00110844" w:rsidRPr="000408FE" w:rsidRDefault="00110844" w:rsidP="00110844">
      <w:pPr>
        <w:jc w:val="center"/>
        <w:rPr>
          <w:b/>
        </w:rPr>
      </w:pPr>
    </w:p>
    <w:p w14:paraId="3DDFC6D5" w14:textId="77777777" w:rsidR="00110844" w:rsidRDefault="00110844" w:rsidP="00A842D3">
      <w:pPr>
        <w:pStyle w:val="FirsLine"/>
        <w:spacing w:line="264" w:lineRule="auto"/>
        <w:ind w:firstLine="0"/>
        <w:rPr>
          <w:szCs w:val="22"/>
        </w:rPr>
      </w:pPr>
    </w:p>
    <w:p w14:paraId="247431A3" w14:textId="77777777" w:rsidR="00110844" w:rsidRDefault="00110844" w:rsidP="00A842D3">
      <w:pPr>
        <w:pStyle w:val="FirsLine"/>
        <w:spacing w:line="264" w:lineRule="auto"/>
        <w:ind w:firstLine="0"/>
        <w:rPr>
          <w:szCs w:val="22"/>
        </w:rPr>
      </w:pPr>
    </w:p>
    <w:p w14:paraId="73DF0D89" w14:textId="77777777" w:rsidR="00110844" w:rsidRDefault="00110844" w:rsidP="00A842D3">
      <w:pPr>
        <w:pStyle w:val="FirsLine"/>
        <w:spacing w:line="264" w:lineRule="auto"/>
        <w:ind w:firstLine="0"/>
        <w:rPr>
          <w:szCs w:val="22"/>
        </w:rPr>
      </w:pPr>
    </w:p>
    <w:p w14:paraId="4794FFB1" w14:textId="77777777" w:rsidR="00110844" w:rsidRDefault="00110844" w:rsidP="00A842D3">
      <w:pPr>
        <w:pStyle w:val="FirsLine"/>
        <w:spacing w:line="264" w:lineRule="auto"/>
        <w:ind w:firstLine="0"/>
        <w:rPr>
          <w:szCs w:val="22"/>
        </w:rPr>
      </w:pPr>
    </w:p>
    <w:p w14:paraId="5658A3B5" w14:textId="4F172FE3" w:rsidR="00882A6E" w:rsidRDefault="00882A6E" w:rsidP="00A842D3">
      <w:pPr>
        <w:pStyle w:val="FirsLine"/>
        <w:spacing w:line="264" w:lineRule="auto"/>
        <w:ind w:firstLine="0"/>
        <w:rPr>
          <w:szCs w:val="22"/>
        </w:rPr>
      </w:pPr>
      <w:r w:rsidRPr="00882A6E">
        <w:rPr>
          <w:szCs w:val="22"/>
        </w:rPr>
        <w:t>The fair value of investment property and investment property under development is determined based on valuations performed by independent external appraisers with professional qualifications suitable for the location and type of investment property being evaluated.</w:t>
      </w:r>
    </w:p>
    <w:p w14:paraId="5AE0D7D3" w14:textId="77777777" w:rsidR="00031E12" w:rsidRPr="00882A6E" w:rsidRDefault="00031E12" w:rsidP="00A842D3">
      <w:pPr>
        <w:pStyle w:val="FirsLine"/>
        <w:spacing w:line="264" w:lineRule="auto"/>
        <w:ind w:firstLine="0"/>
        <w:rPr>
          <w:szCs w:val="22"/>
        </w:rPr>
      </w:pPr>
    </w:p>
    <w:p w14:paraId="218D426E" w14:textId="77777777" w:rsidR="00882A6E" w:rsidRDefault="00882A6E" w:rsidP="00A842D3">
      <w:pPr>
        <w:pStyle w:val="FirsLine"/>
        <w:spacing w:line="264" w:lineRule="auto"/>
        <w:ind w:firstLine="0"/>
        <w:rPr>
          <w:szCs w:val="22"/>
        </w:rPr>
      </w:pPr>
      <w:r w:rsidRPr="00882A6E">
        <w:rPr>
          <w:szCs w:val="22"/>
        </w:rPr>
        <w:t xml:space="preserve">The fair value of the investment property is based on recent transactions in the market for similar properties and in a similar location </w:t>
      </w:r>
      <w:proofErr w:type="gramStart"/>
      <w:r w:rsidRPr="00882A6E">
        <w:rPr>
          <w:szCs w:val="22"/>
        </w:rPr>
        <w:t>as</w:t>
      </w:r>
      <w:proofErr w:type="gramEnd"/>
      <w:r w:rsidRPr="00882A6E">
        <w:rPr>
          <w:szCs w:val="22"/>
        </w:rPr>
        <w:t xml:space="preserve"> the properties owned by the Company, if such transactions exist, </w:t>
      </w:r>
      <w:proofErr w:type="gramStart"/>
      <w:r w:rsidRPr="00882A6E">
        <w:rPr>
          <w:szCs w:val="22"/>
        </w:rPr>
        <w:t>and also</w:t>
      </w:r>
      <w:proofErr w:type="gramEnd"/>
      <w:r w:rsidRPr="00882A6E">
        <w:rPr>
          <w:szCs w:val="22"/>
        </w:rPr>
        <w:t xml:space="preserve"> based on discounted cash flow projections expected to be generated by the properties.</w:t>
      </w:r>
    </w:p>
    <w:p w14:paraId="45315E56" w14:textId="77777777" w:rsidR="00110844" w:rsidRPr="00882A6E" w:rsidRDefault="00110844" w:rsidP="00A842D3">
      <w:pPr>
        <w:pStyle w:val="FirsLine"/>
        <w:spacing w:line="264" w:lineRule="auto"/>
        <w:ind w:firstLine="0"/>
        <w:rPr>
          <w:szCs w:val="22"/>
        </w:rPr>
      </w:pPr>
    </w:p>
    <w:p w14:paraId="433A2A1C" w14:textId="79EFF542" w:rsidR="00882A6E" w:rsidRDefault="00882A6E" w:rsidP="00A842D3">
      <w:pPr>
        <w:pStyle w:val="FirsLine"/>
        <w:spacing w:line="264" w:lineRule="auto"/>
        <w:ind w:firstLine="0"/>
        <w:rPr>
          <w:szCs w:val="22"/>
        </w:rPr>
      </w:pPr>
      <w:r w:rsidRPr="00882A6E">
        <w:rPr>
          <w:szCs w:val="22"/>
        </w:rPr>
        <w:t>In performing the valuation, the Company uses key assumptions, which include estimated rental income, and discount rates which are appropriate for the nature of the property and market conditions.</w:t>
      </w:r>
    </w:p>
    <w:p w14:paraId="2DF0EAAE" w14:textId="77777777" w:rsidR="00110844" w:rsidRPr="00882A6E" w:rsidRDefault="00110844" w:rsidP="00A842D3">
      <w:pPr>
        <w:pStyle w:val="FirsLine"/>
        <w:spacing w:line="264" w:lineRule="auto"/>
        <w:ind w:firstLine="0"/>
        <w:rPr>
          <w:szCs w:val="22"/>
        </w:rPr>
      </w:pPr>
    </w:p>
    <w:p w14:paraId="296E5E32" w14:textId="77777777" w:rsidR="00882A6E" w:rsidRDefault="00882A6E" w:rsidP="00A842D3">
      <w:pPr>
        <w:pStyle w:val="FirsLine"/>
        <w:spacing w:line="264" w:lineRule="auto"/>
        <w:ind w:firstLine="0"/>
        <w:rPr>
          <w:szCs w:val="22"/>
        </w:rPr>
      </w:pPr>
      <w:r w:rsidRPr="00882A6E">
        <w:rPr>
          <w:szCs w:val="22"/>
        </w:rPr>
        <w:t>The fair value of the investment property under development is determined mainly according to the residual value method, and in some cases the comparison method.</w:t>
      </w:r>
    </w:p>
    <w:p w14:paraId="442DD8B0" w14:textId="77777777" w:rsidR="00110844" w:rsidRPr="00882A6E" w:rsidRDefault="00110844" w:rsidP="00A842D3">
      <w:pPr>
        <w:pStyle w:val="FirsLine"/>
        <w:spacing w:line="264" w:lineRule="auto"/>
        <w:ind w:firstLine="0"/>
        <w:rPr>
          <w:szCs w:val="22"/>
        </w:rPr>
      </w:pPr>
    </w:p>
    <w:p w14:paraId="0A207ED5" w14:textId="054F1B6A" w:rsidR="00882A6E" w:rsidRPr="00882A6E" w:rsidRDefault="00882A6E" w:rsidP="00A842D3">
      <w:pPr>
        <w:pStyle w:val="FirsLine"/>
        <w:spacing w:line="264" w:lineRule="auto"/>
        <w:ind w:firstLine="0"/>
        <w:rPr>
          <w:szCs w:val="22"/>
        </w:rPr>
      </w:pPr>
      <w:r w:rsidRPr="00882A6E">
        <w:rPr>
          <w:szCs w:val="22"/>
        </w:rPr>
        <w:t xml:space="preserve">The following, among others, are taken into consideration in determining the fair value: the duration of the construction of the project, the estimate of the property's rights, the rental income it will generate, the additional development costs required until the property becomes operational, the interest rate, the project's risk premium, and the capitalization rate. A change in any or </w:t>
      </w:r>
      <w:proofErr w:type="gramStart"/>
      <w:r w:rsidRPr="00882A6E">
        <w:rPr>
          <w:szCs w:val="22"/>
        </w:rPr>
        <w:t>all of</w:t>
      </w:r>
      <w:proofErr w:type="gramEnd"/>
      <w:r w:rsidRPr="00882A6E">
        <w:rPr>
          <w:szCs w:val="22"/>
        </w:rPr>
        <w:t xml:space="preserve"> these components could have an adverse effect on the fair value of the property as measured by the Company's management.</w:t>
      </w:r>
    </w:p>
    <w:p w14:paraId="1BAE5C9D" w14:textId="77777777" w:rsidR="00882A6E" w:rsidRPr="00882A6E" w:rsidRDefault="00882A6E" w:rsidP="00882A6E">
      <w:pPr>
        <w:pStyle w:val="FirsLine"/>
        <w:spacing w:line="264" w:lineRule="auto"/>
        <w:rPr>
          <w:szCs w:val="22"/>
        </w:rPr>
      </w:pPr>
    </w:p>
    <w:p w14:paraId="0B23C576" w14:textId="77777777" w:rsidR="00882A6E" w:rsidRPr="00882A6E" w:rsidRDefault="00882A6E" w:rsidP="00A842D3">
      <w:pPr>
        <w:pStyle w:val="FirsLine"/>
        <w:spacing w:line="264" w:lineRule="auto"/>
        <w:ind w:firstLine="0"/>
        <w:rPr>
          <w:szCs w:val="22"/>
        </w:rPr>
      </w:pPr>
      <w:r w:rsidRPr="00882A6E">
        <w:rPr>
          <w:szCs w:val="22"/>
        </w:rPr>
        <w:t>The valuation of investment property and investment property under development ("investment property") involves the judgment of those charged with governance and of management in making estimates and assumptions.</w:t>
      </w:r>
    </w:p>
    <w:p w14:paraId="765AEBD9" w14:textId="77777777" w:rsidR="00882A6E" w:rsidRPr="00882A6E" w:rsidRDefault="00882A6E" w:rsidP="00882A6E">
      <w:pPr>
        <w:pStyle w:val="FirsLine"/>
        <w:spacing w:line="264" w:lineRule="auto"/>
        <w:rPr>
          <w:szCs w:val="22"/>
        </w:rPr>
      </w:pPr>
    </w:p>
    <w:p w14:paraId="1916D593" w14:textId="77777777" w:rsidR="00882A6E" w:rsidRDefault="00882A6E" w:rsidP="00A842D3">
      <w:pPr>
        <w:pStyle w:val="FirsLine"/>
        <w:spacing w:line="264" w:lineRule="auto"/>
        <w:ind w:firstLine="0"/>
        <w:rPr>
          <w:szCs w:val="22"/>
        </w:rPr>
      </w:pPr>
      <w:r w:rsidRPr="00882A6E">
        <w:rPr>
          <w:szCs w:val="22"/>
        </w:rPr>
        <w:t>We identified the estimates and assumptions used in measuring the fair value of investment property as a key audit matter.</w:t>
      </w:r>
    </w:p>
    <w:p w14:paraId="318E008D" w14:textId="77777777" w:rsidR="00110844" w:rsidRPr="00882A6E" w:rsidRDefault="00110844" w:rsidP="00A842D3">
      <w:pPr>
        <w:pStyle w:val="FirsLine"/>
        <w:spacing w:line="264" w:lineRule="auto"/>
        <w:ind w:firstLine="0"/>
        <w:rPr>
          <w:szCs w:val="22"/>
        </w:rPr>
      </w:pPr>
    </w:p>
    <w:p w14:paraId="056404BD" w14:textId="36C76C73" w:rsidR="00882A6E" w:rsidRDefault="00882A6E" w:rsidP="00882A6E">
      <w:pPr>
        <w:pStyle w:val="FirsLine"/>
        <w:spacing w:line="264" w:lineRule="auto"/>
        <w:ind w:firstLine="0"/>
        <w:rPr>
          <w:szCs w:val="22"/>
        </w:rPr>
      </w:pPr>
      <w:r w:rsidRPr="00882A6E">
        <w:rPr>
          <w:szCs w:val="22"/>
        </w:rPr>
        <w:t>An appropriate audit of the fair value measurement of investment property requires subjective judgment by the auditor and requires knowledge and experience to assess the reasonableness of the assumptions used by management in determining the fair value of the investment properties.</w:t>
      </w:r>
    </w:p>
    <w:p w14:paraId="2A597634" w14:textId="7167885C" w:rsidR="00882A6E" w:rsidRDefault="00882A6E" w:rsidP="00882A6E">
      <w:pPr>
        <w:pStyle w:val="FirsLine"/>
        <w:spacing w:line="264" w:lineRule="auto"/>
        <w:ind w:firstLine="0"/>
        <w:rPr>
          <w:szCs w:val="22"/>
        </w:rPr>
      </w:pPr>
    </w:p>
    <w:p w14:paraId="4DDE6FD0" w14:textId="77777777" w:rsidR="00110844" w:rsidRDefault="00110844" w:rsidP="00882A6E">
      <w:pPr>
        <w:pStyle w:val="FirsLine"/>
        <w:spacing w:line="264" w:lineRule="auto"/>
        <w:ind w:firstLine="0"/>
        <w:rPr>
          <w:szCs w:val="22"/>
        </w:rPr>
        <w:sectPr w:rsidR="00110844" w:rsidSect="00593E8F">
          <w:endnotePr>
            <w:numFmt w:val="lowerLetter"/>
          </w:endnotePr>
          <w:pgSz w:w="11906" w:h="16838"/>
          <w:pgMar w:top="1134" w:right="1134" w:bottom="1134" w:left="1134" w:header="567" w:footer="567" w:gutter="0"/>
          <w:paperSrc w:first="15" w:other="15"/>
          <w:cols w:space="720"/>
          <w:bidi/>
          <w:docGrid w:linePitch="326"/>
        </w:sectPr>
      </w:pPr>
    </w:p>
    <w:p w14:paraId="1E0B6A45" w14:textId="77777777" w:rsidR="00110844" w:rsidRPr="000408FE" w:rsidRDefault="00110844" w:rsidP="00110844">
      <w:pPr>
        <w:pStyle w:val="a6"/>
        <w:rPr>
          <w:bCs/>
          <w:iCs/>
          <w:color w:val="808080"/>
          <w:kern w:val="12"/>
          <w:sz w:val="15"/>
          <w:szCs w:val="15"/>
        </w:rPr>
      </w:pPr>
      <w:r w:rsidRPr="000408FE">
        <w:rPr>
          <w:bCs/>
          <w:iCs/>
          <w:noProof/>
          <w:color w:val="808080"/>
          <w:kern w:val="12"/>
          <w:sz w:val="15"/>
          <w:szCs w:val="15"/>
        </w:rPr>
        <w:lastRenderedPageBreak/>
        <w:drawing>
          <wp:anchor distT="0" distB="0" distL="114300" distR="114300" simplePos="0" relativeHeight="251668480" behindDoc="1" locked="0" layoutInCell="1" allowOverlap="1" wp14:anchorId="62198BFB" wp14:editId="7F1BB600">
            <wp:simplePos x="0" y="0"/>
            <wp:positionH relativeFrom="margin">
              <wp:posOffset>-12396</wp:posOffset>
            </wp:positionH>
            <wp:positionV relativeFrom="page">
              <wp:posOffset>301625</wp:posOffset>
            </wp:positionV>
            <wp:extent cx="768096" cy="896112"/>
            <wp:effectExtent l="0" t="0" r="0" b="0"/>
            <wp:wrapNone/>
            <wp:docPr id="7" name="תמונה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7" name="תמונה 7">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68096" cy="896112"/>
                    </a:xfrm>
                    <a:prstGeom prst="rect">
                      <a:avLst/>
                    </a:prstGeom>
                    <a:noFill/>
                    <a:ln>
                      <a:noFill/>
                    </a:ln>
                    <a:effectLst/>
                  </pic:spPr>
                </pic:pic>
              </a:graphicData>
            </a:graphic>
          </wp:anchor>
        </w:drawing>
      </w:r>
      <w:r w:rsidRPr="000408FE">
        <w:rPr>
          <w:bCs/>
          <w:iCs/>
          <w:noProof/>
          <w:color w:val="808080"/>
          <w:kern w:val="12"/>
          <w:sz w:val="15"/>
          <w:szCs w:val="15"/>
        </w:rPr>
        <mc:AlternateContent>
          <mc:Choice Requires="wps">
            <w:drawing>
              <wp:anchor distT="0" distB="0" distL="114300" distR="114300" simplePos="0" relativeHeight="251667456" behindDoc="0" locked="1" layoutInCell="1" allowOverlap="1" wp14:anchorId="11948C07" wp14:editId="0ACC9547">
                <wp:simplePos x="0" y="0"/>
                <wp:positionH relativeFrom="page">
                  <wp:posOffset>2120900</wp:posOffset>
                </wp:positionH>
                <wp:positionV relativeFrom="page">
                  <wp:posOffset>609600</wp:posOffset>
                </wp:positionV>
                <wp:extent cx="3962400" cy="40640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2977"/>
                              <w:gridCol w:w="142"/>
                              <w:gridCol w:w="1701"/>
                            </w:tblGrid>
                            <w:tr w:rsidR="00110844" w14:paraId="6F25B335" w14:textId="77777777" w:rsidTr="008176EC">
                              <w:tc>
                                <w:tcPr>
                                  <w:tcW w:w="2977" w:type="dxa"/>
                                </w:tcPr>
                                <w:p w14:paraId="043D6198" w14:textId="77777777" w:rsidR="00110844" w:rsidRPr="005E0021" w:rsidRDefault="00110844" w:rsidP="000805C9">
                                  <w:pPr>
                                    <w:pStyle w:val="EYBusinessaddress"/>
                                    <w:rPr>
                                      <w:rFonts w:asciiTheme="minorBidi" w:hAnsiTheme="minorBidi" w:cstheme="minorBidi"/>
                                      <w:b/>
                                      <w:bCs/>
                                    </w:rPr>
                                  </w:pPr>
                                  <w:r w:rsidRPr="005E0021">
                                    <w:rPr>
                                      <w:rFonts w:asciiTheme="minorBidi" w:hAnsiTheme="minorBidi" w:cstheme="minorBidi"/>
                                      <w:b/>
                                      <w:bCs/>
                                    </w:rPr>
                                    <w:t xml:space="preserve">Kost Forer Gabbay &amp; </w:t>
                                  </w:r>
                                  <w:r w:rsidRPr="005E0021">
                                    <w:rPr>
                                      <w:rFonts w:asciiTheme="minorBidi" w:hAnsiTheme="minorBidi" w:cstheme="minorBidi"/>
                                      <w:b/>
                                      <w:bCs/>
                                    </w:rPr>
                                    <w:t>Kasierer</w:t>
                                  </w:r>
                                </w:p>
                                <w:p w14:paraId="41D5C123" w14:textId="77777777" w:rsidR="00110844" w:rsidRPr="005E0021" w:rsidRDefault="00110844" w:rsidP="000805C9">
                                  <w:pPr>
                                    <w:rPr>
                                      <w:rFonts w:asciiTheme="minorBidi" w:hAnsiTheme="minorBidi" w:cstheme="minorBidi"/>
                                      <w:bCs/>
                                      <w:iCs/>
                                      <w:color w:val="808080"/>
                                      <w:kern w:val="12"/>
                                      <w:sz w:val="15"/>
                                      <w:szCs w:val="15"/>
                                    </w:rPr>
                                  </w:pPr>
                                  <w:r w:rsidRPr="005E0021">
                                    <w:rPr>
                                      <w:rFonts w:asciiTheme="minorBidi" w:hAnsiTheme="minorBidi" w:cstheme="minorBidi"/>
                                      <w:bCs/>
                                      <w:iCs/>
                                      <w:color w:val="808080"/>
                                      <w:kern w:val="12"/>
                                      <w:sz w:val="15"/>
                                      <w:szCs w:val="15"/>
                                    </w:rPr>
                                    <w:t xml:space="preserve">144 Menachem Begin Road, Building A </w:t>
                                  </w:r>
                                </w:p>
                                <w:p w14:paraId="405F290B" w14:textId="77777777" w:rsidR="00110844" w:rsidRPr="005E0021" w:rsidRDefault="00110844" w:rsidP="000805C9">
                                  <w:pPr>
                                    <w:pStyle w:val="EYBusinessaddress"/>
                                    <w:rPr>
                                      <w:rFonts w:asciiTheme="minorBidi" w:hAnsiTheme="minorBidi" w:cstheme="minorBidi"/>
                                    </w:rPr>
                                  </w:pPr>
                                  <w:r w:rsidRPr="005E0021">
                                    <w:rPr>
                                      <w:rFonts w:asciiTheme="minorBidi" w:hAnsiTheme="minorBidi" w:cstheme="minorBidi"/>
                                      <w:bCs/>
                                      <w:iCs/>
                                      <w:szCs w:val="15"/>
                                    </w:rPr>
                                    <w:t>Tel-Aviv 6492102, Israel</w:t>
                                  </w:r>
                                </w:p>
                                <w:p w14:paraId="1DB64FDC" w14:textId="77777777" w:rsidR="00110844" w:rsidRPr="005E0021" w:rsidRDefault="00110844" w:rsidP="000805C9">
                                  <w:pPr>
                                    <w:pStyle w:val="EYBusinessaddress"/>
                                    <w:rPr>
                                      <w:rFonts w:asciiTheme="minorBidi" w:hAnsiTheme="minorBidi" w:cstheme="minorBidi"/>
                                    </w:rPr>
                                  </w:pPr>
                                </w:p>
                              </w:tc>
                              <w:tc>
                                <w:tcPr>
                                  <w:tcW w:w="142" w:type="dxa"/>
                                </w:tcPr>
                                <w:p w14:paraId="76225B9F" w14:textId="77777777" w:rsidR="00110844" w:rsidRPr="005E0021" w:rsidRDefault="00110844" w:rsidP="000805C9">
                                  <w:pPr>
                                    <w:pStyle w:val="EYBusinessaddress"/>
                                    <w:rPr>
                                      <w:rFonts w:asciiTheme="minorBidi" w:hAnsiTheme="minorBidi" w:cstheme="minorBidi"/>
                                    </w:rPr>
                                  </w:pPr>
                                </w:p>
                              </w:tc>
                              <w:tc>
                                <w:tcPr>
                                  <w:tcW w:w="1701" w:type="dxa"/>
                                </w:tcPr>
                                <w:p w14:paraId="1F21E584" w14:textId="77777777" w:rsidR="00110844" w:rsidRPr="005E0021" w:rsidRDefault="00110844" w:rsidP="000805C9">
                                  <w:pPr>
                                    <w:pStyle w:val="EYBusinessaddress"/>
                                    <w:rPr>
                                      <w:rFonts w:asciiTheme="minorBidi" w:hAnsiTheme="minorBidi" w:cstheme="minorBidi"/>
                                      <w:szCs w:val="15"/>
                                      <w:lang w:bidi="he-IL"/>
                                    </w:rPr>
                                  </w:pPr>
                                  <w:r w:rsidRPr="005E0021">
                                    <w:rPr>
                                      <w:rFonts w:asciiTheme="minorBidi" w:hAnsiTheme="minorBidi" w:cstheme="minorBidi"/>
                                      <w:szCs w:val="15"/>
                                    </w:rPr>
                                    <w:t xml:space="preserve">Tel: </w:t>
                                  </w:r>
                                  <w:r w:rsidRPr="005E0021">
                                    <w:rPr>
                                      <w:rFonts w:asciiTheme="minorBidi" w:hAnsiTheme="minorBidi" w:cstheme="minorBidi"/>
                                      <w:bCs/>
                                      <w:iCs/>
                                      <w:szCs w:val="15"/>
                                    </w:rPr>
                                    <w:t>+972-3-6232525</w:t>
                                  </w:r>
                                </w:p>
                                <w:p w14:paraId="726EAB14" w14:textId="77777777" w:rsidR="00110844" w:rsidRPr="005E0021" w:rsidRDefault="00110844" w:rsidP="000805C9">
                                  <w:pPr>
                                    <w:pStyle w:val="EYBusinessaddress"/>
                                    <w:rPr>
                                      <w:rFonts w:asciiTheme="minorBidi" w:hAnsiTheme="minorBidi" w:cstheme="minorBidi"/>
                                      <w:szCs w:val="15"/>
                                    </w:rPr>
                                  </w:pPr>
                                  <w:r w:rsidRPr="005E0021">
                                    <w:rPr>
                                      <w:rFonts w:asciiTheme="minorBidi" w:hAnsiTheme="minorBidi" w:cstheme="minorBidi"/>
                                      <w:szCs w:val="15"/>
                                    </w:rPr>
                                    <w:t xml:space="preserve">Fax: </w:t>
                                  </w:r>
                                  <w:r w:rsidRPr="005E0021">
                                    <w:rPr>
                                      <w:rFonts w:asciiTheme="minorBidi" w:hAnsiTheme="minorBidi" w:cstheme="minorBidi"/>
                                      <w:bCs/>
                                      <w:iCs/>
                                      <w:szCs w:val="15"/>
                                    </w:rPr>
                                    <w:t>+972-3-5622555</w:t>
                                  </w:r>
                                </w:p>
                                <w:p w14:paraId="1AA60BF7" w14:textId="77777777" w:rsidR="00110844" w:rsidRPr="005E0021" w:rsidRDefault="00110844" w:rsidP="000805C9">
                                  <w:pPr>
                                    <w:pStyle w:val="EYBusinessaddress"/>
                                    <w:rPr>
                                      <w:rFonts w:asciiTheme="minorBidi" w:hAnsiTheme="minorBidi" w:cstheme="minorBidi"/>
                                    </w:rPr>
                                  </w:pPr>
                                  <w:r w:rsidRPr="005E0021">
                                    <w:rPr>
                                      <w:rFonts w:asciiTheme="minorBidi" w:hAnsiTheme="minorBidi" w:cstheme="minorBidi"/>
                                      <w:szCs w:val="15"/>
                                    </w:rPr>
                                    <w:t>ey.com</w:t>
                                  </w:r>
                                </w:p>
                              </w:tc>
                            </w:tr>
                          </w:tbl>
                          <w:p w14:paraId="1458E61A" w14:textId="77777777" w:rsidR="00110844" w:rsidRDefault="00110844" w:rsidP="00110844">
                            <w:pPr>
                              <w:pStyle w:val="EYBusinessaddres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948C07" id="_x0000_s1028" type="#_x0000_t202" style="position:absolute;margin-left:167pt;margin-top:48pt;width:312pt;height:32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" filled="f" stroked="f">
                <v:textbox inset="0,0,0,0">
                  <w:txbxContent>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2977"/>
                        <w:gridCol w:w="142"/>
                        <w:gridCol w:w="1701"/>
                      </w:tblGrid>
                      <w:tr w:rsidR="00110844" w14:paraId="6F25B335" w14:textId="77777777" w:rsidTr="008176EC">
                        <w:tc>
                          <w:tcPr>
                            <w:tcW w:w="2977" w:type="dxa"/>
                          </w:tcPr>
                          <w:p w14:paraId="043D6198" w14:textId="77777777" w:rsidR="00110844" w:rsidRPr="005E0021" w:rsidRDefault="00110844" w:rsidP="000805C9">
                            <w:pPr>
                              <w:pStyle w:val="EYBusinessaddress"/>
                              <w:rPr>
                                <w:rFonts w:asciiTheme="minorBidi" w:hAnsiTheme="minorBidi" w:cstheme="minorBidi"/>
                                <w:b/>
                                <w:bCs/>
                              </w:rPr>
                            </w:pPr>
                            <w:r w:rsidRPr="005E0021">
                              <w:rPr>
                                <w:rFonts w:asciiTheme="minorBidi" w:hAnsiTheme="minorBidi" w:cstheme="minorBidi"/>
                                <w:b/>
                                <w:bCs/>
                              </w:rPr>
                              <w:t xml:space="preserve">Kost Forer Gabbay &amp; </w:t>
                            </w:r>
                            <w:r w:rsidRPr="005E0021">
                              <w:rPr>
                                <w:rFonts w:asciiTheme="minorBidi" w:hAnsiTheme="minorBidi" w:cstheme="minorBidi"/>
                                <w:b/>
                                <w:bCs/>
                              </w:rPr>
                              <w:t>Kasierer</w:t>
                            </w:r>
                          </w:p>
                          <w:p w14:paraId="41D5C123" w14:textId="77777777" w:rsidR="00110844" w:rsidRPr="005E0021" w:rsidRDefault="00110844" w:rsidP="000805C9">
                            <w:pPr>
                              <w:rPr>
                                <w:rFonts w:asciiTheme="minorBidi" w:hAnsiTheme="minorBidi" w:cstheme="minorBidi"/>
                                <w:bCs/>
                                <w:iCs/>
                                <w:color w:val="808080"/>
                                <w:kern w:val="12"/>
                                <w:sz w:val="15"/>
                                <w:szCs w:val="15"/>
                              </w:rPr>
                            </w:pPr>
                            <w:r w:rsidRPr="005E0021">
                              <w:rPr>
                                <w:rFonts w:asciiTheme="minorBidi" w:hAnsiTheme="minorBidi" w:cstheme="minorBidi"/>
                                <w:bCs/>
                                <w:iCs/>
                                <w:color w:val="808080"/>
                                <w:kern w:val="12"/>
                                <w:sz w:val="15"/>
                                <w:szCs w:val="15"/>
                              </w:rPr>
                              <w:t xml:space="preserve">144 Menachem Begin Road, Building A </w:t>
                            </w:r>
                          </w:p>
                          <w:p w14:paraId="405F290B" w14:textId="77777777" w:rsidR="00110844" w:rsidRPr="005E0021" w:rsidRDefault="00110844" w:rsidP="000805C9">
                            <w:pPr>
                              <w:pStyle w:val="EYBusinessaddress"/>
                              <w:rPr>
                                <w:rFonts w:asciiTheme="minorBidi" w:hAnsiTheme="minorBidi" w:cstheme="minorBidi"/>
                              </w:rPr>
                            </w:pPr>
                            <w:r w:rsidRPr="005E0021">
                              <w:rPr>
                                <w:rFonts w:asciiTheme="minorBidi" w:hAnsiTheme="minorBidi" w:cstheme="minorBidi"/>
                                <w:bCs/>
                                <w:iCs/>
                                <w:szCs w:val="15"/>
                              </w:rPr>
                              <w:t>Tel-Aviv 6492102, Israel</w:t>
                            </w:r>
                          </w:p>
                          <w:p w14:paraId="1DB64FDC" w14:textId="77777777" w:rsidR="00110844" w:rsidRPr="005E0021" w:rsidRDefault="00110844" w:rsidP="000805C9">
                            <w:pPr>
                              <w:pStyle w:val="EYBusinessaddress"/>
                              <w:rPr>
                                <w:rFonts w:asciiTheme="minorBidi" w:hAnsiTheme="minorBidi" w:cstheme="minorBidi"/>
                              </w:rPr>
                            </w:pPr>
                          </w:p>
                        </w:tc>
                        <w:tc>
                          <w:tcPr>
                            <w:tcW w:w="142" w:type="dxa"/>
                          </w:tcPr>
                          <w:p w14:paraId="76225B9F" w14:textId="77777777" w:rsidR="00110844" w:rsidRPr="005E0021" w:rsidRDefault="00110844" w:rsidP="000805C9">
                            <w:pPr>
                              <w:pStyle w:val="EYBusinessaddress"/>
                              <w:rPr>
                                <w:rFonts w:asciiTheme="minorBidi" w:hAnsiTheme="minorBidi" w:cstheme="minorBidi"/>
                              </w:rPr>
                            </w:pPr>
                          </w:p>
                        </w:tc>
                        <w:tc>
                          <w:tcPr>
                            <w:tcW w:w="1701" w:type="dxa"/>
                          </w:tcPr>
                          <w:p w14:paraId="1F21E584" w14:textId="77777777" w:rsidR="00110844" w:rsidRPr="005E0021" w:rsidRDefault="00110844" w:rsidP="000805C9">
                            <w:pPr>
                              <w:pStyle w:val="EYBusinessaddress"/>
                              <w:rPr>
                                <w:rFonts w:asciiTheme="minorBidi" w:hAnsiTheme="minorBidi" w:cstheme="minorBidi"/>
                                <w:szCs w:val="15"/>
                                <w:lang w:bidi="he-IL"/>
                              </w:rPr>
                            </w:pPr>
                            <w:r w:rsidRPr="005E0021">
                              <w:rPr>
                                <w:rFonts w:asciiTheme="minorBidi" w:hAnsiTheme="minorBidi" w:cstheme="minorBidi"/>
                                <w:szCs w:val="15"/>
                              </w:rPr>
                              <w:t xml:space="preserve">Tel: </w:t>
                            </w:r>
                            <w:r w:rsidRPr="005E0021">
                              <w:rPr>
                                <w:rFonts w:asciiTheme="minorBidi" w:hAnsiTheme="minorBidi" w:cstheme="minorBidi"/>
                                <w:bCs/>
                                <w:iCs/>
                                <w:szCs w:val="15"/>
                              </w:rPr>
                              <w:t>+972-3-6232525</w:t>
                            </w:r>
                          </w:p>
                          <w:p w14:paraId="726EAB14" w14:textId="77777777" w:rsidR="00110844" w:rsidRPr="005E0021" w:rsidRDefault="00110844" w:rsidP="000805C9">
                            <w:pPr>
                              <w:pStyle w:val="EYBusinessaddress"/>
                              <w:rPr>
                                <w:rFonts w:asciiTheme="minorBidi" w:hAnsiTheme="minorBidi" w:cstheme="minorBidi"/>
                                <w:szCs w:val="15"/>
                              </w:rPr>
                            </w:pPr>
                            <w:r w:rsidRPr="005E0021">
                              <w:rPr>
                                <w:rFonts w:asciiTheme="minorBidi" w:hAnsiTheme="minorBidi" w:cstheme="minorBidi"/>
                                <w:szCs w:val="15"/>
                              </w:rPr>
                              <w:t xml:space="preserve">Fax: </w:t>
                            </w:r>
                            <w:r w:rsidRPr="005E0021">
                              <w:rPr>
                                <w:rFonts w:asciiTheme="minorBidi" w:hAnsiTheme="minorBidi" w:cstheme="minorBidi"/>
                                <w:bCs/>
                                <w:iCs/>
                                <w:szCs w:val="15"/>
                              </w:rPr>
                              <w:t>+972-3-5622555</w:t>
                            </w:r>
                          </w:p>
                          <w:p w14:paraId="1AA60BF7" w14:textId="77777777" w:rsidR="00110844" w:rsidRPr="005E0021" w:rsidRDefault="00110844" w:rsidP="000805C9">
                            <w:pPr>
                              <w:pStyle w:val="EYBusinessaddress"/>
                              <w:rPr>
                                <w:rFonts w:asciiTheme="minorBidi" w:hAnsiTheme="minorBidi" w:cstheme="minorBidi"/>
                              </w:rPr>
                            </w:pPr>
                            <w:r w:rsidRPr="005E0021">
                              <w:rPr>
                                <w:rFonts w:asciiTheme="minorBidi" w:hAnsiTheme="minorBidi" w:cstheme="minorBidi"/>
                                <w:szCs w:val="15"/>
                              </w:rPr>
                              <w:t>ey.com</w:t>
                            </w:r>
                          </w:p>
                        </w:tc>
                      </w:tr>
                    </w:tbl>
                    <w:p w14:paraId="1458E61A" w14:textId="77777777" w:rsidR="00110844" w:rsidRDefault="00110844" w:rsidP="00110844">
                      <w:pPr>
                        <w:pStyle w:val="EYBusinessaddress"/>
                      </w:pPr>
                    </w:p>
                  </w:txbxContent>
                </v:textbox>
                <w10:wrap type="square" anchorx="page" anchory="page"/>
                <w10:anchorlock/>
              </v:shape>
            </w:pict>
          </mc:Fallback>
        </mc:AlternateContent>
      </w:r>
    </w:p>
    <w:p w14:paraId="36F88FFD" w14:textId="77777777" w:rsidR="00110844" w:rsidRPr="000408FE" w:rsidRDefault="00110844" w:rsidP="00110844">
      <w:pPr>
        <w:jc w:val="center"/>
        <w:rPr>
          <w:b/>
        </w:rPr>
      </w:pPr>
    </w:p>
    <w:p w14:paraId="78B8BC37" w14:textId="77777777" w:rsidR="00110844" w:rsidRPr="000408FE" w:rsidRDefault="00110844" w:rsidP="00110844">
      <w:pPr>
        <w:jc w:val="center"/>
        <w:rPr>
          <w:b/>
        </w:rPr>
      </w:pPr>
    </w:p>
    <w:p w14:paraId="66E660A2" w14:textId="77777777" w:rsidR="00110844" w:rsidRDefault="00110844" w:rsidP="00882A6E">
      <w:pPr>
        <w:pStyle w:val="FirsLine"/>
        <w:spacing w:line="264" w:lineRule="auto"/>
        <w:ind w:firstLine="0"/>
        <w:rPr>
          <w:szCs w:val="22"/>
        </w:rPr>
      </w:pPr>
    </w:p>
    <w:p w14:paraId="30842CAD" w14:textId="77777777" w:rsidR="00110844" w:rsidRDefault="00110844" w:rsidP="00882A6E">
      <w:pPr>
        <w:pStyle w:val="FirsLine"/>
        <w:spacing w:line="264" w:lineRule="auto"/>
        <w:ind w:firstLine="0"/>
        <w:rPr>
          <w:szCs w:val="22"/>
        </w:rPr>
      </w:pPr>
    </w:p>
    <w:p w14:paraId="237CD4D5" w14:textId="79C1ED3A" w:rsidR="00882A6E" w:rsidRPr="00A842D3" w:rsidRDefault="00882A6E" w:rsidP="00D34954">
      <w:pPr>
        <w:overflowPunct w:val="0"/>
        <w:autoSpaceDE w:val="0"/>
        <w:autoSpaceDN w:val="0"/>
        <w:adjustRightInd w:val="0"/>
        <w:spacing w:line="264" w:lineRule="auto"/>
        <w:jc w:val="both"/>
        <w:textAlignment w:val="baseline"/>
        <w:outlineLvl w:val="3"/>
        <w:rPr>
          <w:rFonts w:cs="Narkisim"/>
          <w:b/>
          <w:bCs/>
          <w:sz w:val="22"/>
          <w:szCs w:val="22"/>
        </w:rPr>
      </w:pPr>
      <w:bookmarkStart w:id="6" w:name="_Hlk129276086"/>
      <w:r w:rsidRPr="00A842D3">
        <w:rPr>
          <w:rFonts w:cs="Narkisim"/>
          <w:b/>
          <w:bCs/>
          <w:sz w:val="22"/>
          <w:szCs w:val="22"/>
        </w:rPr>
        <w:t xml:space="preserve">How our audit addressed the </w:t>
      </w:r>
      <w:r w:rsidR="00110844" w:rsidRPr="00A842D3">
        <w:rPr>
          <w:rFonts w:cs="Narkisim"/>
          <w:b/>
          <w:bCs/>
          <w:sz w:val="22"/>
          <w:szCs w:val="22"/>
        </w:rPr>
        <w:t>key audit matter</w:t>
      </w:r>
    </w:p>
    <w:bookmarkEnd w:id="6"/>
    <w:p w14:paraId="06FDC2EE" w14:textId="77777777" w:rsidR="00882A6E" w:rsidRPr="00882A6E" w:rsidRDefault="00882A6E" w:rsidP="00882A6E">
      <w:pPr>
        <w:pStyle w:val="FirsLine"/>
        <w:rPr>
          <w:color w:val="FF0000"/>
          <w:szCs w:val="22"/>
        </w:rPr>
      </w:pPr>
    </w:p>
    <w:p w14:paraId="3A532307" w14:textId="77777777" w:rsidR="00882A6E" w:rsidRPr="00A842D3" w:rsidRDefault="00882A6E" w:rsidP="00882A6E">
      <w:pPr>
        <w:autoSpaceDE w:val="0"/>
        <w:autoSpaceDN w:val="0"/>
        <w:adjustRightInd w:val="0"/>
        <w:jc w:val="both"/>
        <w:rPr>
          <w:sz w:val="22"/>
          <w:szCs w:val="22"/>
        </w:rPr>
      </w:pPr>
      <w:r w:rsidRPr="00A842D3">
        <w:rPr>
          <w:sz w:val="22"/>
          <w:szCs w:val="22"/>
        </w:rPr>
        <w:t>In response to the uncertainties involved in determining the fair value of investment property, we performed mainly the following procedures:</w:t>
      </w:r>
    </w:p>
    <w:p w14:paraId="227398AA" w14:textId="77777777" w:rsidR="00882A6E" w:rsidRPr="00A842D3" w:rsidRDefault="00882A6E" w:rsidP="00882A6E">
      <w:pPr>
        <w:autoSpaceDE w:val="0"/>
        <w:autoSpaceDN w:val="0"/>
        <w:adjustRightInd w:val="0"/>
        <w:jc w:val="both"/>
        <w:rPr>
          <w:sz w:val="22"/>
          <w:szCs w:val="22"/>
        </w:rPr>
      </w:pPr>
    </w:p>
    <w:p w14:paraId="709669B4" w14:textId="77777777" w:rsidR="00882A6E" w:rsidRPr="00A842D3" w:rsidRDefault="00882A6E" w:rsidP="00C5462B">
      <w:pPr>
        <w:pStyle w:val="af2"/>
        <w:numPr>
          <w:ilvl w:val="0"/>
          <w:numId w:val="31"/>
        </w:numPr>
        <w:autoSpaceDE w:val="0"/>
        <w:autoSpaceDN w:val="0"/>
        <w:adjustRightInd w:val="0"/>
        <w:jc w:val="both"/>
        <w:rPr>
          <w:sz w:val="22"/>
          <w:szCs w:val="22"/>
        </w:rPr>
      </w:pPr>
      <w:r w:rsidRPr="00A842D3">
        <w:rPr>
          <w:sz w:val="22"/>
          <w:szCs w:val="22"/>
        </w:rPr>
        <w:t>Obtaining an understanding of the internal control environment regarding the determination of the fair value of investment property and auditing the effectiveness of the internal control relevant to the determination of the fair value.</w:t>
      </w:r>
    </w:p>
    <w:p w14:paraId="556221BD" w14:textId="77777777" w:rsidR="00882A6E" w:rsidRPr="00A842D3" w:rsidRDefault="00882A6E" w:rsidP="00C5462B">
      <w:pPr>
        <w:pStyle w:val="af2"/>
        <w:numPr>
          <w:ilvl w:val="0"/>
          <w:numId w:val="31"/>
        </w:numPr>
        <w:autoSpaceDE w:val="0"/>
        <w:autoSpaceDN w:val="0"/>
        <w:adjustRightInd w:val="0"/>
        <w:jc w:val="both"/>
        <w:rPr>
          <w:sz w:val="22"/>
          <w:szCs w:val="22"/>
        </w:rPr>
      </w:pPr>
      <w:r w:rsidRPr="00A842D3">
        <w:rPr>
          <w:sz w:val="22"/>
          <w:szCs w:val="22"/>
        </w:rPr>
        <w:t>Evaluation of key assumptions and considerations that include a wide range of perspectives and understanding the approaches used by the appraisers in determining fair value.</w:t>
      </w:r>
    </w:p>
    <w:p w14:paraId="30B53989" w14:textId="016548CE" w:rsidR="00882A6E" w:rsidRPr="00A842D3" w:rsidRDefault="00882A6E" w:rsidP="00C5462B">
      <w:pPr>
        <w:pStyle w:val="af2"/>
        <w:numPr>
          <w:ilvl w:val="0"/>
          <w:numId w:val="31"/>
        </w:numPr>
        <w:autoSpaceDE w:val="0"/>
        <w:autoSpaceDN w:val="0"/>
        <w:adjustRightInd w:val="0"/>
        <w:jc w:val="both"/>
        <w:rPr>
          <w:sz w:val="22"/>
          <w:szCs w:val="22"/>
        </w:rPr>
      </w:pPr>
      <w:r w:rsidRPr="00A842D3">
        <w:rPr>
          <w:sz w:val="22"/>
          <w:szCs w:val="22"/>
        </w:rPr>
        <w:t>Review of the methodology chosen for determining fair value and examination of its appropriateness with the characteristics of the asset.</w:t>
      </w:r>
    </w:p>
    <w:p w14:paraId="336D097F" w14:textId="1E282654" w:rsidR="00882A6E" w:rsidRPr="00A842D3" w:rsidRDefault="00882A6E" w:rsidP="00C5462B">
      <w:pPr>
        <w:pStyle w:val="af2"/>
        <w:numPr>
          <w:ilvl w:val="0"/>
          <w:numId w:val="31"/>
        </w:numPr>
        <w:autoSpaceDE w:val="0"/>
        <w:autoSpaceDN w:val="0"/>
        <w:adjustRightInd w:val="0"/>
        <w:jc w:val="both"/>
        <w:rPr>
          <w:sz w:val="22"/>
          <w:szCs w:val="22"/>
        </w:rPr>
      </w:pPr>
      <w:r w:rsidRPr="00A842D3">
        <w:rPr>
          <w:sz w:val="22"/>
          <w:szCs w:val="22"/>
        </w:rPr>
        <w:t>Assessment of the reasonableness of the underlying assumptions applied in the valuations, based on a sample of assumptions that were selected, using quantitative and qualitative considerations</w:t>
      </w:r>
      <w:r w:rsidR="00300001">
        <w:rPr>
          <w:sz w:val="22"/>
          <w:szCs w:val="22"/>
        </w:rPr>
        <w:t>.</w:t>
      </w:r>
      <w:r w:rsidRPr="00A842D3">
        <w:rPr>
          <w:sz w:val="22"/>
          <w:szCs w:val="22"/>
        </w:rPr>
        <w:t xml:space="preserve"> </w:t>
      </w:r>
      <w:r w:rsidR="00300001">
        <w:rPr>
          <w:sz w:val="22"/>
          <w:szCs w:val="22"/>
        </w:rPr>
        <w:t>Those</w:t>
      </w:r>
      <w:r w:rsidR="00300001" w:rsidRPr="00A842D3">
        <w:rPr>
          <w:sz w:val="22"/>
          <w:szCs w:val="22"/>
        </w:rPr>
        <w:t xml:space="preserve"> </w:t>
      </w:r>
      <w:r w:rsidRPr="00A842D3">
        <w:rPr>
          <w:sz w:val="22"/>
          <w:szCs w:val="22"/>
        </w:rPr>
        <w:t xml:space="preserve">assumptions include, among others, market rental value per square meter, capitalization rates, </w:t>
      </w:r>
      <w:r w:rsidR="007D763D">
        <w:rPr>
          <w:sz w:val="22"/>
          <w:szCs w:val="22"/>
        </w:rPr>
        <w:t>etc.</w:t>
      </w:r>
    </w:p>
    <w:p w14:paraId="791226F9" w14:textId="77777777" w:rsidR="00882A6E" w:rsidRPr="00A842D3" w:rsidRDefault="00882A6E" w:rsidP="00C5462B">
      <w:pPr>
        <w:pStyle w:val="af2"/>
        <w:numPr>
          <w:ilvl w:val="0"/>
          <w:numId w:val="31"/>
        </w:numPr>
        <w:autoSpaceDE w:val="0"/>
        <w:autoSpaceDN w:val="0"/>
        <w:adjustRightInd w:val="0"/>
        <w:jc w:val="both"/>
        <w:rPr>
          <w:sz w:val="22"/>
          <w:szCs w:val="22"/>
        </w:rPr>
      </w:pPr>
      <w:r w:rsidRPr="00A842D3">
        <w:rPr>
          <w:sz w:val="22"/>
          <w:szCs w:val="22"/>
        </w:rPr>
        <w:t xml:space="preserve">Testing the completeness and accuracy of the information and data and the proper application of the assumptions used in the model to determine </w:t>
      </w:r>
      <w:proofErr w:type="gramStart"/>
      <w:r w:rsidRPr="00A842D3">
        <w:rPr>
          <w:sz w:val="22"/>
          <w:szCs w:val="22"/>
        </w:rPr>
        <w:t>the fair</w:t>
      </w:r>
      <w:proofErr w:type="gramEnd"/>
      <w:r w:rsidRPr="00A842D3">
        <w:rPr>
          <w:sz w:val="22"/>
          <w:szCs w:val="22"/>
        </w:rPr>
        <w:t xml:space="preserve"> value.</w:t>
      </w:r>
    </w:p>
    <w:p w14:paraId="486E167E" w14:textId="77777777" w:rsidR="00882A6E" w:rsidRPr="00A842D3" w:rsidRDefault="00882A6E" w:rsidP="00C5462B">
      <w:pPr>
        <w:pStyle w:val="af2"/>
        <w:numPr>
          <w:ilvl w:val="0"/>
          <w:numId w:val="31"/>
        </w:numPr>
        <w:autoSpaceDE w:val="0"/>
        <w:autoSpaceDN w:val="0"/>
        <w:adjustRightInd w:val="0"/>
        <w:jc w:val="both"/>
        <w:rPr>
          <w:sz w:val="22"/>
          <w:szCs w:val="22"/>
        </w:rPr>
      </w:pPr>
      <w:r w:rsidRPr="00A842D3">
        <w:rPr>
          <w:sz w:val="22"/>
          <w:szCs w:val="22"/>
        </w:rPr>
        <w:t>Assessing the reasonableness of the estimates used in comparison with practice and market data while considering recent transactions in the market.</w:t>
      </w:r>
    </w:p>
    <w:p w14:paraId="4261B950" w14:textId="77777777" w:rsidR="00882A6E" w:rsidRPr="00A842D3" w:rsidRDefault="00882A6E" w:rsidP="00C5462B">
      <w:pPr>
        <w:pStyle w:val="af2"/>
        <w:numPr>
          <w:ilvl w:val="0"/>
          <w:numId w:val="31"/>
        </w:numPr>
        <w:autoSpaceDE w:val="0"/>
        <w:autoSpaceDN w:val="0"/>
        <w:adjustRightInd w:val="0"/>
        <w:jc w:val="both"/>
        <w:rPr>
          <w:sz w:val="22"/>
          <w:szCs w:val="22"/>
        </w:rPr>
      </w:pPr>
      <w:r w:rsidRPr="00A842D3">
        <w:rPr>
          <w:sz w:val="22"/>
          <w:szCs w:val="22"/>
        </w:rPr>
        <w:t>Review of valuations, on a sample basis, by our internal valuation specialists.</w:t>
      </w:r>
    </w:p>
    <w:p w14:paraId="3A0F0E3A" w14:textId="4C079C78" w:rsidR="00882A6E" w:rsidRPr="00A842D3" w:rsidRDefault="00882A6E" w:rsidP="00C5462B">
      <w:pPr>
        <w:pStyle w:val="af2"/>
        <w:numPr>
          <w:ilvl w:val="0"/>
          <w:numId w:val="31"/>
        </w:numPr>
        <w:autoSpaceDE w:val="0"/>
        <w:autoSpaceDN w:val="0"/>
        <w:adjustRightInd w:val="0"/>
        <w:jc w:val="both"/>
        <w:rPr>
          <w:sz w:val="22"/>
          <w:szCs w:val="22"/>
        </w:rPr>
      </w:pPr>
      <w:r w:rsidRPr="00A842D3">
        <w:rPr>
          <w:sz w:val="22"/>
          <w:szCs w:val="22"/>
        </w:rPr>
        <w:t xml:space="preserve">Maintaining direct communication with the </w:t>
      </w:r>
      <w:r w:rsidR="007D763D">
        <w:rPr>
          <w:sz w:val="22"/>
          <w:szCs w:val="22"/>
        </w:rPr>
        <w:t xml:space="preserve">management and the </w:t>
      </w:r>
      <w:r w:rsidRPr="00A842D3">
        <w:rPr>
          <w:sz w:val="22"/>
          <w:szCs w:val="22"/>
        </w:rPr>
        <w:t>Company's appraisers as needed.</w:t>
      </w:r>
    </w:p>
    <w:p w14:paraId="6EA18A94" w14:textId="77777777" w:rsidR="00882A6E" w:rsidRPr="00A842D3" w:rsidRDefault="00882A6E" w:rsidP="00882A6E">
      <w:pPr>
        <w:pStyle w:val="af2"/>
        <w:autoSpaceDE w:val="0"/>
        <w:autoSpaceDN w:val="0"/>
        <w:adjustRightInd w:val="0"/>
        <w:jc w:val="both"/>
        <w:rPr>
          <w:sz w:val="22"/>
          <w:szCs w:val="22"/>
        </w:rPr>
      </w:pPr>
    </w:p>
    <w:p w14:paraId="464E42DB" w14:textId="77777777" w:rsidR="00882A6E" w:rsidRPr="00A842D3" w:rsidRDefault="00882A6E" w:rsidP="00C56B2B">
      <w:pPr>
        <w:autoSpaceDE w:val="0"/>
        <w:autoSpaceDN w:val="0"/>
        <w:adjustRightInd w:val="0"/>
        <w:jc w:val="both"/>
        <w:rPr>
          <w:sz w:val="22"/>
          <w:szCs w:val="22"/>
        </w:rPr>
      </w:pPr>
      <w:r w:rsidRPr="00A842D3">
        <w:rPr>
          <w:sz w:val="22"/>
          <w:szCs w:val="22"/>
        </w:rPr>
        <w:t>In addition, we evaluated the appropriateness of the disclosures related to the valuation methodology and assumptions used by the appraisers.</w:t>
      </w:r>
    </w:p>
    <w:p w14:paraId="2BE71BD2" w14:textId="77777777" w:rsidR="00882A6E" w:rsidRDefault="00882A6E" w:rsidP="00882A6E">
      <w:pPr>
        <w:pStyle w:val="FirsLine"/>
        <w:spacing w:line="264" w:lineRule="auto"/>
        <w:ind w:firstLine="0"/>
        <w:rPr>
          <w:szCs w:val="22"/>
        </w:rPr>
      </w:pPr>
    </w:p>
    <w:p w14:paraId="120E052F" w14:textId="77777777" w:rsidR="00110844" w:rsidRDefault="00110844" w:rsidP="00882A6E">
      <w:pPr>
        <w:pStyle w:val="FirsLine"/>
        <w:spacing w:line="264" w:lineRule="auto"/>
        <w:ind w:firstLine="0"/>
        <w:rPr>
          <w:szCs w:val="22"/>
        </w:rPr>
      </w:pPr>
    </w:p>
    <w:p w14:paraId="1090459D" w14:textId="77777777" w:rsidR="00813875" w:rsidRPr="000408FE" w:rsidRDefault="00813875" w:rsidP="00813875"/>
    <w:p w14:paraId="09CB5DA6" w14:textId="77777777" w:rsidR="00813875" w:rsidRPr="000408FE" w:rsidRDefault="00813875" w:rsidP="00813875"/>
    <w:tbl>
      <w:tblPr>
        <w:tblW w:w="9809" w:type="dxa"/>
        <w:tblLayout w:type="fixed"/>
        <w:tblCellMar>
          <w:left w:w="0" w:type="dxa"/>
          <w:right w:w="0" w:type="dxa"/>
        </w:tblCellMar>
        <w:tblLook w:val="0600" w:firstRow="0" w:lastRow="0" w:firstColumn="0" w:lastColumn="0" w:noHBand="1" w:noVBand="1"/>
        <w:tblCaption w:val="DHR00"/>
        <w:tblDescription w:val="Layout Table"/>
      </w:tblPr>
      <w:tblGrid>
        <w:gridCol w:w="5727"/>
        <w:gridCol w:w="4082"/>
      </w:tblGrid>
      <w:tr w:rsidR="008176EC" w:rsidRPr="000408FE" w14:paraId="5940DE3A" w14:textId="77777777" w:rsidTr="008F5B19">
        <w:trPr>
          <w:cantSplit/>
          <w:trHeight w:val="506"/>
        </w:trPr>
        <w:tc>
          <w:tcPr>
            <w:tcW w:w="5727" w:type="dxa"/>
            <w:tcBorders>
              <w:top w:val="nil"/>
              <w:left w:val="nil"/>
              <w:right w:val="nil"/>
            </w:tcBorders>
            <w:vAlign w:val="bottom"/>
          </w:tcPr>
          <w:p w14:paraId="16704FEF" w14:textId="77777777" w:rsidR="008176EC" w:rsidRPr="0020502A" w:rsidRDefault="008176EC" w:rsidP="00D83802">
            <w:pPr>
              <w:tabs>
                <w:tab w:val="left" w:pos="227"/>
                <w:tab w:val="left" w:pos="397"/>
                <w:tab w:val="left" w:pos="567"/>
              </w:tabs>
              <w:ind w:left="284" w:hanging="227"/>
              <w:rPr>
                <w:sz w:val="22"/>
                <w:szCs w:val="22"/>
              </w:rPr>
            </w:pPr>
            <w:r w:rsidRPr="0020502A">
              <w:rPr>
                <w:sz w:val="22"/>
                <w:szCs w:val="22"/>
              </w:rPr>
              <w:t>Tel-Aviv, Israel</w:t>
            </w:r>
          </w:p>
          <w:p w14:paraId="59D452F7" w14:textId="6DB7375F" w:rsidR="008176EC" w:rsidRPr="0020502A" w:rsidRDefault="008176EC" w:rsidP="00D83802">
            <w:pPr>
              <w:pStyle w:val="24"/>
              <w:tabs>
                <w:tab w:val="left" w:pos="227"/>
                <w:tab w:val="left" w:pos="397"/>
                <w:tab w:val="left" w:pos="567"/>
              </w:tabs>
              <w:ind w:left="284" w:hanging="227"/>
              <w:jc w:val="left"/>
            </w:pPr>
            <w:r>
              <w:t>March 3</w:t>
            </w:r>
            <w:r w:rsidRPr="00B37BF1">
              <w:t>, 202</w:t>
            </w:r>
            <w:r>
              <w:t>5</w:t>
            </w:r>
          </w:p>
        </w:tc>
        <w:tc>
          <w:tcPr>
            <w:tcW w:w="4082" w:type="dxa"/>
            <w:tcBorders>
              <w:top w:val="nil"/>
              <w:left w:val="nil"/>
              <w:right w:val="nil"/>
            </w:tcBorders>
            <w:vAlign w:val="bottom"/>
          </w:tcPr>
          <w:p w14:paraId="16216242" w14:textId="77777777" w:rsidR="008176EC" w:rsidRPr="0020502A" w:rsidRDefault="008176EC" w:rsidP="00D83802">
            <w:pPr>
              <w:pStyle w:val="aff0"/>
              <w:pBdr>
                <w:bottom w:val="none" w:sz="0" w:space="0" w:color="auto"/>
              </w:pBdr>
              <w:ind w:left="284" w:hanging="227"/>
              <w:rPr>
                <w:b w:val="0"/>
                <w:bCs w:val="0"/>
                <w:szCs w:val="22"/>
              </w:rPr>
            </w:pPr>
            <w:r w:rsidRPr="0020502A">
              <w:rPr>
                <w:b w:val="0"/>
                <w:szCs w:val="22"/>
              </w:rPr>
              <w:t>KOST FORER GABBAY &amp; KASIERER</w:t>
            </w:r>
          </w:p>
          <w:p w14:paraId="417FA745" w14:textId="19C32FE2" w:rsidR="008176EC" w:rsidRPr="0020502A" w:rsidRDefault="008176EC" w:rsidP="00D83802">
            <w:pPr>
              <w:ind w:left="284" w:hanging="227"/>
              <w:jc w:val="center"/>
              <w:rPr>
                <w:b/>
                <w:bCs/>
                <w:szCs w:val="22"/>
              </w:rPr>
            </w:pPr>
            <w:r w:rsidRPr="0020502A">
              <w:rPr>
                <w:sz w:val="22"/>
                <w:szCs w:val="22"/>
              </w:rPr>
              <w:t>A Member of Ernst &amp; Young Global</w:t>
            </w:r>
          </w:p>
        </w:tc>
      </w:tr>
    </w:tbl>
    <w:p w14:paraId="14B0C637" w14:textId="77777777" w:rsidR="002F1CF2" w:rsidRDefault="002F1CF2" w:rsidP="002F1CF2">
      <w:pPr>
        <w:pStyle w:val="FirsLine"/>
        <w:spacing w:line="264" w:lineRule="auto"/>
        <w:rPr>
          <w:sz w:val="18"/>
          <w:szCs w:val="18"/>
        </w:rPr>
      </w:pPr>
    </w:p>
    <w:bookmarkEnd w:id="5"/>
    <w:p w14:paraId="5544783C" w14:textId="77777777" w:rsidR="00A53676" w:rsidRPr="00392990" w:rsidRDefault="00A53676" w:rsidP="00057E1F">
      <w:pPr>
        <w:pStyle w:val="Normal00"/>
        <w:tabs>
          <w:tab w:val="right" w:pos="2552"/>
        </w:tabs>
        <w:ind w:left="3686" w:hanging="284"/>
        <w:jc w:val="left"/>
        <w:rPr>
          <w:rFonts w:ascii="Univers 45 Light" w:hAnsi="Univers 45 Light"/>
          <w:color w:val="000080"/>
          <w:sz w:val="11"/>
          <w:szCs w:val="11"/>
        </w:rPr>
        <w:sectPr w:rsidR="00A53676" w:rsidRPr="00392990" w:rsidSect="00593E8F">
          <w:endnotePr>
            <w:numFmt w:val="lowerLetter"/>
          </w:endnotePr>
          <w:pgSz w:w="11906" w:h="16838"/>
          <w:pgMar w:top="1134" w:right="1134" w:bottom="1134" w:left="1134" w:header="567" w:footer="567" w:gutter="0"/>
          <w:paperSrc w:first="15" w:other="15"/>
          <w:cols w:space="720"/>
          <w:bidi/>
          <w:docGrid w:linePitch="326"/>
        </w:sectPr>
      </w:pPr>
    </w:p>
    <w:p w14:paraId="21F7EDD3" w14:textId="77777777" w:rsidR="00F00E32" w:rsidRPr="00897811" w:rsidRDefault="00F00E32" w:rsidP="008D6B13">
      <w:pPr>
        <w:outlineLvl w:val="2"/>
        <w:rPr>
          <w:bCs/>
          <w:color w:val="FFFFFF" w:themeColor="background1"/>
          <w:sz w:val="20"/>
          <w:szCs w:val="22"/>
        </w:rPr>
      </w:pPr>
      <w:bookmarkStart w:id="7" w:name="RANGE!B2:I155"/>
      <w:bookmarkStart w:id="8" w:name="H2_Consolidated_statement_of_financial_p"/>
      <w:bookmarkEnd w:id="7"/>
      <w:r w:rsidRPr="00897811">
        <w:rPr>
          <w:b/>
          <w:bCs/>
          <w:color w:val="FFFFFF" w:themeColor="background1"/>
          <w:sz w:val="20"/>
          <w:szCs w:val="22"/>
        </w:rPr>
        <w:lastRenderedPageBreak/>
        <w:t xml:space="preserve">Consolidated statement of financial position as </w:t>
      </w:r>
      <w:proofErr w:type="gramStart"/>
      <w:r w:rsidRPr="00897811">
        <w:rPr>
          <w:b/>
          <w:bCs/>
          <w:color w:val="FFFFFF" w:themeColor="background1"/>
          <w:sz w:val="20"/>
          <w:szCs w:val="22"/>
        </w:rPr>
        <w:t>at</w:t>
      </w:r>
      <w:proofErr w:type="gramEnd"/>
      <w:r w:rsidRPr="00897811">
        <w:rPr>
          <w:b/>
          <w:bCs/>
          <w:color w:val="FFFFFF" w:themeColor="background1"/>
          <w:sz w:val="20"/>
          <w:szCs w:val="22"/>
        </w:rPr>
        <w:t xml:space="preserve"> December 31,</w:t>
      </w:r>
    </w:p>
    <w:bookmarkEnd w:id="8"/>
    <w:p w14:paraId="520B8803" w14:textId="77777777" w:rsidR="00F00E32" w:rsidRDefault="00F00E32" w:rsidP="004A3C21">
      <w:pPr>
        <w:rPr>
          <w:rStyle w:val="Koteret"/>
          <w:b w:val="0"/>
          <w:bCs/>
          <w:i/>
          <w:iCs/>
          <w:rtl/>
        </w:rPr>
      </w:pPr>
    </w:p>
    <w:p w14:paraId="3EC58A76" w14:textId="1481C913" w:rsidR="00C35D07" w:rsidRPr="00F02921" w:rsidRDefault="00C35D07" w:rsidP="004A3C21">
      <w:pPr>
        <w:rPr>
          <w:rStyle w:val="Koteret"/>
          <w:b w:val="0"/>
          <w:bCs/>
          <w:i/>
          <w:iCs/>
          <w:lang w:bidi="he-IL"/>
        </w:rPr>
      </w:pPr>
      <w:r w:rsidRPr="00F02921">
        <w:rPr>
          <w:rStyle w:val="Koteret"/>
          <w:b w:val="0"/>
          <w:bCs/>
          <w:i/>
          <w:iCs/>
        </w:rPr>
        <w:t>In thousands of Euros</w:t>
      </w:r>
    </w:p>
    <w:tbl>
      <w:tblPr>
        <w:tblW w:w="10028" w:type="dxa"/>
        <w:tblLook w:val="06E0" w:firstRow="1" w:lastRow="1" w:firstColumn="1" w:lastColumn="0" w:noHBand="1" w:noVBand="1"/>
        <w:tblCaption w:val="AHR01"/>
        <w:tblDescription w:val="Consolidated statement of financial position "/>
      </w:tblPr>
      <w:tblGrid>
        <w:gridCol w:w="5413"/>
        <w:gridCol w:w="983"/>
        <w:gridCol w:w="1816"/>
        <w:gridCol w:w="1816"/>
      </w:tblGrid>
      <w:tr w:rsidR="00121B29" w:rsidRPr="00866299" w14:paraId="27789618" w14:textId="77777777" w:rsidTr="006909F2">
        <w:trPr>
          <w:cantSplit/>
          <w:trHeight w:val="283"/>
          <w:tblHeader/>
        </w:trPr>
        <w:tc>
          <w:tcPr>
            <w:tcW w:w="5413" w:type="dxa"/>
            <w:shd w:val="clear" w:color="auto" w:fill="auto"/>
            <w:vAlign w:val="bottom"/>
            <w:hideMark/>
          </w:tcPr>
          <w:p w14:paraId="2D650599" w14:textId="77777777" w:rsidR="00121B29" w:rsidRDefault="00121B29" w:rsidP="00121B29">
            <w:pPr>
              <w:spacing w:before="40"/>
              <w:rPr>
                <w:rFonts w:asciiTheme="majorBidi" w:eastAsia="Arial" w:hAnsiTheme="majorBidi" w:cstheme="majorBidi"/>
                <w:sz w:val="20"/>
              </w:rPr>
            </w:pPr>
            <w:bookmarkStart w:id="9" w:name="Title_2" w:colFirst="0" w:colLast="0"/>
          </w:p>
          <w:p w14:paraId="3A831676" w14:textId="2ABCF08C" w:rsidR="00655CA0" w:rsidRPr="00866299" w:rsidRDefault="00655CA0" w:rsidP="00121B29">
            <w:pPr>
              <w:spacing w:before="40"/>
              <w:rPr>
                <w:rFonts w:asciiTheme="majorBidi" w:eastAsia="Arial" w:hAnsiTheme="majorBidi" w:cstheme="majorBidi"/>
                <w:sz w:val="20"/>
              </w:rPr>
            </w:pPr>
          </w:p>
        </w:tc>
        <w:tc>
          <w:tcPr>
            <w:tcW w:w="983" w:type="dxa"/>
            <w:shd w:val="clear" w:color="auto" w:fill="auto"/>
            <w:vAlign w:val="bottom"/>
            <w:hideMark/>
          </w:tcPr>
          <w:p w14:paraId="52017552" w14:textId="77777777" w:rsidR="00121B29" w:rsidRPr="00866299" w:rsidRDefault="00121B29" w:rsidP="00A17F95">
            <w:pPr>
              <w:pBdr>
                <w:bottom w:val="single" w:sz="4" w:space="0" w:color="000000"/>
              </w:pBdr>
              <w:spacing w:before="40"/>
              <w:jc w:val="center"/>
              <w:rPr>
                <w:rFonts w:asciiTheme="majorBidi" w:hAnsiTheme="majorBidi" w:cstheme="majorBidi"/>
                <w:b/>
                <w:bCs/>
                <w:sz w:val="18"/>
                <w:szCs w:val="18"/>
              </w:rPr>
            </w:pPr>
            <w:r w:rsidRPr="00866299">
              <w:rPr>
                <w:rFonts w:asciiTheme="majorBidi" w:hAnsiTheme="majorBidi" w:cstheme="majorBidi"/>
                <w:b/>
                <w:bCs/>
                <w:color w:val="000000"/>
                <w:sz w:val="18"/>
                <w:szCs w:val="18"/>
              </w:rPr>
              <w:t>Note</w:t>
            </w:r>
          </w:p>
        </w:tc>
        <w:tc>
          <w:tcPr>
            <w:tcW w:w="1816" w:type="dxa"/>
            <w:shd w:val="clear" w:color="auto" w:fill="auto"/>
            <w:vAlign w:val="bottom"/>
            <w:hideMark/>
          </w:tcPr>
          <w:p w14:paraId="1CFEBD6F" w14:textId="0C95C04F" w:rsidR="00121B29" w:rsidRPr="00866299" w:rsidRDefault="0040585B" w:rsidP="00A17F95">
            <w:pPr>
              <w:pBdr>
                <w:bottom w:val="single" w:sz="4" w:space="0" w:color="000000"/>
              </w:pBdr>
              <w:spacing w:before="40"/>
              <w:jc w:val="center"/>
              <w:rPr>
                <w:rFonts w:asciiTheme="majorBidi" w:hAnsiTheme="majorBidi" w:cstheme="majorBidi"/>
                <w:b/>
                <w:bCs/>
                <w:sz w:val="18"/>
                <w:szCs w:val="18"/>
              </w:rPr>
            </w:pPr>
            <w:r>
              <w:rPr>
                <w:rFonts w:asciiTheme="majorBidi" w:hAnsiTheme="majorBidi" w:cstheme="majorBidi"/>
                <w:b/>
                <w:bCs/>
                <w:color w:val="000000"/>
                <w:sz w:val="18"/>
                <w:szCs w:val="18"/>
              </w:rPr>
              <w:t>202</w:t>
            </w:r>
            <w:r w:rsidR="00C74678">
              <w:rPr>
                <w:rFonts w:asciiTheme="majorBidi" w:hAnsiTheme="majorBidi" w:cstheme="majorBidi"/>
                <w:b/>
                <w:bCs/>
                <w:color w:val="000000"/>
                <w:sz w:val="18"/>
                <w:szCs w:val="18"/>
              </w:rPr>
              <w:t>4</w:t>
            </w:r>
          </w:p>
        </w:tc>
        <w:tc>
          <w:tcPr>
            <w:tcW w:w="1816" w:type="dxa"/>
            <w:shd w:val="clear" w:color="auto" w:fill="auto"/>
            <w:vAlign w:val="bottom"/>
            <w:hideMark/>
          </w:tcPr>
          <w:p w14:paraId="73B5FB5A" w14:textId="710E8781" w:rsidR="00121B29" w:rsidRPr="00866299" w:rsidRDefault="00C74678" w:rsidP="00A17F95">
            <w:pPr>
              <w:pBdr>
                <w:bottom w:val="single" w:sz="4" w:space="0" w:color="000000"/>
              </w:pBdr>
              <w:spacing w:before="40"/>
              <w:jc w:val="center"/>
              <w:rPr>
                <w:rFonts w:asciiTheme="majorBidi" w:hAnsiTheme="majorBidi" w:cstheme="majorBidi"/>
                <w:b/>
                <w:bCs/>
                <w:sz w:val="18"/>
                <w:szCs w:val="18"/>
              </w:rPr>
            </w:pPr>
            <w:r>
              <w:rPr>
                <w:rFonts w:asciiTheme="majorBidi" w:hAnsiTheme="majorBidi" w:cstheme="majorBidi"/>
                <w:b/>
                <w:bCs/>
                <w:color w:val="000000"/>
                <w:sz w:val="18"/>
                <w:szCs w:val="18"/>
              </w:rPr>
              <w:t>2023</w:t>
            </w:r>
          </w:p>
        </w:tc>
      </w:tr>
      <w:bookmarkEnd w:id="9"/>
      <w:tr w:rsidR="00121B29" w:rsidRPr="00866299" w14:paraId="7665F328" w14:textId="77777777" w:rsidTr="006909F2">
        <w:trPr>
          <w:trHeight w:val="283"/>
        </w:trPr>
        <w:tc>
          <w:tcPr>
            <w:tcW w:w="5413" w:type="dxa"/>
            <w:shd w:val="clear" w:color="auto" w:fill="auto"/>
            <w:vAlign w:val="bottom"/>
            <w:hideMark/>
          </w:tcPr>
          <w:p w14:paraId="5822EDDC" w14:textId="77777777" w:rsidR="00121B29" w:rsidRPr="00866299" w:rsidRDefault="00121B29" w:rsidP="00121B29">
            <w:pPr>
              <w:spacing w:before="40"/>
              <w:rPr>
                <w:rFonts w:asciiTheme="majorBidi" w:hAnsiTheme="majorBidi" w:cstheme="majorBidi"/>
                <w:b/>
                <w:bCs/>
                <w:sz w:val="20"/>
                <w:lang w:bidi="he-IL"/>
              </w:rPr>
            </w:pPr>
            <w:r w:rsidRPr="00866299">
              <w:rPr>
                <w:rFonts w:asciiTheme="majorBidi" w:hAnsiTheme="majorBidi" w:cstheme="majorBidi"/>
                <w:b/>
                <w:bCs/>
                <w:color w:val="000000"/>
                <w:sz w:val="20"/>
              </w:rPr>
              <w:t>Assets</w:t>
            </w:r>
          </w:p>
        </w:tc>
        <w:tc>
          <w:tcPr>
            <w:tcW w:w="983" w:type="dxa"/>
            <w:shd w:val="clear" w:color="auto" w:fill="auto"/>
            <w:vAlign w:val="bottom"/>
            <w:hideMark/>
          </w:tcPr>
          <w:p w14:paraId="4F0BF447" w14:textId="77777777" w:rsidR="00121B29" w:rsidRPr="00866299" w:rsidRDefault="00121B29" w:rsidP="00121B29">
            <w:pPr>
              <w:spacing w:before="40"/>
              <w:jc w:val="right"/>
              <w:rPr>
                <w:rFonts w:asciiTheme="majorBidi" w:hAnsiTheme="majorBidi" w:cstheme="majorBidi"/>
                <w:b/>
                <w:bCs/>
                <w:sz w:val="20"/>
              </w:rPr>
            </w:pPr>
          </w:p>
        </w:tc>
        <w:tc>
          <w:tcPr>
            <w:tcW w:w="1816" w:type="dxa"/>
            <w:shd w:val="clear" w:color="auto" w:fill="auto"/>
            <w:noWrap/>
            <w:vAlign w:val="bottom"/>
            <w:hideMark/>
          </w:tcPr>
          <w:p w14:paraId="18A71C17" w14:textId="77777777" w:rsidR="00121B29" w:rsidRPr="00377C8B" w:rsidRDefault="00121B29" w:rsidP="00121B29">
            <w:pPr>
              <w:spacing w:before="40"/>
              <w:jc w:val="right"/>
              <w:rPr>
                <w:rFonts w:asciiTheme="majorBidi" w:eastAsia="Arial" w:hAnsiTheme="majorBidi" w:cstheme="majorBidi"/>
                <w:b/>
                <w:bCs/>
                <w:sz w:val="20"/>
              </w:rPr>
            </w:pPr>
          </w:p>
        </w:tc>
        <w:tc>
          <w:tcPr>
            <w:tcW w:w="1816" w:type="dxa"/>
            <w:shd w:val="clear" w:color="auto" w:fill="auto"/>
            <w:noWrap/>
            <w:vAlign w:val="bottom"/>
            <w:hideMark/>
          </w:tcPr>
          <w:p w14:paraId="5DED5F18" w14:textId="77777777" w:rsidR="00121B29" w:rsidRPr="00866299" w:rsidRDefault="00121B29" w:rsidP="00121B29">
            <w:pPr>
              <w:spacing w:before="40"/>
              <w:jc w:val="right"/>
              <w:rPr>
                <w:rFonts w:asciiTheme="majorBidi" w:eastAsia="Arial" w:hAnsiTheme="majorBidi" w:cstheme="majorBidi"/>
                <w:sz w:val="20"/>
              </w:rPr>
            </w:pPr>
          </w:p>
        </w:tc>
      </w:tr>
      <w:tr w:rsidR="00113E21" w:rsidRPr="00866299" w14:paraId="0A1791DF" w14:textId="77777777" w:rsidTr="006909F2">
        <w:trPr>
          <w:trHeight w:val="283"/>
        </w:trPr>
        <w:tc>
          <w:tcPr>
            <w:tcW w:w="5413" w:type="dxa"/>
            <w:shd w:val="clear" w:color="auto" w:fill="auto"/>
            <w:vAlign w:val="bottom"/>
            <w:hideMark/>
          </w:tcPr>
          <w:p w14:paraId="402E44C3" w14:textId="76DB83F0" w:rsidR="00113E21" w:rsidRPr="00866299" w:rsidRDefault="00113E21" w:rsidP="00113E21">
            <w:pPr>
              <w:spacing w:before="40"/>
              <w:rPr>
                <w:rFonts w:asciiTheme="majorBidi" w:hAnsiTheme="majorBidi" w:cstheme="majorBidi"/>
                <w:sz w:val="20"/>
              </w:rPr>
            </w:pPr>
            <w:r w:rsidRPr="00866299">
              <w:rPr>
                <w:rFonts w:asciiTheme="majorBidi" w:hAnsiTheme="majorBidi" w:cstheme="majorBidi"/>
                <w:color w:val="000000"/>
                <w:sz w:val="20"/>
              </w:rPr>
              <w:t xml:space="preserve">Investment in (and loans to) </w:t>
            </w:r>
            <w:r w:rsidRPr="006F433B">
              <w:rPr>
                <w:rFonts w:asciiTheme="majorBidi" w:hAnsiTheme="majorBidi" w:cstheme="majorBidi"/>
                <w:color w:val="000000"/>
                <w:sz w:val="20"/>
              </w:rPr>
              <w:t>companies accounted for at equity</w:t>
            </w:r>
          </w:p>
        </w:tc>
        <w:tc>
          <w:tcPr>
            <w:tcW w:w="983" w:type="dxa"/>
            <w:shd w:val="clear" w:color="auto" w:fill="auto"/>
            <w:vAlign w:val="bottom"/>
            <w:hideMark/>
          </w:tcPr>
          <w:p w14:paraId="4A10B0CD" w14:textId="77777777" w:rsidR="00113E21" w:rsidRPr="002722B5" w:rsidRDefault="00113E21" w:rsidP="00113E21">
            <w:pPr>
              <w:spacing w:before="40"/>
              <w:jc w:val="right"/>
              <w:rPr>
                <w:rFonts w:asciiTheme="majorBidi" w:hAnsiTheme="majorBidi" w:cstheme="majorBidi"/>
                <w:sz w:val="20"/>
              </w:rPr>
            </w:pPr>
            <w:r w:rsidRPr="002722B5">
              <w:rPr>
                <w:rFonts w:asciiTheme="majorBidi" w:hAnsiTheme="majorBidi" w:cstheme="majorBidi"/>
                <w:color w:val="000000"/>
                <w:sz w:val="20"/>
              </w:rPr>
              <w:t>4</w:t>
            </w:r>
          </w:p>
        </w:tc>
        <w:tc>
          <w:tcPr>
            <w:tcW w:w="1816" w:type="dxa"/>
            <w:shd w:val="clear" w:color="auto" w:fill="auto"/>
            <w:noWrap/>
            <w:vAlign w:val="bottom"/>
          </w:tcPr>
          <w:p w14:paraId="7D5B78A4" w14:textId="0C12D555" w:rsidR="00113E21" w:rsidRPr="00113E21" w:rsidRDefault="00113E21" w:rsidP="00516397">
            <w:pPr>
              <w:spacing w:before="40"/>
              <w:jc w:val="right"/>
              <w:rPr>
                <w:sz w:val="20"/>
              </w:rPr>
            </w:pPr>
            <w:r w:rsidRPr="00113E21">
              <w:rPr>
                <w:sz w:val="20"/>
              </w:rPr>
              <w:t>142,185</w:t>
            </w:r>
          </w:p>
        </w:tc>
        <w:tc>
          <w:tcPr>
            <w:tcW w:w="1816" w:type="dxa"/>
            <w:shd w:val="clear" w:color="auto" w:fill="auto"/>
            <w:noWrap/>
            <w:vAlign w:val="bottom"/>
          </w:tcPr>
          <w:p w14:paraId="3930396B" w14:textId="17405E10" w:rsidR="00113E21" w:rsidRPr="00C56B2B" w:rsidRDefault="00113E21" w:rsidP="00113E21">
            <w:pPr>
              <w:spacing w:before="40"/>
              <w:jc w:val="right"/>
              <w:rPr>
                <w:rFonts w:asciiTheme="majorBidi" w:hAnsiTheme="majorBidi" w:cstheme="majorBidi"/>
                <w:sz w:val="20"/>
              </w:rPr>
            </w:pPr>
            <w:r w:rsidRPr="0095659A">
              <w:rPr>
                <w:sz w:val="20"/>
              </w:rPr>
              <w:t>122,779</w:t>
            </w:r>
          </w:p>
        </w:tc>
      </w:tr>
      <w:tr w:rsidR="00113E21" w:rsidRPr="00866299" w14:paraId="4D28ADCB" w14:textId="77777777" w:rsidTr="006909F2">
        <w:trPr>
          <w:trHeight w:val="283"/>
        </w:trPr>
        <w:tc>
          <w:tcPr>
            <w:tcW w:w="5413" w:type="dxa"/>
            <w:shd w:val="clear" w:color="auto" w:fill="auto"/>
            <w:vAlign w:val="bottom"/>
            <w:hideMark/>
          </w:tcPr>
          <w:p w14:paraId="4543BCE0" w14:textId="77777777" w:rsidR="00113E21" w:rsidRPr="00866299" w:rsidRDefault="00113E21" w:rsidP="00113E21">
            <w:pPr>
              <w:spacing w:before="40"/>
              <w:rPr>
                <w:rFonts w:asciiTheme="majorBidi" w:hAnsiTheme="majorBidi" w:cstheme="majorBidi"/>
                <w:sz w:val="20"/>
              </w:rPr>
            </w:pPr>
            <w:r w:rsidRPr="00866299">
              <w:rPr>
                <w:rFonts w:asciiTheme="majorBidi" w:hAnsiTheme="majorBidi" w:cstheme="majorBidi"/>
                <w:color w:val="000000"/>
                <w:sz w:val="20"/>
              </w:rPr>
              <w:t>Investment property</w:t>
            </w:r>
          </w:p>
        </w:tc>
        <w:tc>
          <w:tcPr>
            <w:tcW w:w="983" w:type="dxa"/>
            <w:shd w:val="clear" w:color="auto" w:fill="auto"/>
            <w:vAlign w:val="bottom"/>
            <w:hideMark/>
          </w:tcPr>
          <w:p w14:paraId="52B1C54D" w14:textId="77777777" w:rsidR="00113E21" w:rsidRPr="002722B5" w:rsidRDefault="00113E21" w:rsidP="00113E21">
            <w:pPr>
              <w:spacing w:before="40"/>
              <w:jc w:val="right"/>
              <w:rPr>
                <w:rFonts w:asciiTheme="majorBidi" w:hAnsiTheme="majorBidi" w:cstheme="majorBidi"/>
                <w:sz w:val="20"/>
              </w:rPr>
            </w:pPr>
            <w:r w:rsidRPr="002722B5">
              <w:rPr>
                <w:rFonts w:asciiTheme="majorBidi" w:hAnsiTheme="majorBidi" w:cstheme="majorBidi"/>
                <w:color w:val="000000"/>
                <w:sz w:val="20"/>
              </w:rPr>
              <w:t>5</w:t>
            </w:r>
          </w:p>
        </w:tc>
        <w:tc>
          <w:tcPr>
            <w:tcW w:w="1816" w:type="dxa"/>
            <w:shd w:val="clear" w:color="auto" w:fill="auto"/>
            <w:noWrap/>
            <w:vAlign w:val="bottom"/>
          </w:tcPr>
          <w:p w14:paraId="08EAF258" w14:textId="0A273D86" w:rsidR="00113E21" w:rsidRPr="00113E21" w:rsidRDefault="00113E21" w:rsidP="00516397">
            <w:pPr>
              <w:spacing w:before="40"/>
              <w:jc w:val="right"/>
              <w:rPr>
                <w:sz w:val="20"/>
              </w:rPr>
            </w:pPr>
            <w:r w:rsidRPr="00113E21">
              <w:rPr>
                <w:sz w:val="20"/>
              </w:rPr>
              <w:t>3,014,224</w:t>
            </w:r>
          </w:p>
        </w:tc>
        <w:tc>
          <w:tcPr>
            <w:tcW w:w="1816" w:type="dxa"/>
            <w:shd w:val="clear" w:color="auto" w:fill="auto"/>
            <w:noWrap/>
            <w:vAlign w:val="bottom"/>
          </w:tcPr>
          <w:p w14:paraId="385FC581" w14:textId="1550F608" w:rsidR="00113E21" w:rsidRPr="00C56B2B" w:rsidRDefault="00113E21" w:rsidP="00113E21">
            <w:pPr>
              <w:spacing w:before="40"/>
              <w:jc w:val="right"/>
              <w:rPr>
                <w:rFonts w:asciiTheme="majorBidi" w:hAnsiTheme="majorBidi" w:cstheme="majorBidi"/>
                <w:sz w:val="20"/>
              </w:rPr>
            </w:pPr>
            <w:r w:rsidRPr="0095659A">
              <w:rPr>
                <w:sz w:val="20"/>
              </w:rPr>
              <w:t>2,635,837</w:t>
            </w:r>
          </w:p>
        </w:tc>
      </w:tr>
      <w:tr w:rsidR="00113E21" w:rsidRPr="00866299" w14:paraId="21BD2802" w14:textId="77777777" w:rsidTr="006909F2">
        <w:trPr>
          <w:trHeight w:val="283"/>
        </w:trPr>
        <w:tc>
          <w:tcPr>
            <w:tcW w:w="5413" w:type="dxa"/>
            <w:shd w:val="clear" w:color="auto" w:fill="auto"/>
            <w:vAlign w:val="bottom"/>
            <w:hideMark/>
          </w:tcPr>
          <w:p w14:paraId="2CA02CF9" w14:textId="77777777" w:rsidR="00113E21" w:rsidRPr="00866299" w:rsidRDefault="00113E21" w:rsidP="00113E21">
            <w:pPr>
              <w:spacing w:before="40"/>
              <w:rPr>
                <w:rFonts w:asciiTheme="majorBidi" w:hAnsiTheme="majorBidi" w:cstheme="majorBidi"/>
                <w:sz w:val="20"/>
              </w:rPr>
            </w:pPr>
            <w:r w:rsidRPr="00866299">
              <w:rPr>
                <w:rFonts w:asciiTheme="majorBidi" w:hAnsiTheme="majorBidi" w:cstheme="majorBidi"/>
                <w:color w:val="000000"/>
                <w:sz w:val="20"/>
              </w:rPr>
              <w:t>Investment property under development</w:t>
            </w:r>
          </w:p>
        </w:tc>
        <w:tc>
          <w:tcPr>
            <w:tcW w:w="983" w:type="dxa"/>
            <w:shd w:val="clear" w:color="auto" w:fill="auto"/>
            <w:vAlign w:val="bottom"/>
            <w:hideMark/>
          </w:tcPr>
          <w:p w14:paraId="17EA1956" w14:textId="77777777" w:rsidR="00113E21" w:rsidRPr="002722B5" w:rsidRDefault="00113E21" w:rsidP="00113E21">
            <w:pPr>
              <w:spacing w:before="40"/>
              <w:jc w:val="right"/>
              <w:rPr>
                <w:rFonts w:asciiTheme="majorBidi" w:hAnsiTheme="majorBidi" w:cstheme="majorBidi"/>
                <w:sz w:val="20"/>
              </w:rPr>
            </w:pPr>
            <w:r w:rsidRPr="002722B5">
              <w:rPr>
                <w:rFonts w:asciiTheme="majorBidi" w:hAnsiTheme="majorBidi" w:cstheme="majorBidi"/>
                <w:color w:val="000000"/>
                <w:sz w:val="20"/>
              </w:rPr>
              <w:t>6</w:t>
            </w:r>
          </w:p>
        </w:tc>
        <w:tc>
          <w:tcPr>
            <w:tcW w:w="1816" w:type="dxa"/>
            <w:shd w:val="clear" w:color="auto" w:fill="auto"/>
            <w:noWrap/>
            <w:vAlign w:val="bottom"/>
          </w:tcPr>
          <w:p w14:paraId="0ADAB9A8" w14:textId="46FF2327" w:rsidR="00113E21" w:rsidRPr="00113E21" w:rsidRDefault="00113E21" w:rsidP="00516397">
            <w:pPr>
              <w:spacing w:before="40"/>
              <w:jc w:val="right"/>
              <w:rPr>
                <w:sz w:val="20"/>
              </w:rPr>
            </w:pPr>
            <w:r w:rsidRPr="00113E21">
              <w:rPr>
                <w:sz w:val="20"/>
              </w:rPr>
              <w:t>328,649</w:t>
            </w:r>
          </w:p>
        </w:tc>
        <w:tc>
          <w:tcPr>
            <w:tcW w:w="1816" w:type="dxa"/>
            <w:shd w:val="clear" w:color="auto" w:fill="auto"/>
            <w:noWrap/>
            <w:vAlign w:val="bottom"/>
          </w:tcPr>
          <w:p w14:paraId="04112B77" w14:textId="0F71E7A0" w:rsidR="00113E21" w:rsidRPr="00C56B2B" w:rsidRDefault="00113E21" w:rsidP="00113E21">
            <w:pPr>
              <w:spacing w:before="40"/>
              <w:jc w:val="right"/>
              <w:rPr>
                <w:rFonts w:asciiTheme="majorBidi" w:hAnsiTheme="majorBidi" w:cstheme="majorBidi"/>
                <w:sz w:val="20"/>
              </w:rPr>
            </w:pPr>
            <w:r w:rsidRPr="0095659A">
              <w:rPr>
                <w:sz w:val="20"/>
              </w:rPr>
              <w:t>292,097</w:t>
            </w:r>
          </w:p>
        </w:tc>
      </w:tr>
      <w:tr w:rsidR="00113E21" w:rsidRPr="00866299" w14:paraId="04881917" w14:textId="77777777" w:rsidTr="006909F2">
        <w:trPr>
          <w:trHeight w:val="283"/>
        </w:trPr>
        <w:tc>
          <w:tcPr>
            <w:tcW w:w="5413" w:type="dxa"/>
            <w:shd w:val="clear" w:color="auto" w:fill="auto"/>
            <w:vAlign w:val="bottom"/>
            <w:hideMark/>
          </w:tcPr>
          <w:p w14:paraId="70B49BE8" w14:textId="77777777" w:rsidR="00113E21" w:rsidRPr="00866299" w:rsidRDefault="00113E21" w:rsidP="00113E21">
            <w:pPr>
              <w:spacing w:before="40"/>
              <w:rPr>
                <w:rFonts w:asciiTheme="majorBidi" w:hAnsiTheme="majorBidi" w:cstheme="majorBidi"/>
                <w:sz w:val="20"/>
              </w:rPr>
            </w:pPr>
            <w:r w:rsidRPr="00866299">
              <w:rPr>
                <w:rFonts w:asciiTheme="majorBidi" w:hAnsiTheme="majorBidi" w:cstheme="majorBidi"/>
                <w:color w:val="000000"/>
                <w:sz w:val="20"/>
              </w:rPr>
              <w:t>Inventory</w:t>
            </w:r>
          </w:p>
        </w:tc>
        <w:tc>
          <w:tcPr>
            <w:tcW w:w="983" w:type="dxa"/>
            <w:shd w:val="clear" w:color="auto" w:fill="auto"/>
            <w:vAlign w:val="bottom"/>
            <w:hideMark/>
          </w:tcPr>
          <w:p w14:paraId="5BCE028C" w14:textId="77777777" w:rsidR="00113E21" w:rsidRPr="002722B5" w:rsidRDefault="00113E21" w:rsidP="00113E21">
            <w:pPr>
              <w:spacing w:before="40"/>
              <w:jc w:val="right"/>
              <w:rPr>
                <w:rFonts w:asciiTheme="majorBidi" w:hAnsiTheme="majorBidi" w:cstheme="majorBidi"/>
                <w:sz w:val="20"/>
              </w:rPr>
            </w:pPr>
            <w:r w:rsidRPr="002722B5">
              <w:rPr>
                <w:rFonts w:asciiTheme="majorBidi" w:hAnsiTheme="majorBidi" w:cstheme="majorBidi"/>
                <w:color w:val="000000"/>
                <w:sz w:val="20"/>
              </w:rPr>
              <w:t>7</w:t>
            </w:r>
          </w:p>
        </w:tc>
        <w:tc>
          <w:tcPr>
            <w:tcW w:w="1816" w:type="dxa"/>
            <w:shd w:val="clear" w:color="auto" w:fill="auto"/>
            <w:noWrap/>
            <w:vAlign w:val="bottom"/>
          </w:tcPr>
          <w:p w14:paraId="0944AB06" w14:textId="6F05C80D" w:rsidR="00113E21" w:rsidRPr="00113E21" w:rsidRDefault="00113E21" w:rsidP="00516397">
            <w:pPr>
              <w:spacing w:before="40"/>
              <w:jc w:val="right"/>
              <w:rPr>
                <w:sz w:val="20"/>
              </w:rPr>
            </w:pPr>
            <w:r w:rsidRPr="00113E21">
              <w:rPr>
                <w:sz w:val="20"/>
              </w:rPr>
              <w:t>113,522</w:t>
            </w:r>
          </w:p>
        </w:tc>
        <w:tc>
          <w:tcPr>
            <w:tcW w:w="1816" w:type="dxa"/>
            <w:shd w:val="clear" w:color="auto" w:fill="auto"/>
            <w:noWrap/>
            <w:vAlign w:val="bottom"/>
          </w:tcPr>
          <w:p w14:paraId="2A61C9D1" w14:textId="7A82B916" w:rsidR="00113E21" w:rsidRPr="00C56B2B" w:rsidRDefault="00113E21" w:rsidP="00113E21">
            <w:pPr>
              <w:spacing w:before="40"/>
              <w:jc w:val="right"/>
              <w:rPr>
                <w:rFonts w:asciiTheme="majorBidi" w:hAnsiTheme="majorBidi" w:cstheme="majorBidi"/>
                <w:sz w:val="20"/>
              </w:rPr>
            </w:pPr>
            <w:r w:rsidRPr="0095659A">
              <w:rPr>
                <w:sz w:val="20"/>
              </w:rPr>
              <w:t>113,341</w:t>
            </w:r>
          </w:p>
        </w:tc>
      </w:tr>
      <w:tr w:rsidR="00113E21" w:rsidRPr="00866299" w14:paraId="0C84DDEB" w14:textId="77777777" w:rsidTr="006909F2">
        <w:trPr>
          <w:trHeight w:val="283"/>
        </w:trPr>
        <w:tc>
          <w:tcPr>
            <w:tcW w:w="5413" w:type="dxa"/>
            <w:shd w:val="clear" w:color="auto" w:fill="auto"/>
            <w:vAlign w:val="bottom"/>
            <w:hideMark/>
          </w:tcPr>
          <w:p w14:paraId="743749BD" w14:textId="77777777" w:rsidR="00113E21" w:rsidRPr="00866299" w:rsidRDefault="00113E21" w:rsidP="00113E21">
            <w:pPr>
              <w:spacing w:before="40"/>
              <w:rPr>
                <w:rFonts w:asciiTheme="majorBidi" w:hAnsiTheme="majorBidi" w:cstheme="majorBidi"/>
                <w:sz w:val="20"/>
              </w:rPr>
            </w:pPr>
            <w:r w:rsidRPr="00866299">
              <w:rPr>
                <w:rFonts w:asciiTheme="majorBidi" w:hAnsiTheme="majorBidi" w:cstheme="majorBidi"/>
                <w:color w:val="000000"/>
                <w:sz w:val="20"/>
              </w:rPr>
              <w:t>Property, plant and equipment</w:t>
            </w:r>
          </w:p>
        </w:tc>
        <w:tc>
          <w:tcPr>
            <w:tcW w:w="983" w:type="dxa"/>
            <w:shd w:val="clear" w:color="auto" w:fill="auto"/>
            <w:vAlign w:val="bottom"/>
            <w:hideMark/>
          </w:tcPr>
          <w:p w14:paraId="0814D552" w14:textId="77777777" w:rsidR="00113E21" w:rsidRPr="002722B5" w:rsidRDefault="00113E21" w:rsidP="00113E21">
            <w:pPr>
              <w:spacing w:before="40"/>
              <w:jc w:val="right"/>
              <w:rPr>
                <w:rFonts w:asciiTheme="majorBidi" w:hAnsiTheme="majorBidi" w:cstheme="majorBidi"/>
                <w:sz w:val="20"/>
              </w:rPr>
            </w:pPr>
          </w:p>
        </w:tc>
        <w:tc>
          <w:tcPr>
            <w:tcW w:w="1816" w:type="dxa"/>
            <w:shd w:val="clear" w:color="auto" w:fill="auto"/>
            <w:noWrap/>
            <w:vAlign w:val="bottom"/>
          </w:tcPr>
          <w:p w14:paraId="22484F6E" w14:textId="4EE7916A" w:rsidR="00113E21" w:rsidRPr="00113E21" w:rsidRDefault="00113E21" w:rsidP="00516397">
            <w:pPr>
              <w:spacing w:before="40"/>
              <w:jc w:val="right"/>
              <w:rPr>
                <w:sz w:val="20"/>
              </w:rPr>
            </w:pPr>
            <w:r w:rsidRPr="00113E21">
              <w:rPr>
                <w:sz w:val="20"/>
              </w:rPr>
              <w:t>12,183</w:t>
            </w:r>
          </w:p>
        </w:tc>
        <w:tc>
          <w:tcPr>
            <w:tcW w:w="1816" w:type="dxa"/>
            <w:shd w:val="clear" w:color="auto" w:fill="auto"/>
            <w:noWrap/>
            <w:vAlign w:val="bottom"/>
          </w:tcPr>
          <w:p w14:paraId="4B1C01FB" w14:textId="16D07DB5" w:rsidR="00113E21" w:rsidRPr="00C56B2B" w:rsidRDefault="00113E21" w:rsidP="00113E21">
            <w:pPr>
              <w:spacing w:before="40"/>
              <w:jc w:val="right"/>
              <w:rPr>
                <w:rFonts w:asciiTheme="majorBidi" w:hAnsiTheme="majorBidi" w:cstheme="majorBidi"/>
                <w:sz w:val="20"/>
              </w:rPr>
            </w:pPr>
            <w:r w:rsidRPr="0095659A">
              <w:rPr>
                <w:sz w:val="20"/>
              </w:rPr>
              <w:t>8,038</w:t>
            </w:r>
          </w:p>
        </w:tc>
      </w:tr>
      <w:tr w:rsidR="00113E21" w:rsidRPr="00866299" w14:paraId="76D72635" w14:textId="77777777" w:rsidTr="006909F2">
        <w:trPr>
          <w:trHeight w:val="283"/>
        </w:trPr>
        <w:tc>
          <w:tcPr>
            <w:tcW w:w="5413" w:type="dxa"/>
            <w:shd w:val="clear" w:color="auto" w:fill="auto"/>
            <w:vAlign w:val="bottom"/>
            <w:hideMark/>
          </w:tcPr>
          <w:p w14:paraId="60422AC7" w14:textId="77777777" w:rsidR="00113E21" w:rsidRPr="00866299" w:rsidRDefault="00113E21" w:rsidP="00113E21">
            <w:pPr>
              <w:spacing w:before="40"/>
              <w:rPr>
                <w:rFonts w:asciiTheme="majorBidi" w:hAnsiTheme="majorBidi" w:cstheme="majorBidi"/>
                <w:sz w:val="20"/>
              </w:rPr>
            </w:pPr>
            <w:r w:rsidRPr="00866299">
              <w:rPr>
                <w:rFonts w:asciiTheme="majorBidi" w:hAnsiTheme="majorBidi" w:cstheme="majorBidi"/>
                <w:color w:val="000000"/>
                <w:sz w:val="20"/>
              </w:rPr>
              <w:t>Deferred tax assets</w:t>
            </w:r>
          </w:p>
        </w:tc>
        <w:tc>
          <w:tcPr>
            <w:tcW w:w="983" w:type="dxa"/>
            <w:shd w:val="clear" w:color="auto" w:fill="auto"/>
            <w:vAlign w:val="bottom"/>
            <w:hideMark/>
          </w:tcPr>
          <w:p w14:paraId="65700D26" w14:textId="638F16E0" w:rsidR="00113E21" w:rsidRPr="002722B5" w:rsidRDefault="00113E21" w:rsidP="00113E21">
            <w:pPr>
              <w:spacing w:before="40"/>
              <w:jc w:val="right"/>
              <w:rPr>
                <w:rFonts w:asciiTheme="majorBidi" w:hAnsiTheme="majorBidi" w:cstheme="majorBidi"/>
                <w:sz w:val="20"/>
              </w:rPr>
            </w:pPr>
            <w:r w:rsidRPr="002722B5">
              <w:rPr>
                <w:rFonts w:asciiTheme="majorBidi" w:hAnsiTheme="majorBidi" w:cstheme="majorBidi"/>
                <w:color w:val="000000"/>
                <w:sz w:val="20"/>
              </w:rPr>
              <w:t>20</w:t>
            </w:r>
          </w:p>
        </w:tc>
        <w:tc>
          <w:tcPr>
            <w:tcW w:w="1816" w:type="dxa"/>
            <w:shd w:val="clear" w:color="auto" w:fill="auto"/>
            <w:noWrap/>
            <w:vAlign w:val="bottom"/>
          </w:tcPr>
          <w:p w14:paraId="16B56A7C" w14:textId="51FFA51D" w:rsidR="00113E21" w:rsidRPr="00113E21" w:rsidRDefault="00113E21" w:rsidP="00516397">
            <w:pPr>
              <w:spacing w:before="40"/>
              <w:jc w:val="right"/>
              <w:rPr>
                <w:sz w:val="20"/>
              </w:rPr>
            </w:pPr>
            <w:r w:rsidRPr="00113E21">
              <w:rPr>
                <w:sz w:val="20"/>
              </w:rPr>
              <w:t>2,517</w:t>
            </w:r>
          </w:p>
        </w:tc>
        <w:tc>
          <w:tcPr>
            <w:tcW w:w="1816" w:type="dxa"/>
            <w:shd w:val="clear" w:color="auto" w:fill="auto"/>
            <w:noWrap/>
            <w:vAlign w:val="bottom"/>
          </w:tcPr>
          <w:p w14:paraId="48C2DE4E" w14:textId="7D44794C" w:rsidR="00113E21" w:rsidRPr="00C56B2B" w:rsidRDefault="00113E21" w:rsidP="00113E21">
            <w:pPr>
              <w:spacing w:before="40"/>
              <w:jc w:val="right"/>
              <w:rPr>
                <w:rFonts w:asciiTheme="majorBidi" w:hAnsiTheme="majorBidi" w:cstheme="majorBidi"/>
                <w:sz w:val="20"/>
              </w:rPr>
            </w:pPr>
            <w:r w:rsidRPr="0095659A">
              <w:rPr>
                <w:sz w:val="20"/>
              </w:rPr>
              <w:t>6,500</w:t>
            </w:r>
          </w:p>
        </w:tc>
      </w:tr>
      <w:tr w:rsidR="00113E21" w:rsidRPr="00866299" w14:paraId="6154BC7A" w14:textId="77777777" w:rsidTr="006909F2">
        <w:trPr>
          <w:trHeight w:val="283"/>
        </w:trPr>
        <w:tc>
          <w:tcPr>
            <w:tcW w:w="5413" w:type="dxa"/>
            <w:shd w:val="clear" w:color="auto" w:fill="auto"/>
            <w:vAlign w:val="bottom"/>
            <w:hideMark/>
          </w:tcPr>
          <w:p w14:paraId="16354F78" w14:textId="77777777" w:rsidR="00113E21" w:rsidRPr="00866299" w:rsidRDefault="00113E21" w:rsidP="00113E21">
            <w:pPr>
              <w:spacing w:before="40"/>
              <w:rPr>
                <w:rFonts w:asciiTheme="majorBidi" w:hAnsiTheme="majorBidi" w:cstheme="majorBidi"/>
                <w:sz w:val="20"/>
              </w:rPr>
            </w:pPr>
            <w:r w:rsidRPr="00866299">
              <w:rPr>
                <w:rFonts w:asciiTheme="majorBidi" w:hAnsiTheme="majorBidi" w:cstheme="majorBidi"/>
                <w:color w:val="000000"/>
                <w:sz w:val="20"/>
              </w:rPr>
              <w:t>Trade and other receivables</w:t>
            </w:r>
          </w:p>
        </w:tc>
        <w:tc>
          <w:tcPr>
            <w:tcW w:w="983" w:type="dxa"/>
            <w:shd w:val="clear" w:color="auto" w:fill="auto"/>
            <w:vAlign w:val="bottom"/>
            <w:hideMark/>
          </w:tcPr>
          <w:p w14:paraId="1636704F" w14:textId="6FB54385" w:rsidR="00113E21" w:rsidRPr="002722B5" w:rsidRDefault="00113E21" w:rsidP="00113E21">
            <w:pPr>
              <w:spacing w:before="40"/>
              <w:jc w:val="right"/>
              <w:rPr>
                <w:rFonts w:asciiTheme="majorBidi" w:hAnsiTheme="majorBidi" w:cstheme="majorBidi"/>
                <w:sz w:val="20"/>
                <w:lang w:bidi="he-IL"/>
              </w:rPr>
            </w:pPr>
            <w:r>
              <w:rPr>
                <w:rFonts w:asciiTheme="majorBidi" w:hAnsiTheme="majorBidi" w:cstheme="majorBidi" w:hint="cs"/>
                <w:sz w:val="20"/>
                <w:rtl/>
                <w:lang w:bidi="he-IL"/>
              </w:rPr>
              <w:t>9</w:t>
            </w:r>
            <w:r>
              <w:rPr>
                <w:rFonts w:asciiTheme="majorBidi" w:hAnsiTheme="majorBidi" w:cstheme="majorBidi"/>
                <w:sz w:val="20"/>
                <w:lang w:bidi="he-IL"/>
              </w:rPr>
              <w:t>B</w:t>
            </w:r>
          </w:p>
        </w:tc>
        <w:tc>
          <w:tcPr>
            <w:tcW w:w="1816" w:type="dxa"/>
            <w:shd w:val="clear" w:color="auto" w:fill="auto"/>
            <w:noWrap/>
            <w:vAlign w:val="bottom"/>
          </w:tcPr>
          <w:p w14:paraId="417F45A4" w14:textId="39D0EEB5" w:rsidR="00113E21" w:rsidRPr="00113E21" w:rsidRDefault="00113E21" w:rsidP="00516397">
            <w:pPr>
              <w:pBdr>
                <w:bottom w:val="single" w:sz="4" w:space="0" w:color="000000"/>
              </w:pBdr>
              <w:spacing w:before="40"/>
              <w:jc w:val="right"/>
              <w:rPr>
                <w:sz w:val="20"/>
              </w:rPr>
            </w:pPr>
            <w:r w:rsidRPr="00113E21">
              <w:rPr>
                <w:sz w:val="20"/>
              </w:rPr>
              <w:t>45,514</w:t>
            </w:r>
          </w:p>
        </w:tc>
        <w:tc>
          <w:tcPr>
            <w:tcW w:w="1816" w:type="dxa"/>
            <w:shd w:val="clear" w:color="auto" w:fill="auto"/>
            <w:noWrap/>
            <w:vAlign w:val="bottom"/>
          </w:tcPr>
          <w:p w14:paraId="4A9F6E3B" w14:textId="4033DC59" w:rsidR="00113E21" w:rsidRPr="00C56B2B" w:rsidRDefault="00113E21" w:rsidP="00113E21">
            <w:pPr>
              <w:pBdr>
                <w:bottom w:val="single" w:sz="4" w:space="0" w:color="000000"/>
              </w:pBdr>
              <w:spacing w:before="40"/>
              <w:jc w:val="right"/>
              <w:rPr>
                <w:rFonts w:asciiTheme="majorBidi" w:hAnsiTheme="majorBidi" w:cstheme="majorBidi"/>
                <w:sz w:val="20"/>
              </w:rPr>
            </w:pPr>
            <w:r w:rsidRPr="0095659A">
              <w:rPr>
                <w:sz w:val="20"/>
              </w:rPr>
              <w:t>119,156</w:t>
            </w:r>
          </w:p>
        </w:tc>
      </w:tr>
      <w:tr w:rsidR="00113E21" w:rsidRPr="00866299" w14:paraId="24322F56" w14:textId="77777777" w:rsidTr="006909F2">
        <w:trPr>
          <w:trHeight w:val="283"/>
        </w:trPr>
        <w:tc>
          <w:tcPr>
            <w:tcW w:w="5413" w:type="dxa"/>
            <w:shd w:val="clear" w:color="auto" w:fill="auto"/>
            <w:vAlign w:val="bottom"/>
            <w:hideMark/>
          </w:tcPr>
          <w:p w14:paraId="0ACF7582" w14:textId="77777777" w:rsidR="00113E21" w:rsidRPr="00866299" w:rsidRDefault="00113E21" w:rsidP="00113E21">
            <w:pPr>
              <w:spacing w:before="40"/>
              <w:rPr>
                <w:rFonts w:asciiTheme="majorBidi" w:hAnsiTheme="majorBidi" w:cstheme="majorBidi"/>
                <w:b/>
                <w:bCs/>
                <w:sz w:val="20"/>
              </w:rPr>
            </w:pPr>
            <w:r w:rsidRPr="00866299">
              <w:rPr>
                <w:rFonts w:asciiTheme="majorBidi" w:hAnsiTheme="majorBidi" w:cstheme="majorBidi"/>
                <w:b/>
                <w:bCs/>
                <w:color w:val="000000"/>
                <w:sz w:val="20"/>
              </w:rPr>
              <w:t>Total non-current assets</w:t>
            </w:r>
          </w:p>
        </w:tc>
        <w:tc>
          <w:tcPr>
            <w:tcW w:w="983" w:type="dxa"/>
            <w:shd w:val="clear" w:color="auto" w:fill="auto"/>
            <w:vAlign w:val="bottom"/>
            <w:hideMark/>
          </w:tcPr>
          <w:p w14:paraId="53DB9FE4" w14:textId="77777777" w:rsidR="00113E21" w:rsidRPr="002722B5" w:rsidRDefault="00113E21" w:rsidP="00113E21">
            <w:pPr>
              <w:spacing w:before="40"/>
              <w:jc w:val="right"/>
              <w:rPr>
                <w:rFonts w:asciiTheme="majorBidi" w:hAnsiTheme="majorBidi" w:cstheme="majorBidi"/>
                <w:b/>
                <w:bCs/>
                <w:sz w:val="20"/>
              </w:rPr>
            </w:pPr>
          </w:p>
        </w:tc>
        <w:tc>
          <w:tcPr>
            <w:tcW w:w="1816" w:type="dxa"/>
            <w:shd w:val="clear" w:color="auto" w:fill="auto"/>
            <w:noWrap/>
            <w:vAlign w:val="bottom"/>
          </w:tcPr>
          <w:p w14:paraId="2B91D95A" w14:textId="1E90C9B2" w:rsidR="00113E21" w:rsidRPr="00113E21" w:rsidRDefault="00113E21" w:rsidP="00516397">
            <w:pPr>
              <w:pBdr>
                <w:bottom w:val="single" w:sz="4" w:space="1" w:color="auto"/>
              </w:pBdr>
              <w:spacing w:before="40"/>
              <w:jc w:val="right"/>
              <w:rPr>
                <w:sz w:val="20"/>
              </w:rPr>
            </w:pPr>
            <w:r w:rsidRPr="00113E21">
              <w:rPr>
                <w:sz w:val="20"/>
              </w:rPr>
              <w:t>3,658,794</w:t>
            </w:r>
          </w:p>
        </w:tc>
        <w:tc>
          <w:tcPr>
            <w:tcW w:w="1816" w:type="dxa"/>
            <w:shd w:val="clear" w:color="auto" w:fill="auto"/>
            <w:noWrap/>
            <w:vAlign w:val="bottom"/>
          </w:tcPr>
          <w:p w14:paraId="154C1E46" w14:textId="2C423C83" w:rsidR="00113E21" w:rsidRPr="00C56B2B" w:rsidRDefault="00113E21" w:rsidP="00113E21">
            <w:pPr>
              <w:pBdr>
                <w:bottom w:val="single" w:sz="4" w:space="0" w:color="000000"/>
              </w:pBdr>
              <w:spacing w:before="40"/>
              <w:jc w:val="right"/>
              <w:rPr>
                <w:rFonts w:asciiTheme="majorBidi" w:hAnsiTheme="majorBidi" w:cstheme="majorBidi"/>
                <w:sz w:val="20"/>
              </w:rPr>
            </w:pPr>
            <w:r w:rsidRPr="0020502A">
              <w:rPr>
                <w:sz w:val="20"/>
              </w:rPr>
              <w:t>3,297,748</w:t>
            </w:r>
          </w:p>
        </w:tc>
      </w:tr>
      <w:tr w:rsidR="00113E21" w:rsidRPr="00866299" w14:paraId="1E131FDE" w14:textId="77777777" w:rsidTr="006909F2">
        <w:trPr>
          <w:trHeight w:val="283"/>
        </w:trPr>
        <w:tc>
          <w:tcPr>
            <w:tcW w:w="5413" w:type="dxa"/>
            <w:shd w:val="clear" w:color="auto" w:fill="auto"/>
            <w:vAlign w:val="bottom"/>
            <w:hideMark/>
          </w:tcPr>
          <w:p w14:paraId="6A487741" w14:textId="77777777" w:rsidR="00113E21" w:rsidRPr="00866299" w:rsidRDefault="00113E21" w:rsidP="00113E21">
            <w:pPr>
              <w:spacing w:before="40"/>
              <w:rPr>
                <w:rFonts w:asciiTheme="majorBidi" w:hAnsiTheme="majorBidi" w:cstheme="majorBidi"/>
                <w:sz w:val="20"/>
              </w:rPr>
            </w:pPr>
            <w:r w:rsidRPr="00866299">
              <w:rPr>
                <w:rFonts w:asciiTheme="majorBidi" w:hAnsiTheme="majorBidi" w:cstheme="majorBidi"/>
                <w:color w:val="000000"/>
                <w:sz w:val="20"/>
              </w:rPr>
              <w:t xml:space="preserve">Inventory </w:t>
            </w:r>
          </w:p>
        </w:tc>
        <w:tc>
          <w:tcPr>
            <w:tcW w:w="983" w:type="dxa"/>
            <w:shd w:val="clear" w:color="auto" w:fill="auto"/>
            <w:vAlign w:val="bottom"/>
            <w:hideMark/>
          </w:tcPr>
          <w:p w14:paraId="7913DB5E" w14:textId="77777777" w:rsidR="00113E21" w:rsidRPr="002722B5" w:rsidRDefault="00113E21" w:rsidP="00113E21">
            <w:pPr>
              <w:spacing w:before="40"/>
              <w:jc w:val="right"/>
              <w:rPr>
                <w:rFonts w:asciiTheme="majorBidi" w:hAnsiTheme="majorBidi" w:cstheme="majorBidi"/>
                <w:sz w:val="20"/>
              </w:rPr>
            </w:pPr>
            <w:r w:rsidRPr="002722B5">
              <w:rPr>
                <w:rFonts w:asciiTheme="majorBidi" w:hAnsiTheme="majorBidi" w:cstheme="majorBidi"/>
                <w:color w:val="000000"/>
                <w:sz w:val="20"/>
              </w:rPr>
              <w:t>7</w:t>
            </w:r>
          </w:p>
        </w:tc>
        <w:tc>
          <w:tcPr>
            <w:tcW w:w="1816" w:type="dxa"/>
            <w:shd w:val="clear" w:color="auto" w:fill="auto"/>
            <w:noWrap/>
            <w:vAlign w:val="bottom"/>
          </w:tcPr>
          <w:p w14:paraId="09D38E6D" w14:textId="2CA17D04" w:rsidR="00113E21" w:rsidRPr="00113E21" w:rsidRDefault="00113E21" w:rsidP="00516397">
            <w:pPr>
              <w:spacing w:before="40"/>
              <w:jc w:val="right"/>
              <w:rPr>
                <w:sz w:val="20"/>
              </w:rPr>
            </w:pPr>
            <w:r>
              <w:rPr>
                <w:sz w:val="20"/>
              </w:rPr>
              <w:t>23,997</w:t>
            </w:r>
          </w:p>
        </w:tc>
        <w:tc>
          <w:tcPr>
            <w:tcW w:w="1816" w:type="dxa"/>
            <w:shd w:val="clear" w:color="auto" w:fill="auto"/>
            <w:noWrap/>
            <w:vAlign w:val="bottom"/>
          </w:tcPr>
          <w:p w14:paraId="140BA705" w14:textId="30A48DB7" w:rsidR="00113E21" w:rsidRPr="00C56B2B" w:rsidRDefault="00113E21" w:rsidP="00113E21">
            <w:pPr>
              <w:spacing w:before="40"/>
              <w:jc w:val="right"/>
              <w:rPr>
                <w:rFonts w:asciiTheme="majorBidi" w:hAnsiTheme="majorBidi" w:cstheme="majorBidi"/>
                <w:sz w:val="20"/>
              </w:rPr>
            </w:pPr>
            <w:r w:rsidRPr="0095659A">
              <w:rPr>
                <w:sz w:val="20"/>
              </w:rPr>
              <w:t>20,575</w:t>
            </w:r>
          </w:p>
        </w:tc>
      </w:tr>
      <w:tr w:rsidR="00113E21" w:rsidRPr="00866299" w14:paraId="1EFC33CA" w14:textId="77777777" w:rsidTr="006909F2">
        <w:trPr>
          <w:trHeight w:val="283"/>
        </w:trPr>
        <w:tc>
          <w:tcPr>
            <w:tcW w:w="5413" w:type="dxa"/>
            <w:shd w:val="clear" w:color="auto" w:fill="auto"/>
            <w:vAlign w:val="bottom"/>
          </w:tcPr>
          <w:p w14:paraId="73E5BE1A" w14:textId="78797526" w:rsidR="00113E21" w:rsidRPr="00866299" w:rsidRDefault="00113E21" w:rsidP="00113E21">
            <w:pPr>
              <w:spacing w:before="40"/>
              <w:rPr>
                <w:rFonts w:asciiTheme="majorBidi" w:hAnsiTheme="majorBidi" w:cstheme="majorBidi"/>
                <w:color w:val="000000"/>
                <w:sz w:val="20"/>
              </w:rPr>
            </w:pPr>
            <w:r w:rsidRPr="00975EF1">
              <w:rPr>
                <w:rFonts w:asciiTheme="majorBidi" w:hAnsiTheme="majorBidi" w:cstheme="majorBidi"/>
                <w:color w:val="000000"/>
                <w:sz w:val="20"/>
              </w:rPr>
              <w:t>Short term investment</w:t>
            </w:r>
            <w:r>
              <w:rPr>
                <w:rFonts w:asciiTheme="majorBidi" w:hAnsiTheme="majorBidi" w:cstheme="majorBidi"/>
                <w:color w:val="000000"/>
                <w:sz w:val="20"/>
              </w:rPr>
              <w:t>s</w:t>
            </w:r>
          </w:p>
        </w:tc>
        <w:tc>
          <w:tcPr>
            <w:tcW w:w="983" w:type="dxa"/>
            <w:shd w:val="clear" w:color="auto" w:fill="auto"/>
            <w:vAlign w:val="bottom"/>
          </w:tcPr>
          <w:p w14:paraId="4FBAED25" w14:textId="7AA3F50B" w:rsidR="00113E21" w:rsidRPr="002722B5" w:rsidRDefault="00113E21" w:rsidP="00113E21">
            <w:pPr>
              <w:spacing w:before="40"/>
              <w:jc w:val="right"/>
              <w:rPr>
                <w:rFonts w:asciiTheme="majorBidi" w:hAnsiTheme="majorBidi" w:cstheme="majorBidi"/>
                <w:color w:val="000000"/>
                <w:sz w:val="20"/>
              </w:rPr>
            </w:pPr>
            <w:r w:rsidRPr="002722B5">
              <w:rPr>
                <w:rFonts w:asciiTheme="majorBidi" w:hAnsiTheme="majorBidi" w:cstheme="majorBidi"/>
                <w:color w:val="000000"/>
                <w:sz w:val="20"/>
              </w:rPr>
              <w:t>8</w:t>
            </w:r>
          </w:p>
        </w:tc>
        <w:tc>
          <w:tcPr>
            <w:tcW w:w="1816" w:type="dxa"/>
            <w:shd w:val="clear" w:color="auto" w:fill="auto"/>
            <w:noWrap/>
            <w:vAlign w:val="bottom"/>
          </w:tcPr>
          <w:p w14:paraId="51288E77" w14:textId="758B5621" w:rsidR="00113E21" w:rsidRPr="00113E21" w:rsidRDefault="00113E21" w:rsidP="00516397">
            <w:pPr>
              <w:spacing w:before="40"/>
              <w:jc w:val="right"/>
              <w:rPr>
                <w:sz w:val="20"/>
              </w:rPr>
            </w:pPr>
            <w:r>
              <w:rPr>
                <w:sz w:val="20"/>
              </w:rPr>
              <w:t>19,950</w:t>
            </w:r>
          </w:p>
        </w:tc>
        <w:tc>
          <w:tcPr>
            <w:tcW w:w="1816" w:type="dxa"/>
            <w:shd w:val="clear" w:color="auto" w:fill="auto"/>
            <w:noWrap/>
            <w:vAlign w:val="bottom"/>
          </w:tcPr>
          <w:p w14:paraId="1BEE45E5" w14:textId="50877FB2" w:rsidR="00113E21" w:rsidRPr="00C56B2B" w:rsidRDefault="00113E21" w:rsidP="00113E21">
            <w:pPr>
              <w:spacing w:before="40"/>
              <w:jc w:val="right"/>
              <w:rPr>
                <w:rFonts w:asciiTheme="majorBidi" w:hAnsiTheme="majorBidi" w:cstheme="majorBidi"/>
                <w:color w:val="000000"/>
                <w:sz w:val="20"/>
              </w:rPr>
            </w:pPr>
            <w:r w:rsidRPr="0095659A">
              <w:rPr>
                <w:sz w:val="20"/>
              </w:rPr>
              <w:t>17,184</w:t>
            </w:r>
          </w:p>
        </w:tc>
      </w:tr>
      <w:tr w:rsidR="00113E21" w:rsidRPr="00866299" w14:paraId="51AB9179" w14:textId="77777777" w:rsidTr="006909F2">
        <w:trPr>
          <w:trHeight w:val="283"/>
        </w:trPr>
        <w:tc>
          <w:tcPr>
            <w:tcW w:w="5413" w:type="dxa"/>
            <w:shd w:val="clear" w:color="auto" w:fill="auto"/>
            <w:vAlign w:val="bottom"/>
            <w:hideMark/>
          </w:tcPr>
          <w:p w14:paraId="5EBA5233" w14:textId="77777777" w:rsidR="00113E21" w:rsidRPr="00866299" w:rsidRDefault="00113E21" w:rsidP="00113E21">
            <w:pPr>
              <w:spacing w:before="40"/>
              <w:rPr>
                <w:rFonts w:asciiTheme="majorBidi" w:hAnsiTheme="majorBidi" w:cstheme="majorBidi"/>
                <w:sz w:val="20"/>
              </w:rPr>
            </w:pPr>
            <w:r w:rsidRPr="00866299">
              <w:rPr>
                <w:rFonts w:asciiTheme="majorBidi" w:hAnsiTheme="majorBidi" w:cstheme="majorBidi"/>
                <w:color w:val="000000"/>
                <w:sz w:val="20"/>
              </w:rPr>
              <w:t>Trade and other receivables</w:t>
            </w:r>
          </w:p>
        </w:tc>
        <w:tc>
          <w:tcPr>
            <w:tcW w:w="983" w:type="dxa"/>
            <w:shd w:val="clear" w:color="auto" w:fill="auto"/>
            <w:vAlign w:val="bottom"/>
            <w:hideMark/>
          </w:tcPr>
          <w:p w14:paraId="2CF06477" w14:textId="1514CF3F" w:rsidR="00113E21" w:rsidRPr="002722B5" w:rsidRDefault="00113E21" w:rsidP="00113E21">
            <w:pPr>
              <w:spacing w:before="40"/>
              <w:jc w:val="right"/>
              <w:rPr>
                <w:rFonts w:asciiTheme="majorBidi" w:hAnsiTheme="majorBidi" w:cstheme="majorBidi"/>
                <w:sz w:val="20"/>
              </w:rPr>
            </w:pPr>
            <w:r w:rsidRPr="002722B5">
              <w:rPr>
                <w:rFonts w:asciiTheme="majorBidi" w:hAnsiTheme="majorBidi" w:cstheme="majorBidi"/>
                <w:color w:val="000000"/>
                <w:sz w:val="20"/>
              </w:rPr>
              <w:t>9</w:t>
            </w:r>
            <w:r>
              <w:rPr>
                <w:rFonts w:asciiTheme="majorBidi" w:hAnsiTheme="majorBidi" w:cstheme="majorBidi"/>
                <w:color w:val="000000"/>
                <w:sz w:val="20"/>
              </w:rPr>
              <w:t>A</w:t>
            </w:r>
          </w:p>
        </w:tc>
        <w:tc>
          <w:tcPr>
            <w:tcW w:w="1816" w:type="dxa"/>
            <w:shd w:val="clear" w:color="auto" w:fill="auto"/>
            <w:noWrap/>
            <w:vAlign w:val="bottom"/>
          </w:tcPr>
          <w:p w14:paraId="1D4AFF53" w14:textId="6D7DB8B7" w:rsidR="00113E21" w:rsidRPr="00113E21" w:rsidRDefault="00113E21" w:rsidP="00516397">
            <w:pPr>
              <w:spacing w:before="40"/>
              <w:jc w:val="right"/>
              <w:rPr>
                <w:sz w:val="20"/>
              </w:rPr>
            </w:pPr>
            <w:r>
              <w:rPr>
                <w:sz w:val="20"/>
              </w:rPr>
              <w:t>57,277</w:t>
            </w:r>
          </w:p>
        </w:tc>
        <w:tc>
          <w:tcPr>
            <w:tcW w:w="1816" w:type="dxa"/>
            <w:shd w:val="clear" w:color="auto" w:fill="auto"/>
            <w:noWrap/>
            <w:vAlign w:val="bottom"/>
          </w:tcPr>
          <w:p w14:paraId="6131E1AD" w14:textId="5DF24417" w:rsidR="00113E21" w:rsidRPr="00C56B2B" w:rsidRDefault="00113E21" w:rsidP="00113E21">
            <w:pPr>
              <w:spacing w:before="40"/>
              <w:jc w:val="right"/>
              <w:rPr>
                <w:rFonts w:asciiTheme="majorBidi" w:hAnsiTheme="majorBidi" w:cstheme="majorBidi"/>
                <w:sz w:val="20"/>
              </w:rPr>
            </w:pPr>
            <w:r w:rsidRPr="0095659A">
              <w:rPr>
                <w:sz w:val="20"/>
              </w:rPr>
              <w:t>92,391</w:t>
            </w:r>
          </w:p>
        </w:tc>
      </w:tr>
      <w:tr w:rsidR="00113E21" w:rsidRPr="00866299" w14:paraId="28FA35BB" w14:textId="77777777" w:rsidTr="006909F2">
        <w:trPr>
          <w:trHeight w:val="283"/>
        </w:trPr>
        <w:tc>
          <w:tcPr>
            <w:tcW w:w="5413" w:type="dxa"/>
            <w:shd w:val="clear" w:color="auto" w:fill="auto"/>
            <w:vAlign w:val="bottom"/>
            <w:hideMark/>
          </w:tcPr>
          <w:p w14:paraId="3DF8B0D0" w14:textId="77777777" w:rsidR="00113E21" w:rsidRPr="00866299" w:rsidRDefault="00113E21" w:rsidP="00113E21">
            <w:pPr>
              <w:spacing w:before="40"/>
              <w:rPr>
                <w:rFonts w:asciiTheme="majorBidi" w:hAnsiTheme="majorBidi" w:cstheme="majorBidi"/>
                <w:sz w:val="20"/>
              </w:rPr>
            </w:pPr>
            <w:r w:rsidRPr="00866299">
              <w:rPr>
                <w:rFonts w:asciiTheme="majorBidi" w:hAnsiTheme="majorBidi" w:cstheme="majorBidi"/>
                <w:color w:val="000000"/>
                <w:sz w:val="20"/>
              </w:rPr>
              <w:t>Cash and cash equivalents</w:t>
            </w:r>
          </w:p>
        </w:tc>
        <w:tc>
          <w:tcPr>
            <w:tcW w:w="983" w:type="dxa"/>
            <w:shd w:val="clear" w:color="auto" w:fill="auto"/>
            <w:vAlign w:val="bottom"/>
            <w:hideMark/>
          </w:tcPr>
          <w:p w14:paraId="08A3FDF2" w14:textId="04007A3B" w:rsidR="00113E21" w:rsidRPr="002722B5" w:rsidRDefault="00113E21" w:rsidP="00113E21">
            <w:pPr>
              <w:spacing w:before="40"/>
              <w:jc w:val="right"/>
              <w:rPr>
                <w:rFonts w:asciiTheme="majorBidi" w:hAnsiTheme="majorBidi" w:cstheme="majorBidi"/>
                <w:sz w:val="20"/>
              </w:rPr>
            </w:pPr>
            <w:r w:rsidRPr="002722B5">
              <w:rPr>
                <w:rFonts w:asciiTheme="majorBidi" w:hAnsiTheme="majorBidi" w:cstheme="majorBidi"/>
                <w:color w:val="000000"/>
                <w:sz w:val="20"/>
              </w:rPr>
              <w:t>10</w:t>
            </w:r>
          </w:p>
        </w:tc>
        <w:tc>
          <w:tcPr>
            <w:tcW w:w="1816" w:type="dxa"/>
            <w:shd w:val="clear" w:color="auto" w:fill="auto"/>
            <w:noWrap/>
            <w:vAlign w:val="bottom"/>
          </w:tcPr>
          <w:p w14:paraId="1651F359" w14:textId="072159B5" w:rsidR="00113E21" w:rsidRPr="00113E21" w:rsidRDefault="00113E21" w:rsidP="00516397">
            <w:pPr>
              <w:pBdr>
                <w:bottom w:val="single" w:sz="4" w:space="0" w:color="000000"/>
              </w:pBdr>
              <w:spacing w:before="40"/>
              <w:jc w:val="right"/>
              <w:rPr>
                <w:sz w:val="20"/>
              </w:rPr>
            </w:pPr>
            <w:r>
              <w:rPr>
                <w:sz w:val="20"/>
              </w:rPr>
              <w:t>104,068</w:t>
            </w:r>
          </w:p>
        </w:tc>
        <w:tc>
          <w:tcPr>
            <w:tcW w:w="1816" w:type="dxa"/>
            <w:shd w:val="clear" w:color="auto" w:fill="auto"/>
            <w:noWrap/>
            <w:vAlign w:val="bottom"/>
          </w:tcPr>
          <w:p w14:paraId="60F16D47" w14:textId="3800C0D6" w:rsidR="00113E21" w:rsidRPr="00C56B2B" w:rsidRDefault="00113E21" w:rsidP="00113E21">
            <w:pPr>
              <w:pBdr>
                <w:bottom w:val="single" w:sz="4" w:space="0" w:color="000000"/>
              </w:pBdr>
              <w:spacing w:before="40"/>
              <w:jc w:val="right"/>
              <w:rPr>
                <w:rFonts w:asciiTheme="majorBidi" w:hAnsiTheme="majorBidi" w:cstheme="majorBidi"/>
                <w:sz w:val="20"/>
              </w:rPr>
            </w:pPr>
            <w:r w:rsidRPr="0095659A">
              <w:rPr>
                <w:sz w:val="20"/>
              </w:rPr>
              <w:t>82,818</w:t>
            </w:r>
          </w:p>
        </w:tc>
      </w:tr>
      <w:tr w:rsidR="00113E21" w:rsidRPr="00866299" w14:paraId="57673706" w14:textId="77777777" w:rsidTr="006909F2">
        <w:trPr>
          <w:trHeight w:val="283"/>
        </w:trPr>
        <w:tc>
          <w:tcPr>
            <w:tcW w:w="5413" w:type="dxa"/>
            <w:shd w:val="clear" w:color="auto" w:fill="auto"/>
            <w:vAlign w:val="bottom"/>
            <w:hideMark/>
          </w:tcPr>
          <w:p w14:paraId="21EC00DB" w14:textId="77777777" w:rsidR="00113E21" w:rsidRPr="00866299" w:rsidRDefault="00113E21" w:rsidP="00113E21">
            <w:pPr>
              <w:spacing w:before="40"/>
              <w:rPr>
                <w:rFonts w:asciiTheme="majorBidi" w:hAnsiTheme="majorBidi" w:cstheme="majorBidi"/>
                <w:b/>
                <w:bCs/>
                <w:sz w:val="20"/>
              </w:rPr>
            </w:pPr>
            <w:r w:rsidRPr="00866299">
              <w:rPr>
                <w:rFonts w:asciiTheme="majorBidi" w:hAnsiTheme="majorBidi" w:cstheme="majorBidi"/>
                <w:b/>
                <w:bCs/>
                <w:color w:val="000000"/>
                <w:sz w:val="20"/>
              </w:rPr>
              <w:t>Total current assets</w:t>
            </w:r>
          </w:p>
        </w:tc>
        <w:tc>
          <w:tcPr>
            <w:tcW w:w="983" w:type="dxa"/>
            <w:shd w:val="clear" w:color="auto" w:fill="auto"/>
            <w:vAlign w:val="bottom"/>
            <w:hideMark/>
          </w:tcPr>
          <w:p w14:paraId="75E994B1" w14:textId="77777777" w:rsidR="00113E21" w:rsidRPr="002722B5" w:rsidRDefault="00113E21" w:rsidP="00113E21">
            <w:pPr>
              <w:spacing w:before="40"/>
              <w:jc w:val="right"/>
              <w:rPr>
                <w:rFonts w:asciiTheme="majorBidi" w:hAnsiTheme="majorBidi" w:cstheme="majorBidi"/>
                <w:sz w:val="20"/>
              </w:rPr>
            </w:pPr>
          </w:p>
        </w:tc>
        <w:tc>
          <w:tcPr>
            <w:tcW w:w="1816" w:type="dxa"/>
            <w:shd w:val="clear" w:color="auto" w:fill="auto"/>
            <w:noWrap/>
            <w:vAlign w:val="bottom"/>
          </w:tcPr>
          <w:p w14:paraId="1CFA40EA" w14:textId="013ECB8C" w:rsidR="00113E21" w:rsidRPr="00113E21" w:rsidRDefault="00113E21" w:rsidP="00516397">
            <w:pPr>
              <w:pBdr>
                <w:bottom w:val="single" w:sz="4" w:space="0" w:color="000000"/>
              </w:pBdr>
              <w:spacing w:before="40"/>
              <w:jc w:val="right"/>
              <w:rPr>
                <w:sz w:val="20"/>
              </w:rPr>
            </w:pPr>
            <w:r w:rsidRPr="00113E21">
              <w:rPr>
                <w:sz w:val="20"/>
              </w:rPr>
              <w:t>205,292</w:t>
            </w:r>
          </w:p>
        </w:tc>
        <w:tc>
          <w:tcPr>
            <w:tcW w:w="1816" w:type="dxa"/>
            <w:shd w:val="clear" w:color="auto" w:fill="auto"/>
            <w:noWrap/>
            <w:vAlign w:val="bottom"/>
          </w:tcPr>
          <w:p w14:paraId="4799192A" w14:textId="68F5A418" w:rsidR="00113E21" w:rsidRPr="00C56B2B" w:rsidRDefault="00113E21" w:rsidP="00113E21">
            <w:pPr>
              <w:pBdr>
                <w:bottom w:val="single" w:sz="4" w:space="0" w:color="000000"/>
              </w:pBdr>
              <w:spacing w:before="40"/>
              <w:jc w:val="right"/>
              <w:rPr>
                <w:rFonts w:asciiTheme="majorBidi" w:hAnsiTheme="majorBidi" w:cstheme="majorBidi"/>
                <w:sz w:val="20"/>
              </w:rPr>
            </w:pPr>
            <w:r w:rsidRPr="0020502A">
              <w:rPr>
                <w:sz w:val="20"/>
              </w:rPr>
              <w:t>212,968</w:t>
            </w:r>
          </w:p>
        </w:tc>
      </w:tr>
      <w:tr w:rsidR="00C74678" w:rsidRPr="00866299" w14:paraId="543462FC" w14:textId="77777777" w:rsidTr="006909F2">
        <w:trPr>
          <w:trHeight w:val="283"/>
        </w:trPr>
        <w:tc>
          <w:tcPr>
            <w:tcW w:w="5413" w:type="dxa"/>
            <w:shd w:val="clear" w:color="auto" w:fill="auto"/>
            <w:vAlign w:val="bottom"/>
            <w:hideMark/>
          </w:tcPr>
          <w:p w14:paraId="2DB6C80F" w14:textId="77777777" w:rsidR="00C74678" w:rsidRPr="00866299" w:rsidRDefault="00C74678" w:rsidP="00C74678">
            <w:pPr>
              <w:spacing w:before="40"/>
              <w:rPr>
                <w:rFonts w:asciiTheme="majorBidi" w:hAnsiTheme="majorBidi" w:cstheme="majorBidi"/>
                <w:b/>
                <w:bCs/>
                <w:sz w:val="20"/>
              </w:rPr>
            </w:pPr>
            <w:r w:rsidRPr="00866299">
              <w:rPr>
                <w:rFonts w:asciiTheme="majorBidi" w:hAnsiTheme="majorBidi" w:cstheme="majorBidi"/>
                <w:b/>
                <w:bCs/>
                <w:color w:val="000000"/>
                <w:sz w:val="20"/>
              </w:rPr>
              <w:t>Total assets</w:t>
            </w:r>
          </w:p>
        </w:tc>
        <w:tc>
          <w:tcPr>
            <w:tcW w:w="983" w:type="dxa"/>
            <w:shd w:val="clear" w:color="auto" w:fill="auto"/>
            <w:vAlign w:val="bottom"/>
            <w:hideMark/>
          </w:tcPr>
          <w:p w14:paraId="5825A9FC" w14:textId="77777777" w:rsidR="00C74678" w:rsidRPr="002722B5" w:rsidRDefault="00C74678" w:rsidP="00C74678">
            <w:pPr>
              <w:spacing w:before="40"/>
              <w:jc w:val="right"/>
              <w:rPr>
                <w:rFonts w:asciiTheme="majorBidi" w:hAnsiTheme="majorBidi" w:cstheme="majorBidi"/>
                <w:sz w:val="20"/>
              </w:rPr>
            </w:pPr>
          </w:p>
        </w:tc>
        <w:tc>
          <w:tcPr>
            <w:tcW w:w="1816" w:type="dxa"/>
            <w:shd w:val="clear" w:color="auto" w:fill="auto"/>
            <w:noWrap/>
            <w:vAlign w:val="bottom"/>
          </w:tcPr>
          <w:p w14:paraId="37F70DC7" w14:textId="246246CA" w:rsidR="00C74678" w:rsidRPr="00113E21" w:rsidRDefault="00113E21" w:rsidP="00516397">
            <w:pPr>
              <w:pBdr>
                <w:bottom w:val="double" w:sz="4" w:space="0" w:color="000000"/>
              </w:pBdr>
              <w:spacing w:before="40"/>
              <w:jc w:val="right"/>
              <w:rPr>
                <w:sz w:val="20"/>
              </w:rPr>
            </w:pPr>
            <w:r w:rsidRPr="00113E21">
              <w:rPr>
                <w:sz w:val="20"/>
              </w:rPr>
              <w:t>3,864,086</w:t>
            </w:r>
          </w:p>
        </w:tc>
        <w:tc>
          <w:tcPr>
            <w:tcW w:w="1816" w:type="dxa"/>
            <w:shd w:val="clear" w:color="auto" w:fill="auto"/>
            <w:noWrap/>
            <w:vAlign w:val="bottom"/>
          </w:tcPr>
          <w:p w14:paraId="1BD84DFB" w14:textId="05A22C72" w:rsidR="00C74678" w:rsidRPr="00C56B2B" w:rsidRDefault="00C74678" w:rsidP="00C74678">
            <w:pPr>
              <w:pBdr>
                <w:bottom w:val="double" w:sz="4" w:space="0" w:color="000000"/>
              </w:pBdr>
              <w:spacing w:before="40"/>
              <w:jc w:val="right"/>
              <w:rPr>
                <w:rFonts w:asciiTheme="majorBidi" w:hAnsiTheme="majorBidi" w:cstheme="majorBidi"/>
                <w:sz w:val="20"/>
              </w:rPr>
            </w:pPr>
            <w:r w:rsidRPr="0020502A">
              <w:rPr>
                <w:sz w:val="20"/>
              </w:rPr>
              <w:t>3,510,716</w:t>
            </w:r>
          </w:p>
        </w:tc>
      </w:tr>
      <w:tr w:rsidR="00C74678" w:rsidRPr="00866299" w14:paraId="370502BB" w14:textId="77777777" w:rsidTr="006909F2">
        <w:trPr>
          <w:trHeight w:val="283"/>
        </w:trPr>
        <w:tc>
          <w:tcPr>
            <w:tcW w:w="5413" w:type="dxa"/>
            <w:shd w:val="clear" w:color="auto" w:fill="auto"/>
            <w:vAlign w:val="bottom"/>
            <w:hideMark/>
          </w:tcPr>
          <w:p w14:paraId="78C63E5A" w14:textId="77777777" w:rsidR="00C74678" w:rsidRPr="00866299" w:rsidRDefault="00C74678" w:rsidP="00C74678">
            <w:pPr>
              <w:spacing w:before="40"/>
              <w:rPr>
                <w:rFonts w:asciiTheme="majorBidi" w:hAnsiTheme="majorBidi" w:cstheme="majorBidi"/>
                <w:b/>
                <w:bCs/>
                <w:sz w:val="20"/>
              </w:rPr>
            </w:pPr>
            <w:r w:rsidRPr="00866299">
              <w:rPr>
                <w:rFonts w:asciiTheme="majorBidi" w:hAnsiTheme="majorBidi" w:cstheme="majorBidi"/>
                <w:b/>
                <w:bCs/>
                <w:color w:val="000000"/>
                <w:sz w:val="20"/>
              </w:rPr>
              <w:t>Equity</w:t>
            </w:r>
          </w:p>
        </w:tc>
        <w:tc>
          <w:tcPr>
            <w:tcW w:w="983" w:type="dxa"/>
            <w:shd w:val="clear" w:color="auto" w:fill="auto"/>
            <w:vAlign w:val="bottom"/>
            <w:hideMark/>
          </w:tcPr>
          <w:p w14:paraId="6852F69B" w14:textId="215DE23B" w:rsidR="00C74678" w:rsidRPr="002722B5" w:rsidRDefault="00C74678" w:rsidP="00C74678">
            <w:pPr>
              <w:spacing w:before="40"/>
              <w:jc w:val="right"/>
              <w:rPr>
                <w:rFonts w:asciiTheme="majorBidi" w:hAnsiTheme="majorBidi" w:cstheme="majorBidi"/>
                <w:sz w:val="20"/>
              </w:rPr>
            </w:pPr>
            <w:r w:rsidRPr="002722B5">
              <w:rPr>
                <w:rFonts w:asciiTheme="majorBidi" w:hAnsiTheme="majorBidi" w:cstheme="majorBidi"/>
                <w:color w:val="000000"/>
                <w:sz w:val="20"/>
              </w:rPr>
              <w:t>11</w:t>
            </w:r>
          </w:p>
        </w:tc>
        <w:tc>
          <w:tcPr>
            <w:tcW w:w="1816" w:type="dxa"/>
            <w:shd w:val="clear" w:color="auto" w:fill="auto"/>
            <w:noWrap/>
            <w:vAlign w:val="bottom"/>
          </w:tcPr>
          <w:p w14:paraId="51CB9883" w14:textId="77777777" w:rsidR="00C74678" w:rsidRPr="00113E21" w:rsidRDefault="00C74678" w:rsidP="00516397">
            <w:pPr>
              <w:spacing w:before="40"/>
              <w:jc w:val="right"/>
              <w:rPr>
                <w:sz w:val="20"/>
              </w:rPr>
            </w:pPr>
          </w:p>
        </w:tc>
        <w:tc>
          <w:tcPr>
            <w:tcW w:w="1816" w:type="dxa"/>
            <w:shd w:val="clear" w:color="auto" w:fill="auto"/>
            <w:noWrap/>
            <w:vAlign w:val="bottom"/>
          </w:tcPr>
          <w:p w14:paraId="0AA6AB44" w14:textId="77777777" w:rsidR="00C74678" w:rsidRPr="00C56B2B" w:rsidRDefault="00C74678" w:rsidP="00C74678">
            <w:pPr>
              <w:spacing w:before="40"/>
              <w:jc w:val="right"/>
              <w:rPr>
                <w:rFonts w:asciiTheme="majorBidi" w:eastAsia="Arial" w:hAnsiTheme="majorBidi" w:cstheme="majorBidi"/>
                <w:sz w:val="20"/>
              </w:rPr>
            </w:pPr>
          </w:p>
        </w:tc>
      </w:tr>
      <w:tr w:rsidR="00113E21" w:rsidRPr="00866299" w14:paraId="2039DCE5" w14:textId="77777777" w:rsidTr="006909F2">
        <w:trPr>
          <w:trHeight w:val="283"/>
        </w:trPr>
        <w:tc>
          <w:tcPr>
            <w:tcW w:w="5413" w:type="dxa"/>
            <w:shd w:val="clear" w:color="auto" w:fill="auto"/>
            <w:vAlign w:val="bottom"/>
            <w:hideMark/>
          </w:tcPr>
          <w:p w14:paraId="56468E28" w14:textId="77777777" w:rsidR="00113E21" w:rsidRPr="00866299" w:rsidRDefault="00113E21" w:rsidP="00113E21">
            <w:pPr>
              <w:spacing w:before="40"/>
              <w:rPr>
                <w:rFonts w:asciiTheme="majorBidi" w:hAnsiTheme="majorBidi" w:cstheme="majorBidi"/>
                <w:sz w:val="20"/>
              </w:rPr>
            </w:pPr>
            <w:r w:rsidRPr="00866299">
              <w:rPr>
                <w:rFonts w:asciiTheme="majorBidi" w:hAnsiTheme="majorBidi" w:cstheme="majorBidi"/>
                <w:color w:val="000000"/>
                <w:sz w:val="20"/>
              </w:rPr>
              <w:t>Issued capital</w:t>
            </w:r>
          </w:p>
        </w:tc>
        <w:tc>
          <w:tcPr>
            <w:tcW w:w="983" w:type="dxa"/>
            <w:shd w:val="clear" w:color="auto" w:fill="auto"/>
            <w:vAlign w:val="bottom"/>
            <w:hideMark/>
          </w:tcPr>
          <w:p w14:paraId="6BC886A5" w14:textId="77777777" w:rsidR="00113E21" w:rsidRPr="002722B5" w:rsidRDefault="00113E21" w:rsidP="00113E21">
            <w:pPr>
              <w:spacing w:before="40"/>
              <w:jc w:val="right"/>
              <w:rPr>
                <w:rFonts w:asciiTheme="majorBidi" w:hAnsiTheme="majorBidi" w:cstheme="majorBidi"/>
                <w:sz w:val="20"/>
              </w:rPr>
            </w:pPr>
          </w:p>
        </w:tc>
        <w:tc>
          <w:tcPr>
            <w:tcW w:w="1816" w:type="dxa"/>
            <w:shd w:val="clear" w:color="auto" w:fill="auto"/>
            <w:noWrap/>
            <w:vAlign w:val="bottom"/>
          </w:tcPr>
          <w:p w14:paraId="06E25A49" w14:textId="43759579" w:rsidR="00113E21" w:rsidRPr="00113E21" w:rsidRDefault="00113E21" w:rsidP="00516397">
            <w:pPr>
              <w:spacing w:before="40"/>
              <w:jc w:val="right"/>
              <w:rPr>
                <w:sz w:val="20"/>
              </w:rPr>
            </w:pPr>
            <w:r w:rsidRPr="00113E21">
              <w:rPr>
                <w:sz w:val="20"/>
              </w:rPr>
              <w:t>930</w:t>
            </w:r>
          </w:p>
        </w:tc>
        <w:tc>
          <w:tcPr>
            <w:tcW w:w="1816" w:type="dxa"/>
            <w:shd w:val="clear" w:color="auto" w:fill="auto"/>
            <w:noWrap/>
            <w:vAlign w:val="bottom"/>
          </w:tcPr>
          <w:p w14:paraId="34AE5D30" w14:textId="5AA0FA96" w:rsidR="00113E21" w:rsidRPr="00C56B2B" w:rsidRDefault="00113E21" w:rsidP="00113E21">
            <w:pPr>
              <w:spacing w:before="40"/>
              <w:jc w:val="right"/>
              <w:rPr>
                <w:rFonts w:asciiTheme="majorBidi" w:hAnsiTheme="majorBidi" w:cstheme="majorBidi"/>
                <w:sz w:val="20"/>
              </w:rPr>
            </w:pPr>
            <w:r w:rsidRPr="0095659A">
              <w:rPr>
                <w:sz w:val="20"/>
              </w:rPr>
              <w:t>930</w:t>
            </w:r>
          </w:p>
        </w:tc>
      </w:tr>
      <w:tr w:rsidR="00113E21" w:rsidRPr="00866299" w14:paraId="7FFBAD1F" w14:textId="77777777" w:rsidTr="006909F2">
        <w:trPr>
          <w:trHeight w:val="283"/>
        </w:trPr>
        <w:tc>
          <w:tcPr>
            <w:tcW w:w="5413" w:type="dxa"/>
            <w:shd w:val="clear" w:color="auto" w:fill="auto"/>
            <w:vAlign w:val="bottom"/>
            <w:hideMark/>
          </w:tcPr>
          <w:p w14:paraId="66DC0A97" w14:textId="77777777" w:rsidR="00113E21" w:rsidRPr="00866299" w:rsidRDefault="00113E21" w:rsidP="00113E21">
            <w:pPr>
              <w:spacing w:before="40"/>
              <w:rPr>
                <w:rFonts w:asciiTheme="majorBidi" w:hAnsiTheme="majorBidi" w:cstheme="majorBidi"/>
                <w:sz w:val="20"/>
                <w:lang w:bidi="he-IL"/>
              </w:rPr>
            </w:pPr>
            <w:r w:rsidRPr="00866299">
              <w:rPr>
                <w:rFonts w:asciiTheme="majorBidi" w:hAnsiTheme="majorBidi" w:cstheme="majorBidi"/>
                <w:color w:val="000000"/>
                <w:sz w:val="20"/>
              </w:rPr>
              <w:t xml:space="preserve">Share premium </w:t>
            </w:r>
          </w:p>
        </w:tc>
        <w:tc>
          <w:tcPr>
            <w:tcW w:w="983" w:type="dxa"/>
            <w:shd w:val="clear" w:color="auto" w:fill="auto"/>
            <w:vAlign w:val="bottom"/>
            <w:hideMark/>
          </w:tcPr>
          <w:p w14:paraId="228F350C" w14:textId="77777777" w:rsidR="00113E21" w:rsidRPr="002722B5" w:rsidRDefault="00113E21" w:rsidP="00113E21">
            <w:pPr>
              <w:spacing w:before="40"/>
              <w:jc w:val="right"/>
              <w:rPr>
                <w:rFonts w:asciiTheme="majorBidi" w:hAnsiTheme="majorBidi" w:cstheme="majorBidi"/>
                <w:sz w:val="20"/>
              </w:rPr>
            </w:pPr>
          </w:p>
        </w:tc>
        <w:tc>
          <w:tcPr>
            <w:tcW w:w="1816" w:type="dxa"/>
            <w:shd w:val="clear" w:color="auto" w:fill="auto"/>
            <w:noWrap/>
            <w:vAlign w:val="bottom"/>
          </w:tcPr>
          <w:p w14:paraId="6AF2E04D" w14:textId="7FEA90D0" w:rsidR="00113E21" w:rsidRPr="00113E21" w:rsidRDefault="00113E21" w:rsidP="00516397">
            <w:pPr>
              <w:spacing w:before="40"/>
              <w:jc w:val="right"/>
              <w:rPr>
                <w:sz w:val="20"/>
              </w:rPr>
            </w:pPr>
            <w:r w:rsidRPr="00113E21">
              <w:rPr>
                <w:sz w:val="20"/>
              </w:rPr>
              <w:t>411,797</w:t>
            </w:r>
          </w:p>
        </w:tc>
        <w:tc>
          <w:tcPr>
            <w:tcW w:w="1816" w:type="dxa"/>
            <w:shd w:val="clear" w:color="auto" w:fill="auto"/>
            <w:noWrap/>
            <w:vAlign w:val="bottom"/>
          </w:tcPr>
          <w:p w14:paraId="0293ED1A" w14:textId="3E79C43D" w:rsidR="00113E21" w:rsidRPr="00C56B2B" w:rsidRDefault="00113E21" w:rsidP="00113E21">
            <w:pPr>
              <w:spacing w:before="40"/>
              <w:jc w:val="right"/>
              <w:rPr>
                <w:rFonts w:asciiTheme="majorBidi" w:hAnsiTheme="majorBidi" w:cstheme="majorBidi"/>
                <w:sz w:val="20"/>
              </w:rPr>
            </w:pPr>
            <w:r w:rsidRPr="0095659A">
              <w:rPr>
                <w:sz w:val="20"/>
              </w:rPr>
              <w:t>411,797</w:t>
            </w:r>
          </w:p>
        </w:tc>
      </w:tr>
      <w:tr w:rsidR="00113E21" w:rsidRPr="00866299" w14:paraId="56FA0AB0" w14:textId="77777777" w:rsidTr="006909F2">
        <w:trPr>
          <w:trHeight w:val="283"/>
        </w:trPr>
        <w:tc>
          <w:tcPr>
            <w:tcW w:w="5413" w:type="dxa"/>
            <w:shd w:val="clear" w:color="auto" w:fill="auto"/>
            <w:vAlign w:val="bottom"/>
            <w:hideMark/>
          </w:tcPr>
          <w:p w14:paraId="752D84AF" w14:textId="77777777" w:rsidR="00113E21" w:rsidRPr="00866299" w:rsidRDefault="00113E21" w:rsidP="00113E21">
            <w:pPr>
              <w:spacing w:before="40"/>
              <w:rPr>
                <w:rFonts w:asciiTheme="majorBidi" w:hAnsiTheme="majorBidi" w:cstheme="majorBidi"/>
                <w:sz w:val="20"/>
              </w:rPr>
            </w:pPr>
            <w:r w:rsidRPr="00866299">
              <w:rPr>
                <w:rFonts w:asciiTheme="majorBidi" w:hAnsiTheme="majorBidi" w:cstheme="majorBidi"/>
                <w:color w:val="000000"/>
                <w:sz w:val="20"/>
              </w:rPr>
              <w:t>Translation reserve</w:t>
            </w:r>
          </w:p>
        </w:tc>
        <w:tc>
          <w:tcPr>
            <w:tcW w:w="983" w:type="dxa"/>
            <w:shd w:val="clear" w:color="auto" w:fill="auto"/>
            <w:vAlign w:val="bottom"/>
            <w:hideMark/>
          </w:tcPr>
          <w:p w14:paraId="6E48193E" w14:textId="77777777" w:rsidR="00113E21" w:rsidRPr="002722B5" w:rsidRDefault="00113E21" w:rsidP="00113E21">
            <w:pPr>
              <w:spacing w:before="40"/>
              <w:jc w:val="right"/>
              <w:rPr>
                <w:rFonts w:asciiTheme="majorBidi" w:hAnsiTheme="majorBidi" w:cstheme="majorBidi"/>
                <w:sz w:val="20"/>
              </w:rPr>
            </w:pPr>
          </w:p>
        </w:tc>
        <w:tc>
          <w:tcPr>
            <w:tcW w:w="1816" w:type="dxa"/>
            <w:shd w:val="clear" w:color="auto" w:fill="auto"/>
            <w:noWrap/>
            <w:vAlign w:val="bottom"/>
          </w:tcPr>
          <w:p w14:paraId="5EFD6079" w14:textId="1332AA0A" w:rsidR="00113E21" w:rsidRPr="00113E21" w:rsidRDefault="00113E21" w:rsidP="00516397">
            <w:pPr>
              <w:spacing w:before="40"/>
              <w:jc w:val="right"/>
              <w:rPr>
                <w:sz w:val="20"/>
              </w:rPr>
            </w:pPr>
            <w:r w:rsidRPr="00113E21">
              <w:rPr>
                <w:sz w:val="20"/>
              </w:rPr>
              <w:t>21,955</w:t>
            </w:r>
          </w:p>
        </w:tc>
        <w:tc>
          <w:tcPr>
            <w:tcW w:w="1816" w:type="dxa"/>
            <w:shd w:val="clear" w:color="auto" w:fill="auto"/>
            <w:noWrap/>
            <w:vAlign w:val="bottom"/>
          </w:tcPr>
          <w:p w14:paraId="396AF306" w14:textId="63E2091F" w:rsidR="00113E21" w:rsidRPr="00C56B2B" w:rsidRDefault="00113E21" w:rsidP="00113E21">
            <w:pPr>
              <w:spacing w:before="40"/>
              <w:jc w:val="right"/>
              <w:rPr>
                <w:rFonts w:asciiTheme="majorBidi" w:hAnsiTheme="majorBidi" w:cstheme="majorBidi"/>
                <w:sz w:val="20"/>
              </w:rPr>
            </w:pPr>
            <w:r>
              <w:rPr>
                <w:sz w:val="20"/>
              </w:rPr>
              <w:t xml:space="preserve">17,881 </w:t>
            </w:r>
          </w:p>
        </w:tc>
      </w:tr>
      <w:tr w:rsidR="00113E21" w:rsidRPr="00866299" w14:paraId="65F4EF0C" w14:textId="77777777" w:rsidTr="006909F2">
        <w:trPr>
          <w:trHeight w:val="283"/>
        </w:trPr>
        <w:tc>
          <w:tcPr>
            <w:tcW w:w="5413" w:type="dxa"/>
            <w:shd w:val="clear" w:color="auto" w:fill="auto"/>
            <w:vAlign w:val="bottom"/>
            <w:hideMark/>
          </w:tcPr>
          <w:p w14:paraId="5178F627" w14:textId="77777777" w:rsidR="00113E21" w:rsidRPr="00866299" w:rsidRDefault="00113E21" w:rsidP="00113E21">
            <w:pPr>
              <w:spacing w:before="40"/>
              <w:rPr>
                <w:rFonts w:asciiTheme="majorBidi" w:hAnsiTheme="majorBidi" w:cstheme="majorBidi"/>
                <w:sz w:val="20"/>
              </w:rPr>
            </w:pPr>
            <w:r w:rsidRPr="00866299">
              <w:rPr>
                <w:rFonts w:asciiTheme="majorBidi" w:hAnsiTheme="majorBidi" w:cstheme="majorBidi"/>
                <w:color w:val="000000"/>
                <w:sz w:val="20"/>
              </w:rPr>
              <w:t>Hedging reserve, net</w:t>
            </w:r>
          </w:p>
        </w:tc>
        <w:tc>
          <w:tcPr>
            <w:tcW w:w="983" w:type="dxa"/>
            <w:shd w:val="clear" w:color="auto" w:fill="auto"/>
            <w:vAlign w:val="bottom"/>
            <w:hideMark/>
          </w:tcPr>
          <w:p w14:paraId="28880572" w14:textId="77777777" w:rsidR="00113E21" w:rsidRPr="002722B5" w:rsidRDefault="00113E21" w:rsidP="00113E21">
            <w:pPr>
              <w:spacing w:before="40"/>
              <w:jc w:val="right"/>
              <w:rPr>
                <w:rFonts w:asciiTheme="majorBidi" w:hAnsiTheme="majorBidi" w:cstheme="majorBidi"/>
                <w:sz w:val="20"/>
              </w:rPr>
            </w:pPr>
          </w:p>
        </w:tc>
        <w:tc>
          <w:tcPr>
            <w:tcW w:w="1816" w:type="dxa"/>
            <w:shd w:val="clear" w:color="auto" w:fill="auto"/>
            <w:noWrap/>
            <w:vAlign w:val="bottom"/>
          </w:tcPr>
          <w:p w14:paraId="0545A0A3" w14:textId="5E3CC080" w:rsidR="00113E21" w:rsidRPr="00113E21" w:rsidRDefault="00113E21" w:rsidP="00516397">
            <w:pPr>
              <w:spacing w:before="40"/>
              <w:jc w:val="right"/>
              <w:rPr>
                <w:sz w:val="20"/>
              </w:rPr>
            </w:pPr>
            <w:r w:rsidRPr="00113E21">
              <w:rPr>
                <w:sz w:val="20"/>
              </w:rPr>
              <w:t>2,223</w:t>
            </w:r>
          </w:p>
        </w:tc>
        <w:tc>
          <w:tcPr>
            <w:tcW w:w="1816" w:type="dxa"/>
            <w:shd w:val="clear" w:color="auto" w:fill="auto"/>
            <w:noWrap/>
            <w:vAlign w:val="bottom"/>
          </w:tcPr>
          <w:p w14:paraId="5B3045DC" w14:textId="0E4FA084" w:rsidR="00113E21" w:rsidRPr="00C56B2B" w:rsidRDefault="00113E21" w:rsidP="00113E21">
            <w:pPr>
              <w:spacing w:before="40"/>
              <w:jc w:val="right"/>
              <w:rPr>
                <w:rFonts w:asciiTheme="majorBidi" w:hAnsiTheme="majorBidi" w:cstheme="majorBidi"/>
                <w:sz w:val="20"/>
              </w:rPr>
            </w:pPr>
            <w:r>
              <w:rPr>
                <w:sz w:val="20"/>
              </w:rPr>
              <w:t xml:space="preserve">13,941 </w:t>
            </w:r>
          </w:p>
        </w:tc>
      </w:tr>
      <w:tr w:rsidR="00113E21" w:rsidRPr="00866299" w14:paraId="1E5DC067" w14:textId="77777777" w:rsidTr="006909F2">
        <w:trPr>
          <w:trHeight w:val="283"/>
        </w:trPr>
        <w:tc>
          <w:tcPr>
            <w:tcW w:w="5413" w:type="dxa"/>
            <w:shd w:val="clear" w:color="auto" w:fill="auto"/>
            <w:vAlign w:val="bottom"/>
            <w:hideMark/>
          </w:tcPr>
          <w:p w14:paraId="00838F4E" w14:textId="77777777" w:rsidR="00113E21" w:rsidRPr="00866299" w:rsidRDefault="00113E21" w:rsidP="00113E21">
            <w:pPr>
              <w:spacing w:before="40"/>
              <w:rPr>
                <w:rFonts w:asciiTheme="majorBidi" w:hAnsiTheme="majorBidi" w:cstheme="majorBidi"/>
                <w:sz w:val="20"/>
                <w:lang w:bidi="he-IL"/>
              </w:rPr>
            </w:pPr>
            <w:r w:rsidRPr="00866299">
              <w:rPr>
                <w:rFonts w:asciiTheme="majorBidi" w:hAnsiTheme="majorBidi" w:cstheme="majorBidi"/>
                <w:color w:val="000000"/>
                <w:sz w:val="20"/>
              </w:rPr>
              <w:t xml:space="preserve">Retained earnings </w:t>
            </w:r>
          </w:p>
        </w:tc>
        <w:tc>
          <w:tcPr>
            <w:tcW w:w="983" w:type="dxa"/>
            <w:shd w:val="clear" w:color="auto" w:fill="auto"/>
            <w:vAlign w:val="bottom"/>
            <w:hideMark/>
          </w:tcPr>
          <w:p w14:paraId="521D650C" w14:textId="77777777" w:rsidR="00113E21" w:rsidRPr="002722B5" w:rsidRDefault="00113E21" w:rsidP="00113E21">
            <w:pPr>
              <w:spacing w:before="40"/>
              <w:jc w:val="right"/>
              <w:rPr>
                <w:rFonts w:asciiTheme="majorBidi" w:hAnsiTheme="majorBidi" w:cstheme="majorBidi"/>
                <w:sz w:val="20"/>
              </w:rPr>
            </w:pPr>
          </w:p>
        </w:tc>
        <w:tc>
          <w:tcPr>
            <w:tcW w:w="1816" w:type="dxa"/>
            <w:shd w:val="clear" w:color="auto" w:fill="auto"/>
            <w:noWrap/>
            <w:vAlign w:val="bottom"/>
          </w:tcPr>
          <w:p w14:paraId="4CBA62AA" w14:textId="52FCEE20" w:rsidR="00113E21" w:rsidRPr="00113E21" w:rsidRDefault="00113E21" w:rsidP="00516397">
            <w:pPr>
              <w:pBdr>
                <w:bottom w:val="single" w:sz="4" w:space="0" w:color="000000"/>
              </w:pBdr>
              <w:spacing w:before="40"/>
              <w:jc w:val="right"/>
              <w:rPr>
                <w:sz w:val="20"/>
              </w:rPr>
            </w:pPr>
            <w:r w:rsidRPr="00113E21">
              <w:rPr>
                <w:sz w:val="20"/>
              </w:rPr>
              <w:t>620,551</w:t>
            </w:r>
          </w:p>
        </w:tc>
        <w:tc>
          <w:tcPr>
            <w:tcW w:w="1816" w:type="dxa"/>
            <w:shd w:val="clear" w:color="auto" w:fill="auto"/>
            <w:noWrap/>
            <w:vAlign w:val="bottom"/>
          </w:tcPr>
          <w:p w14:paraId="2567E8E1" w14:textId="2ED910BC" w:rsidR="00113E21" w:rsidRPr="00C56B2B" w:rsidRDefault="00113E21" w:rsidP="00113E21">
            <w:pPr>
              <w:pBdr>
                <w:bottom w:val="single" w:sz="4" w:space="0" w:color="000000"/>
              </w:pBdr>
              <w:spacing w:before="40"/>
              <w:jc w:val="right"/>
              <w:rPr>
                <w:rFonts w:asciiTheme="majorBidi" w:hAnsiTheme="majorBidi" w:cstheme="majorBidi"/>
                <w:sz w:val="20"/>
              </w:rPr>
            </w:pPr>
            <w:r>
              <w:rPr>
                <w:color w:val="000000"/>
                <w:sz w:val="20"/>
              </w:rPr>
              <w:t xml:space="preserve">513,943 </w:t>
            </w:r>
          </w:p>
        </w:tc>
      </w:tr>
      <w:tr w:rsidR="00113E21" w:rsidRPr="00866299" w14:paraId="56674275" w14:textId="77777777" w:rsidTr="006909F2">
        <w:trPr>
          <w:trHeight w:val="283"/>
        </w:trPr>
        <w:tc>
          <w:tcPr>
            <w:tcW w:w="5413" w:type="dxa"/>
            <w:shd w:val="clear" w:color="auto" w:fill="auto"/>
            <w:vAlign w:val="bottom"/>
            <w:hideMark/>
          </w:tcPr>
          <w:p w14:paraId="0DAAFFE5" w14:textId="77777777" w:rsidR="00113E21" w:rsidRPr="00866299" w:rsidRDefault="00113E21" w:rsidP="00113E21">
            <w:pPr>
              <w:spacing w:before="40"/>
              <w:rPr>
                <w:rFonts w:asciiTheme="majorBidi" w:hAnsiTheme="majorBidi" w:cstheme="majorBidi"/>
                <w:b/>
                <w:bCs/>
                <w:sz w:val="20"/>
                <w:lang w:bidi="he-IL"/>
              </w:rPr>
            </w:pPr>
            <w:r>
              <w:rPr>
                <w:rFonts w:asciiTheme="majorBidi" w:hAnsiTheme="majorBidi" w:cstheme="majorBidi"/>
                <w:b/>
                <w:bCs/>
                <w:color w:val="000000"/>
                <w:sz w:val="20"/>
              </w:rPr>
              <w:t>E</w:t>
            </w:r>
            <w:r w:rsidRPr="00866299">
              <w:rPr>
                <w:rFonts w:asciiTheme="majorBidi" w:hAnsiTheme="majorBidi" w:cstheme="majorBidi"/>
                <w:b/>
                <w:bCs/>
                <w:color w:val="000000"/>
                <w:sz w:val="20"/>
              </w:rPr>
              <w:t>quity attributable to owners of the Company</w:t>
            </w:r>
          </w:p>
        </w:tc>
        <w:tc>
          <w:tcPr>
            <w:tcW w:w="983" w:type="dxa"/>
            <w:shd w:val="clear" w:color="auto" w:fill="auto"/>
            <w:vAlign w:val="bottom"/>
            <w:hideMark/>
          </w:tcPr>
          <w:p w14:paraId="7427AAD0" w14:textId="77777777" w:rsidR="00113E21" w:rsidRPr="002722B5" w:rsidRDefault="00113E21" w:rsidP="00113E21">
            <w:pPr>
              <w:spacing w:before="40"/>
              <w:jc w:val="right"/>
              <w:rPr>
                <w:rFonts w:asciiTheme="majorBidi" w:hAnsiTheme="majorBidi" w:cstheme="majorBidi"/>
                <w:sz w:val="20"/>
              </w:rPr>
            </w:pPr>
          </w:p>
        </w:tc>
        <w:tc>
          <w:tcPr>
            <w:tcW w:w="1816" w:type="dxa"/>
            <w:shd w:val="clear" w:color="auto" w:fill="auto"/>
            <w:noWrap/>
            <w:vAlign w:val="bottom"/>
          </w:tcPr>
          <w:p w14:paraId="30D0D75D" w14:textId="0463E0A4" w:rsidR="00113E21" w:rsidRPr="00113E21" w:rsidRDefault="00113E21" w:rsidP="00516397">
            <w:pPr>
              <w:spacing w:before="40"/>
              <w:jc w:val="right"/>
              <w:rPr>
                <w:sz w:val="20"/>
              </w:rPr>
            </w:pPr>
            <w:r w:rsidRPr="00113E21">
              <w:rPr>
                <w:sz w:val="20"/>
              </w:rPr>
              <w:t>1,057,456</w:t>
            </w:r>
          </w:p>
        </w:tc>
        <w:tc>
          <w:tcPr>
            <w:tcW w:w="1816" w:type="dxa"/>
            <w:shd w:val="clear" w:color="auto" w:fill="auto"/>
            <w:noWrap/>
            <w:vAlign w:val="bottom"/>
          </w:tcPr>
          <w:p w14:paraId="56E2D08B" w14:textId="09B60768" w:rsidR="00113E21" w:rsidRPr="00C56B2B" w:rsidRDefault="00113E21" w:rsidP="00113E21">
            <w:pPr>
              <w:spacing w:before="40"/>
              <w:jc w:val="right"/>
              <w:rPr>
                <w:rFonts w:asciiTheme="majorBidi" w:hAnsiTheme="majorBidi" w:cstheme="majorBidi"/>
                <w:sz w:val="20"/>
              </w:rPr>
            </w:pPr>
            <w:r w:rsidRPr="0020502A">
              <w:rPr>
                <w:sz w:val="20"/>
              </w:rPr>
              <w:t>958,492</w:t>
            </w:r>
          </w:p>
        </w:tc>
      </w:tr>
      <w:tr w:rsidR="00113E21" w:rsidRPr="00866299" w14:paraId="6F243279" w14:textId="77777777" w:rsidTr="006909F2">
        <w:trPr>
          <w:trHeight w:val="283"/>
        </w:trPr>
        <w:tc>
          <w:tcPr>
            <w:tcW w:w="5413" w:type="dxa"/>
            <w:shd w:val="clear" w:color="auto" w:fill="auto"/>
            <w:vAlign w:val="bottom"/>
            <w:hideMark/>
          </w:tcPr>
          <w:p w14:paraId="526D53CD" w14:textId="77777777" w:rsidR="00113E21" w:rsidRPr="00866299" w:rsidRDefault="00113E21" w:rsidP="00113E21">
            <w:pPr>
              <w:spacing w:before="40"/>
              <w:rPr>
                <w:rFonts w:asciiTheme="majorBidi" w:hAnsiTheme="majorBidi" w:cstheme="majorBidi"/>
                <w:b/>
                <w:bCs/>
                <w:sz w:val="20"/>
              </w:rPr>
            </w:pPr>
            <w:r w:rsidRPr="00866299">
              <w:rPr>
                <w:rFonts w:asciiTheme="majorBidi" w:hAnsiTheme="majorBidi" w:cstheme="majorBidi"/>
                <w:b/>
                <w:bCs/>
                <w:color w:val="000000"/>
                <w:sz w:val="20"/>
              </w:rPr>
              <w:t>Non-controlling interest</w:t>
            </w:r>
          </w:p>
        </w:tc>
        <w:tc>
          <w:tcPr>
            <w:tcW w:w="983" w:type="dxa"/>
            <w:shd w:val="clear" w:color="auto" w:fill="auto"/>
            <w:vAlign w:val="bottom"/>
            <w:hideMark/>
          </w:tcPr>
          <w:p w14:paraId="4734BC62" w14:textId="77777777" w:rsidR="00113E21" w:rsidRPr="002722B5" w:rsidRDefault="00113E21" w:rsidP="00113E21">
            <w:pPr>
              <w:spacing w:before="40"/>
              <w:jc w:val="right"/>
              <w:rPr>
                <w:rFonts w:asciiTheme="majorBidi" w:hAnsiTheme="majorBidi" w:cstheme="majorBidi"/>
                <w:sz w:val="20"/>
              </w:rPr>
            </w:pPr>
          </w:p>
        </w:tc>
        <w:tc>
          <w:tcPr>
            <w:tcW w:w="1816" w:type="dxa"/>
            <w:shd w:val="clear" w:color="auto" w:fill="auto"/>
            <w:noWrap/>
            <w:vAlign w:val="bottom"/>
          </w:tcPr>
          <w:p w14:paraId="4D2BDE6E" w14:textId="4E61BC18" w:rsidR="00113E21" w:rsidRPr="00113E21" w:rsidRDefault="00113E21" w:rsidP="00516397">
            <w:pPr>
              <w:pBdr>
                <w:bottom w:val="single" w:sz="4" w:space="0" w:color="000000"/>
              </w:pBdr>
              <w:spacing w:before="40"/>
              <w:jc w:val="right"/>
              <w:rPr>
                <w:sz w:val="20"/>
              </w:rPr>
            </w:pPr>
            <w:r w:rsidRPr="00113E21">
              <w:rPr>
                <w:sz w:val="20"/>
              </w:rPr>
              <w:t>7,788</w:t>
            </w:r>
          </w:p>
        </w:tc>
        <w:tc>
          <w:tcPr>
            <w:tcW w:w="1816" w:type="dxa"/>
            <w:shd w:val="clear" w:color="auto" w:fill="auto"/>
            <w:noWrap/>
            <w:vAlign w:val="bottom"/>
          </w:tcPr>
          <w:p w14:paraId="27011235" w14:textId="645DAD3B" w:rsidR="00113E21" w:rsidRPr="00C56B2B" w:rsidRDefault="00113E21" w:rsidP="00113E21">
            <w:pPr>
              <w:pBdr>
                <w:bottom w:val="single" w:sz="4" w:space="0" w:color="000000"/>
              </w:pBdr>
              <w:spacing w:before="40"/>
              <w:jc w:val="right"/>
              <w:rPr>
                <w:rFonts w:asciiTheme="majorBidi" w:hAnsiTheme="majorBidi" w:cstheme="majorBidi"/>
                <w:sz w:val="20"/>
              </w:rPr>
            </w:pPr>
            <w:r w:rsidRPr="0095659A">
              <w:rPr>
                <w:sz w:val="20"/>
              </w:rPr>
              <w:t>6,133</w:t>
            </w:r>
          </w:p>
        </w:tc>
      </w:tr>
      <w:tr w:rsidR="00113E21" w:rsidRPr="00866299" w14:paraId="363F9D73" w14:textId="77777777" w:rsidTr="006909F2">
        <w:trPr>
          <w:trHeight w:val="283"/>
        </w:trPr>
        <w:tc>
          <w:tcPr>
            <w:tcW w:w="5413" w:type="dxa"/>
            <w:shd w:val="clear" w:color="auto" w:fill="auto"/>
            <w:vAlign w:val="bottom"/>
            <w:hideMark/>
          </w:tcPr>
          <w:p w14:paraId="5AB14723" w14:textId="77777777" w:rsidR="00113E21" w:rsidRPr="00866299" w:rsidRDefault="00113E21" w:rsidP="00113E21">
            <w:pPr>
              <w:spacing w:before="40"/>
              <w:rPr>
                <w:rFonts w:asciiTheme="majorBidi" w:hAnsiTheme="majorBidi" w:cstheme="majorBidi"/>
                <w:b/>
                <w:bCs/>
                <w:sz w:val="20"/>
              </w:rPr>
            </w:pPr>
            <w:r w:rsidRPr="00866299">
              <w:rPr>
                <w:rFonts w:asciiTheme="majorBidi" w:hAnsiTheme="majorBidi" w:cstheme="majorBidi"/>
                <w:b/>
                <w:bCs/>
                <w:color w:val="000000"/>
                <w:sz w:val="20"/>
              </w:rPr>
              <w:t>Total equity</w:t>
            </w:r>
          </w:p>
        </w:tc>
        <w:tc>
          <w:tcPr>
            <w:tcW w:w="983" w:type="dxa"/>
            <w:shd w:val="clear" w:color="auto" w:fill="auto"/>
            <w:vAlign w:val="bottom"/>
            <w:hideMark/>
          </w:tcPr>
          <w:p w14:paraId="5E02FB3B" w14:textId="77777777" w:rsidR="00113E21" w:rsidRPr="002722B5" w:rsidRDefault="00113E21" w:rsidP="00113E21">
            <w:pPr>
              <w:spacing w:before="40"/>
              <w:jc w:val="right"/>
              <w:rPr>
                <w:rFonts w:asciiTheme="majorBidi" w:hAnsiTheme="majorBidi" w:cstheme="majorBidi"/>
                <w:sz w:val="20"/>
              </w:rPr>
            </w:pPr>
          </w:p>
        </w:tc>
        <w:tc>
          <w:tcPr>
            <w:tcW w:w="1816" w:type="dxa"/>
            <w:shd w:val="clear" w:color="auto" w:fill="auto"/>
            <w:noWrap/>
            <w:vAlign w:val="bottom"/>
          </w:tcPr>
          <w:p w14:paraId="336CE764" w14:textId="590314F0" w:rsidR="00113E21" w:rsidRPr="00113E21" w:rsidRDefault="00113E21" w:rsidP="00516397">
            <w:pPr>
              <w:pBdr>
                <w:bottom w:val="single" w:sz="4" w:space="1" w:color="auto"/>
              </w:pBdr>
              <w:spacing w:before="40"/>
              <w:jc w:val="right"/>
              <w:rPr>
                <w:sz w:val="20"/>
              </w:rPr>
            </w:pPr>
            <w:r w:rsidRPr="00113E21">
              <w:rPr>
                <w:sz w:val="20"/>
              </w:rPr>
              <w:t>1,065,244</w:t>
            </w:r>
          </w:p>
        </w:tc>
        <w:tc>
          <w:tcPr>
            <w:tcW w:w="1816" w:type="dxa"/>
            <w:shd w:val="clear" w:color="auto" w:fill="auto"/>
            <w:noWrap/>
            <w:vAlign w:val="bottom"/>
          </w:tcPr>
          <w:p w14:paraId="73F5C2D0" w14:textId="3767045B" w:rsidR="00113E21" w:rsidRPr="00C56B2B" w:rsidRDefault="00113E21" w:rsidP="00113E21">
            <w:pPr>
              <w:pBdr>
                <w:bottom w:val="single" w:sz="4" w:space="0" w:color="000000"/>
              </w:pBdr>
              <w:spacing w:before="40"/>
              <w:jc w:val="right"/>
              <w:rPr>
                <w:rFonts w:asciiTheme="majorBidi" w:hAnsiTheme="majorBidi" w:cstheme="majorBidi"/>
                <w:sz w:val="20"/>
              </w:rPr>
            </w:pPr>
            <w:r w:rsidRPr="0020502A">
              <w:rPr>
                <w:sz w:val="20"/>
              </w:rPr>
              <w:t>964,625</w:t>
            </w:r>
          </w:p>
        </w:tc>
      </w:tr>
      <w:tr w:rsidR="00C74678" w:rsidRPr="00866299" w14:paraId="5EE558D8" w14:textId="77777777" w:rsidTr="006909F2">
        <w:trPr>
          <w:trHeight w:val="283"/>
        </w:trPr>
        <w:tc>
          <w:tcPr>
            <w:tcW w:w="5413" w:type="dxa"/>
            <w:shd w:val="clear" w:color="auto" w:fill="auto"/>
            <w:vAlign w:val="bottom"/>
            <w:hideMark/>
          </w:tcPr>
          <w:p w14:paraId="4188103B" w14:textId="77777777" w:rsidR="00C74678" w:rsidRPr="00866299" w:rsidRDefault="00C74678" w:rsidP="00C74678">
            <w:pPr>
              <w:spacing w:before="40"/>
              <w:rPr>
                <w:rFonts w:asciiTheme="majorBidi" w:hAnsiTheme="majorBidi" w:cstheme="majorBidi"/>
                <w:b/>
                <w:bCs/>
                <w:sz w:val="20"/>
              </w:rPr>
            </w:pPr>
            <w:r w:rsidRPr="00866299">
              <w:rPr>
                <w:rFonts w:asciiTheme="majorBidi" w:hAnsiTheme="majorBidi" w:cstheme="majorBidi"/>
                <w:b/>
                <w:bCs/>
                <w:color w:val="000000"/>
                <w:sz w:val="20"/>
              </w:rPr>
              <w:t>Liabilities</w:t>
            </w:r>
          </w:p>
        </w:tc>
        <w:tc>
          <w:tcPr>
            <w:tcW w:w="983" w:type="dxa"/>
            <w:shd w:val="clear" w:color="auto" w:fill="auto"/>
            <w:vAlign w:val="bottom"/>
            <w:hideMark/>
          </w:tcPr>
          <w:p w14:paraId="1BE37DE7" w14:textId="77777777" w:rsidR="00C74678" w:rsidRPr="002722B5" w:rsidRDefault="00C74678" w:rsidP="00C74678">
            <w:pPr>
              <w:spacing w:before="40"/>
              <w:jc w:val="right"/>
              <w:rPr>
                <w:rFonts w:asciiTheme="majorBidi" w:hAnsiTheme="majorBidi" w:cstheme="majorBidi"/>
                <w:sz w:val="20"/>
              </w:rPr>
            </w:pPr>
          </w:p>
        </w:tc>
        <w:tc>
          <w:tcPr>
            <w:tcW w:w="1816" w:type="dxa"/>
            <w:shd w:val="clear" w:color="auto" w:fill="auto"/>
            <w:noWrap/>
            <w:vAlign w:val="bottom"/>
          </w:tcPr>
          <w:p w14:paraId="0161D1ED" w14:textId="77777777" w:rsidR="00C74678" w:rsidRPr="00113E21" w:rsidRDefault="00C74678" w:rsidP="00516397">
            <w:pPr>
              <w:spacing w:before="40"/>
              <w:jc w:val="right"/>
              <w:rPr>
                <w:sz w:val="20"/>
              </w:rPr>
            </w:pPr>
          </w:p>
        </w:tc>
        <w:tc>
          <w:tcPr>
            <w:tcW w:w="1816" w:type="dxa"/>
            <w:shd w:val="clear" w:color="auto" w:fill="auto"/>
            <w:noWrap/>
            <w:vAlign w:val="bottom"/>
          </w:tcPr>
          <w:p w14:paraId="20BF1DC2" w14:textId="77777777" w:rsidR="00C74678" w:rsidRPr="00C56B2B" w:rsidRDefault="00C74678" w:rsidP="00C74678">
            <w:pPr>
              <w:spacing w:before="40"/>
              <w:jc w:val="right"/>
              <w:rPr>
                <w:rFonts w:asciiTheme="majorBidi" w:eastAsia="Arial" w:hAnsiTheme="majorBidi" w:cstheme="majorBidi"/>
                <w:sz w:val="20"/>
              </w:rPr>
            </w:pPr>
          </w:p>
        </w:tc>
      </w:tr>
      <w:tr w:rsidR="00113E21" w:rsidRPr="00866299" w14:paraId="47FEB796" w14:textId="77777777" w:rsidTr="006909F2">
        <w:trPr>
          <w:trHeight w:val="283"/>
        </w:trPr>
        <w:tc>
          <w:tcPr>
            <w:tcW w:w="5413" w:type="dxa"/>
            <w:shd w:val="clear" w:color="auto" w:fill="auto"/>
            <w:vAlign w:val="bottom"/>
            <w:hideMark/>
          </w:tcPr>
          <w:p w14:paraId="1F8E32BF" w14:textId="77777777" w:rsidR="00113E21" w:rsidRPr="00866299" w:rsidRDefault="00113E21" w:rsidP="00113E21">
            <w:pPr>
              <w:spacing w:before="40"/>
              <w:rPr>
                <w:rFonts w:asciiTheme="majorBidi" w:hAnsiTheme="majorBidi" w:cstheme="majorBidi"/>
                <w:sz w:val="20"/>
              </w:rPr>
            </w:pPr>
            <w:r w:rsidRPr="00866299">
              <w:rPr>
                <w:rFonts w:asciiTheme="majorBidi" w:hAnsiTheme="majorBidi" w:cstheme="majorBidi"/>
                <w:color w:val="000000"/>
                <w:sz w:val="20"/>
              </w:rPr>
              <w:t>Loans and borrowings</w:t>
            </w:r>
          </w:p>
        </w:tc>
        <w:tc>
          <w:tcPr>
            <w:tcW w:w="983" w:type="dxa"/>
            <w:shd w:val="clear" w:color="auto" w:fill="auto"/>
            <w:vAlign w:val="bottom"/>
            <w:hideMark/>
          </w:tcPr>
          <w:p w14:paraId="2D3D8422" w14:textId="29BCBF23" w:rsidR="00113E21" w:rsidRPr="002722B5" w:rsidRDefault="00113E21" w:rsidP="00113E21">
            <w:pPr>
              <w:spacing w:before="40"/>
              <w:jc w:val="right"/>
              <w:rPr>
                <w:rFonts w:asciiTheme="majorBidi" w:hAnsiTheme="majorBidi" w:cstheme="majorBidi"/>
                <w:sz w:val="20"/>
              </w:rPr>
            </w:pPr>
            <w:r w:rsidRPr="002722B5">
              <w:rPr>
                <w:rFonts w:asciiTheme="majorBidi" w:hAnsiTheme="majorBidi" w:cstheme="majorBidi"/>
                <w:color w:val="000000"/>
                <w:sz w:val="20"/>
              </w:rPr>
              <w:t>12</w:t>
            </w:r>
          </w:p>
        </w:tc>
        <w:tc>
          <w:tcPr>
            <w:tcW w:w="1816" w:type="dxa"/>
            <w:shd w:val="clear" w:color="auto" w:fill="auto"/>
            <w:noWrap/>
            <w:vAlign w:val="bottom"/>
          </w:tcPr>
          <w:p w14:paraId="2C02CF6A" w14:textId="50BF168D" w:rsidR="00113E21" w:rsidRPr="00113E21" w:rsidRDefault="00113E21" w:rsidP="00516397">
            <w:pPr>
              <w:spacing w:before="40"/>
              <w:jc w:val="right"/>
              <w:rPr>
                <w:sz w:val="20"/>
              </w:rPr>
            </w:pPr>
            <w:r w:rsidRPr="00113E21">
              <w:rPr>
                <w:sz w:val="20"/>
              </w:rPr>
              <w:t>1,003,846</w:t>
            </w:r>
          </w:p>
        </w:tc>
        <w:tc>
          <w:tcPr>
            <w:tcW w:w="1816" w:type="dxa"/>
            <w:shd w:val="clear" w:color="auto" w:fill="auto"/>
            <w:noWrap/>
            <w:vAlign w:val="bottom"/>
          </w:tcPr>
          <w:p w14:paraId="02DBDECB" w14:textId="6B04051F" w:rsidR="00113E21" w:rsidRPr="00C56B2B" w:rsidRDefault="00113E21" w:rsidP="00113E21">
            <w:pPr>
              <w:spacing w:before="40"/>
              <w:jc w:val="right"/>
              <w:rPr>
                <w:rFonts w:asciiTheme="majorBidi" w:hAnsiTheme="majorBidi" w:cstheme="majorBidi"/>
                <w:sz w:val="20"/>
              </w:rPr>
            </w:pPr>
            <w:r w:rsidRPr="0095659A">
              <w:rPr>
                <w:sz w:val="20"/>
              </w:rPr>
              <w:t>1,167,125</w:t>
            </w:r>
          </w:p>
        </w:tc>
      </w:tr>
      <w:tr w:rsidR="00113E21" w:rsidRPr="00866299" w14:paraId="1E9D040E" w14:textId="77777777" w:rsidTr="006909F2">
        <w:trPr>
          <w:trHeight w:val="283"/>
        </w:trPr>
        <w:tc>
          <w:tcPr>
            <w:tcW w:w="5413" w:type="dxa"/>
            <w:shd w:val="clear" w:color="auto" w:fill="auto"/>
            <w:vAlign w:val="bottom"/>
            <w:hideMark/>
          </w:tcPr>
          <w:p w14:paraId="11D5C4EC" w14:textId="77777777" w:rsidR="00113E21" w:rsidRPr="00866299" w:rsidRDefault="00113E21" w:rsidP="00113E21">
            <w:pPr>
              <w:spacing w:before="40"/>
              <w:rPr>
                <w:rFonts w:asciiTheme="majorBidi" w:hAnsiTheme="majorBidi" w:cstheme="majorBidi"/>
                <w:sz w:val="20"/>
              </w:rPr>
            </w:pPr>
            <w:r w:rsidRPr="00866299">
              <w:rPr>
                <w:rFonts w:asciiTheme="majorBidi" w:hAnsiTheme="majorBidi" w:cstheme="majorBidi"/>
                <w:color w:val="000000"/>
                <w:sz w:val="20"/>
              </w:rPr>
              <w:t>Loans and borrowings from related parties</w:t>
            </w:r>
          </w:p>
        </w:tc>
        <w:tc>
          <w:tcPr>
            <w:tcW w:w="983" w:type="dxa"/>
            <w:shd w:val="clear" w:color="auto" w:fill="auto"/>
            <w:vAlign w:val="bottom"/>
            <w:hideMark/>
          </w:tcPr>
          <w:p w14:paraId="50F04A88" w14:textId="0FEB79CD" w:rsidR="00113E21" w:rsidRPr="002722B5" w:rsidRDefault="00113E21" w:rsidP="00113E21">
            <w:pPr>
              <w:spacing w:before="40"/>
              <w:jc w:val="right"/>
              <w:rPr>
                <w:rFonts w:asciiTheme="majorBidi" w:hAnsiTheme="majorBidi" w:cstheme="majorBidi"/>
                <w:sz w:val="20"/>
              </w:rPr>
            </w:pPr>
            <w:r w:rsidRPr="002722B5">
              <w:rPr>
                <w:rFonts w:asciiTheme="majorBidi" w:hAnsiTheme="majorBidi" w:cstheme="majorBidi"/>
                <w:color w:val="000000"/>
                <w:sz w:val="20"/>
              </w:rPr>
              <w:t>12,23</w:t>
            </w:r>
          </w:p>
        </w:tc>
        <w:tc>
          <w:tcPr>
            <w:tcW w:w="1816" w:type="dxa"/>
            <w:shd w:val="clear" w:color="auto" w:fill="auto"/>
            <w:noWrap/>
            <w:vAlign w:val="bottom"/>
          </w:tcPr>
          <w:p w14:paraId="2D68111C" w14:textId="63BC1A52" w:rsidR="00113E21" w:rsidRPr="00113E21" w:rsidRDefault="00113E21" w:rsidP="00516397">
            <w:pPr>
              <w:spacing w:before="40"/>
              <w:jc w:val="right"/>
              <w:rPr>
                <w:sz w:val="20"/>
              </w:rPr>
            </w:pPr>
            <w:r w:rsidRPr="00113E21">
              <w:rPr>
                <w:sz w:val="20"/>
              </w:rPr>
              <w:t>1,157,503</w:t>
            </w:r>
          </w:p>
        </w:tc>
        <w:tc>
          <w:tcPr>
            <w:tcW w:w="1816" w:type="dxa"/>
            <w:shd w:val="clear" w:color="auto" w:fill="auto"/>
            <w:noWrap/>
            <w:vAlign w:val="bottom"/>
          </w:tcPr>
          <w:p w14:paraId="0C652083" w14:textId="4720CD83" w:rsidR="00113E21" w:rsidRPr="00C56B2B" w:rsidRDefault="00113E21" w:rsidP="00113E21">
            <w:pPr>
              <w:spacing w:before="40"/>
              <w:jc w:val="right"/>
              <w:rPr>
                <w:rFonts w:asciiTheme="majorBidi" w:hAnsiTheme="majorBidi" w:cstheme="majorBidi"/>
                <w:sz w:val="20"/>
              </w:rPr>
            </w:pPr>
            <w:r w:rsidRPr="0095659A">
              <w:rPr>
                <w:sz w:val="20"/>
              </w:rPr>
              <w:t>949,181</w:t>
            </w:r>
          </w:p>
        </w:tc>
      </w:tr>
      <w:tr w:rsidR="00113E21" w:rsidRPr="00866299" w14:paraId="6B15971B" w14:textId="77777777" w:rsidTr="006909F2">
        <w:trPr>
          <w:trHeight w:val="283"/>
        </w:trPr>
        <w:tc>
          <w:tcPr>
            <w:tcW w:w="5413" w:type="dxa"/>
            <w:shd w:val="clear" w:color="auto" w:fill="auto"/>
            <w:vAlign w:val="bottom"/>
            <w:hideMark/>
          </w:tcPr>
          <w:p w14:paraId="08B144FC" w14:textId="77777777" w:rsidR="00113E21" w:rsidRPr="00866299" w:rsidRDefault="00113E21" w:rsidP="00113E21">
            <w:pPr>
              <w:spacing w:before="40"/>
              <w:rPr>
                <w:rFonts w:asciiTheme="majorBidi" w:hAnsiTheme="majorBidi" w:cstheme="majorBidi"/>
                <w:sz w:val="20"/>
              </w:rPr>
            </w:pPr>
            <w:r w:rsidRPr="00866299">
              <w:rPr>
                <w:rFonts w:asciiTheme="majorBidi" w:hAnsiTheme="majorBidi" w:cstheme="majorBidi"/>
                <w:color w:val="000000"/>
                <w:sz w:val="20"/>
              </w:rPr>
              <w:t>Deferred tax liabilities</w:t>
            </w:r>
          </w:p>
        </w:tc>
        <w:tc>
          <w:tcPr>
            <w:tcW w:w="983" w:type="dxa"/>
            <w:shd w:val="clear" w:color="auto" w:fill="auto"/>
            <w:vAlign w:val="bottom"/>
            <w:hideMark/>
          </w:tcPr>
          <w:p w14:paraId="13B03E5B" w14:textId="55D5C228" w:rsidR="00113E21" w:rsidRPr="002722B5" w:rsidRDefault="00113E21" w:rsidP="00113E21">
            <w:pPr>
              <w:spacing w:before="40"/>
              <w:jc w:val="right"/>
              <w:rPr>
                <w:rFonts w:asciiTheme="majorBidi" w:hAnsiTheme="majorBidi" w:cstheme="majorBidi"/>
                <w:sz w:val="20"/>
              </w:rPr>
            </w:pPr>
            <w:r w:rsidRPr="002722B5">
              <w:rPr>
                <w:rFonts w:asciiTheme="majorBidi" w:hAnsiTheme="majorBidi" w:cstheme="majorBidi"/>
                <w:color w:val="000000"/>
                <w:sz w:val="20"/>
              </w:rPr>
              <w:t>20</w:t>
            </w:r>
          </w:p>
        </w:tc>
        <w:tc>
          <w:tcPr>
            <w:tcW w:w="1816" w:type="dxa"/>
            <w:shd w:val="clear" w:color="auto" w:fill="auto"/>
            <w:noWrap/>
            <w:vAlign w:val="bottom"/>
          </w:tcPr>
          <w:p w14:paraId="6B54F57C" w14:textId="45211337" w:rsidR="00113E21" w:rsidRPr="00113E21" w:rsidRDefault="00113E21" w:rsidP="00516397">
            <w:pPr>
              <w:spacing w:before="40"/>
              <w:jc w:val="right"/>
              <w:rPr>
                <w:sz w:val="20"/>
              </w:rPr>
            </w:pPr>
            <w:r w:rsidRPr="00113E21">
              <w:rPr>
                <w:sz w:val="20"/>
              </w:rPr>
              <w:t>186,198</w:t>
            </w:r>
          </w:p>
        </w:tc>
        <w:tc>
          <w:tcPr>
            <w:tcW w:w="1816" w:type="dxa"/>
            <w:shd w:val="clear" w:color="auto" w:fill="auto"/>
            <w:noWrap/>
            <w:vAlign w:val="bottom"/>
          </w:tcPr>
          <w:p w14:paraId="355A7A60" w14:textId="4CC4406F" w:rsidR="00113E21" w:rsidRPr="00C56B2B" w:rsidRDefault="00113E21" w:rsidP="00113E21">
            <w:pPr>
              <w:spacing w:before="40"/>
              <w:jc w:val="right"/>
              <w:rPr>
                <w:rFonts w:asciiTheme="majorBidi" w:hAnsiTheme="majorBidi" w:cstheme="majorBidi"/>
                <w:sz w:val="20"/>
              </w:rPr>
            </w:pPr>
            <w:r w:rsidRPr="0095659A">
              <w:rPr>
                <w:sz w:val="20"/>
              </w:rPr>
              <w:t>168,895</w:t>
            </w:r>
          </w:p>
        </w:tc>
      </w:tr>
      <w:tr w:rsidR="00113E21" w:rsidRPr="00866299" w14:paraId="7FD75E6C" w14:textId="77777777" w:rsidTr="006909F2">
        <w:trPr>
          <w:trHeight w:val="283"/>
        </w:trPr>
        <w:tc>
          <w:tcPr>
            <w:tcW w:w="5413" w:type="dxa"/>
            <w:shd w:val="clear" w:color="auto" w:fill="auto"/>
            <w:vAlign w:val="bottom"/>
            <w:hideMark/>
          </w:tcPr>
          <w:p w14:paraId="3652C5AB" w14:textId="77777777" w:rsidR="00113E21" w:rsidRPr="00866299" w:rsidRDefault="00113E21" w:rsidP="00113E21">
            <w:pPr>
              <w:spacing w:before="40"/>
              <w:rPr>
                <w:rFonts w:asciiTheme="majorBidi" w:hAnsiTheme="majorBidi" w:cstheme="majorBidi"/>
                <w:sz w:val="20"/>
              </w:rPr>
            </w:pPr>
            <w:r w:rsidRPr="00866299">
              <w:rPr>
                <w:rFonts w:asciiTheme="majorBidi" w:hAnsiTheme="majorBidi" w:cstheme="majorBidi"/>
                <w:color w:val="000000"/>
                <w:sz w:val="20"/>
              </w:rPr>
              <w:t>Other non-current liabilities</w:t>
            </w:r>
          </w:p>
        </w:tc>
        <w:tc>
          <w:tcPr>
            <w:tcW w:w="983" w:type="dxa"/>
            <w:shd w:val="clear" w:color="auto" w:fill="auto"/>
            <w:vAlign w:val="bottom"/>
            <w:hideMark/>
          </w:tcPr>
          <w:p w14:paraId="20760977" w14:textId="13372312" w:rsidR="00113E21" w:rsidRPr="002722B5" w:rsidRDefault="00113E21" w:rsidP="00113E21">
            <w:pPr>
              <w:spacing w:before="40"/>
              <w:jc w:val="right"/>
              <w:rPr>
                <w:rFonts w:asciiTheme="majorBidi" w:hAnsiTheme="majorBidi" w:cstheme="majorBidi"/>
                <w:sz w:val="20"/>
              </w:rPr>
            </w:pPr>
            <w:r w:rsidRPr="002722B5">
              <w:rPr>
                <w:rFonts w:asciiTheme="majorBidi" w:hAnsiTheme="majorBidi" w:cstheme="majorBidi"/>
                <w:color w:val="000000"/>
                <w:sz w:val="20"/>
              </w:rPr>
              <w:t>13</w:t>
            </w:r>
          </w:p>
        </w:tc>
        <w:tc>
          <w:tcPr>
            <w:tcW w:w="1816" w:type="dxa"/>
            <w:shd w:val="clear" w:color="auto" w:fill="auto"/>
            <w:noWrap/>
            <w:vAlign w:val="bottom"/>
          </w:tcPr>
          <w:p w14:paraId="6B55D3A0" w14:textId="74DC51D3" w:rsidR="00113E21" w:rsidRPr="00113E21" w:rsidRDefault="00113E21" w:rsidP="00516397">
            <w:pPr>
              <w:pBdr>
                <w:bottom w:val="single" w:sz="4" w:space="0" w:color="000000"/>
              </w:pBdr>
              <w:spacing w:before="40"/>
              <w:jc w:val="right"/>
              <w:rPr>
                <w:sz w:val="20"/>
              </w:rPr>
            </w:pPr>
            <w:r w:rsidRPr="00113E21">
              <w:rPr>
                <w:sz w:val="20"/>
              </w:rPr>
              <w:t>26,037</w:t>
            </w:r>
          </w:p>
        </w:tc>
        <w:tc>
          <w:tcPr>
            <w:tcW w:w="1816" w:type="dxa"/>
            <w:shd w:val="clear" w:color="auto" w:fill="auto"/>
            <w:noWrap/>
            <w:vAlign w:val="bottom"/>
          </w:tcPr>
          <w:p w14:paraId="56A48035" w14:textId="3CCF9CB8" w:rsidR="00113E21" w:rsidRPr="00C56B2B" w:rsidRDefault="00113E21" w:rsidP="00113E21">
            <w:pPr>
              <w:pBdr>
                <w:bottom w:val="single" w:sz="4" w:space="0" w:color="000000"/>
              </w:pBdr>
              <w:spacing w:before="40"/>
              <w:jc w:val="right"/>
              <w:rPr>
                <w:rFonts w:asciiTheme="majorBidi" w:hAnsiTheme="majorBidi" w:cstheme="majorBidi"/>
                <w:sz w:val="20"/>
              </w:rPr>
            </w:pPr>
            <w:r w:rsidRPr="0095659A">
              <w:rPr>
                <w:sz w:val="20"/>
              </w:rPr>
              <w:t>28,891</w:t>
            </w:r>
          </w:p>
        </w:tc>
      </w:tr>
      <w:tr w:rsidR="00113E21" w:rsidRPr="00866299" w14:paraId="6C318815" w14:textId="77777777" w:rsidTr="006909F2">
        <w:trPr>
          <w:trHeight w:val="283"/>
        </w:trPr>
        <w:tc>
          <w:tcPr>
            <w:tcW w:w="5413" w:type="dxa"/>
            <w:shd w:val="clear" w:color="auto" w:fill="auto"/>
            <w:vAlign w:val="bottom"/>
            <w:hideMark/>
          </w:tcPr>
          <w:p w14:paraId="044E4807" w14:textId="77777777" w:rsidR="00113E21" w:rsidRPr="00866299" w:rsidRDefault="00113E21" w:rsidP="00113E21">
            <w:pPr>
              <w:spacing w:before="40"/>
              <w:rPr>
                <w:rFonts w:asciiTheme="majorBidi" w:hAnsiTheme="majorBidi" w:cstheme="majorBidi"/>
                <w:b/>
                <w:bCs/>
                <w:sz w:val="20"/>
              </w:rPr>
            </w:pPr>
            <w:r w:rsidRPr="00866299">
              <w:rPr>
                <w:rFonts w:asciiTheme="majorBidi" w:hAnsiTheme="majorBidi" w:cstheme="majorBidi"/>
                <w:b/>
                <w:bCs/>
                <w:color w:val="000000"/>
                <w:sz w:val="20"/>
              </w:rPr>
              <w:t>Total non-current liabilities</w:t>
            </w:r>
          </w:p>
        </w:tc>
        <w:tc>
          <w:tcPr>
            <w:tcW w:w="983" w:type="dxa"/>
            <w:shd w:val="clear" w:color="auto" w:fill="auto"/>
            <w:vAlign w:val="bottom"/>
            <w:hideMark/>
          </w:tcPr>
          <w:p w14:paraId="4A2DF282" w14:textId="77777777" w:rsidR="00113E21" w:rsidRPr="002722B5" w:rsidRDefault="00113E21" w:rsidP="00113E21">
            <w:pPr>
              <w:spacing w:before="40"/>
              <w:jc w:val="right"/>
              <w:rPr>
                <w:rFonts w:asciiTheme="majorBidi" w:hAnsiTheme="majorBidi" w:cstheme="majorBidi"/>
                <w:sz w:val="20"/>
              </w:rPr>
            </w:pPr>
          </w:p>
        </w:tc>
        <w:tc>
          <w:tcPr>
            <w:tcW w:w="1816" w:type="dxa"/>
            <w:shd w:val="clear" w:color="auto" w:fill="auto"/>
            <w:noWrap/>
            <w:vAlign w:val="bottom"/>
          </w:tcPr>
          <w:p w14:paraId="5FBD4762" w14:textId="71634518" w:rsidR="00113E21" w:rsidRPr="00113E21" w:rsidRDefault="00113E21" w:rsidP="00516397">
            <w:pPr>
              <w:pBdr>
                <w:bottom w:val="single" w:sz="4" w:space="0" w:color="000000"/>
              </w:pBdr>
              <w:spacing w:before="40"/>
              <w:jc w:val="right"/>
              <w:rPr>
                <w:sz w:val="20"/>
              </w:rPr>
            </w:pPr>
            <w:r w:rsidRPr="00113E21">
              <w:rPr>
                <w:sz w:val="20"/>
              </w:rPr>
              <w:t>2,373,584</w:t>
            </w:r>
          </w:p>
        </w:tc>
        <w:tc>
          <w:tcPr>
            <w:tcW w:w="1816" w:type="dxa"/>
            <w:shd w:val="clear" w:color="auto" w:fill="auto"/>
            <w:noWrap/>
            <w:vAlign w:val="bottom"/>
          </w:tcPr>
          <w:p w14:paraId="7B68527D" w14:textId="5EBBC965" w:rsidR="00113E21" w:rsidRPr="00C56B2B" w:rsidRDefault="00113E21" w:rsidP="00113E21">
            <w:pPr>
              <w:pBdr>
                <w:bottom w:val="single" w:sz="4" w:space="0" w:color="000000"/>
              </w:pBdr>
              <w:spacing w:before="40"/>
              <w:jc w:val="right"/>
              <w:rPr>
                <w:rFonts w:asciiTheme="majorBidi" w:hAnsiTheme="majorBidi" w:cstheme="majorBidi"/>
                <w:sz w:val="20"/>
              </w:rPr>
            </w:pPr>
            <w:r w:rsidRPr="0020502A">
              <w:rPr>
                <w:sz w:val="20"/>
              </w:rPr>
              <w:t>2,314,092</w:t>
            </w:r>
          </w:p>
        </w:tc>
      </w:tr>
      <w:tr w:rsidR="00113E21" w:rsidRPr="00866299" w14:paraId="6B84E377" w14:textId="77777777" w:rsidTr="006909F2">
        <w:trPr>
          <w:trHeight w:val="283"/>
        </w:trPr>
        <w:tc>
          <w:tcPr>
            <w:tcW w:w="5413" w:type="dxa"/>
            <w:shd w:val="clear" w:color="auto" w:fill="auto"/>
            <w:vAlign w:val="bottom"/>
            <w:hideMark/>
          </w:tcPr>
          <w:p w14:paraId="433E8570" w14:textId="77777777" w:rsidR="00113E21" w:rsidRPr="00866299" w:rsidRDefault="00113E21" w:rsidP="00113E21">
            <w:pPr>
              <w:spacing w:before="40"/>
              <w:rPr>
                <w:rFonts w:asciiTheme="majorBidi" w:hAnsiTheme="majorBidi" w:cstheme="majorBidi"/>
                <w:sz w:val="20"/>
              </w:rPr>
            </w:pPr>
            <w:r w:rsidRPr="00866299">
              <w:rPr>
                <w:rFonts w:asciiTheme="majorBidi" w:hAnsiTheme="majorBidi" w:cstheme="majorBidi"/>
                <w:color w:val="000000"/>
                <w:sz w:val="20"/>
              </w:rPr>
              <w:t>Loans and borrowings</w:t>
            </w:r>
          </w:p>
        </w:tc>
        <w:tc>
          <w:tcPr>
            <w:tcW w:w="983" w:type="dxa"/>
            <w:shd w:val="clear" w:color="auto" w:fill="auto"/>
            <w:vAlign w:val="bottom"/>
            <w:hideMark/>
          </w:tcPr>
          <w:p w14:paraId="5092049C" w14:textId="454935F7" w:rsidR="00113E21" w:rsidRPr="002722B5" w:rsidRDefault="00113E21" w:rsidP="00113E21">
            <w:pPr>
              <w:spacing w:before="40"/>
              <w:jc w:val="right"/>
              <w:rPr>
                <w:rFonts w:asciiTheme="majorBidi" w:hAnsiTheme="majorBidi" w:cstheme="majorBidi"/>
                <w:sz w:val="20"/>
              </w:rPr>
            </w:pPr>
            <w:r w:rsidRPr="002722B5">
              <w:rPr>
                <w:rFonts w:asciiTheme="majorBidi" w:hAnsiTheme="majorBidi" w:cstheme="majorBidi"/>
                <w:color w:val="000000"/>
                <w:sz w:val="20"/>
              </w:rPr>
              <w:t>12</w:t>
            </w:r>
          </w:p>
        </w:tc>
        <w:tc>
          <w:tcPr>
            <w:tcW w:w="1816" w:type="dxa"/>
            <w:shd w:val="clear" w:color="auto" w:fill="auto"/>
            <w:noWrap/>
            <w:vAlign w:val="bottom"/>
          </w:tcPr>
          <w:p w14:paraId="0CC7B63B" w14:textId="3067CE8D" w:rsidR="00113E21" w:rsidRPr="00113E21" w:rsidRDefault="00113E21" w:rsidP="00516397">
            <w:pPr>
              <w:spacing w:before="40"/>
              <w:jc w:val="right"/>
              <w:rPr>
                <w:sz w:val="20"/>
              </w:rPr>
            </w:pPr>
            <w:r w:rsidRPr="00113E21">
              <w:rPr>
                <w:sz w:val="20"/>
              </w:rPr>
              <w:t>313,640</w:t>
            </w:r>
          </w:p>
        </w:tc>
        <w:tc>
          <w:tcPr>
            <w:tcW w:w="1816" w:type="dxa"/>
            <w:shd w:val="clear" w:color="auto" w:fill="auto"/>
            <w:noWrap/>
            <w:vAlign w:val="bottom"/>
          </w:tcPr>
          <w:p w14:paraId="64A6BBF0" w14:textId="1B6F0334" w:rsidR="00113E21" w:rsidRPr="00C56B2B" w:rsidRDefault="00113E21" w:rsidP="00113E21">
            <w:pPr>
              <w:spacing w:before="40"/>
              <w:jc w:val="right"/>
              <w:rPr>
                <w:rFonts w:asciiTheme="majorBidi" w:hAnsiTheme="majorBidi" w:cstheme="majorBidi"/>
                <w:sz w:val="20"/>
              </w:rPr>
            </w:pPr>
            <w:r w:rsidRPr="0095659A">
              <w:rPr>
                <w:sz w:val="20"/>
              </w:rPr>
              <w:t>80,303</w:t>
            </w:r>
          </w:p>
        </w:tc>
      </w:tr>
      <w:tr w:rsidR="00113E21" w:rsidRPr="00866299" w14:paraId="2BAD42C7" w14:textId="77777777" w:rsidTr="006909F2">
        <w:trPr>
          <w:trHeight w:val="283"/>
        </w:trPr>
        <w:tc>
          <w:tcPr>
            <w:tcW w:w="5413" w:type="dxa"/>
            <w:shd w:val="clear" w:color="auto" w:fill="auto"/>
            <w:vAlign w:val="bottom"/>
          </w:tcPr>
          <w:p w14:paraId="5E8064B6" w14:textId="4C55BAAF" w:rsidR="00113E21" w:rsidRPr="00866299" w:rsidRDefault="00113E21" w:rsidP="00113E21">
            <w:pPr>
              <w:spacing w:before="40"/>
              <w:rPr>
                <w:rFonts w:asciiTheme="majorBidi" w:hAnsiTheme="majorBidi" w:cstheme="majorBidi"/>
                <w:color w:val="000000"/>
                <w:sz w:val="20"/>
              </w:rPr>
            </w:pPr>
            <w:r w:rsidRPr="00866299">
              <w:rPr>
                <w:rFonts w:asciiTheme="majorBidi" w:hAnsiTheme="majorBidi" w:cstheme="majorBidi"/>
                <w:color w:val="000000"/>
                <w:sz w:val="20"/>
              </w:rPr>
              <w:t>Loans and borrowings</w:t>
            </w:r>
            <w:r>
              <w:rPr>
                <w:rFonts w:asciiTheme="majorBidi" w:hAnsiTheme="majorBidi" w:cstheme="majorBidi"/>
                <w:color w:val="000000"/>
                <w:sz w:val="20"/>
              </w:rPr>
              <w:t xml:space="preserve"> from related parties</w:t>
            </w:r>
          </w:p>
        </w:tc>
        <w:tc>
          <w:tcPr>
            <w:tcW w:w="983" w:type="dxa"/>
            <w:shd w:val="clear" w:color="auto" w:fill="auto"/>
            <w:vAlign w:val="bottom"/>
          </w:tcPr>
          <w:p w14:paraId="7EA495D2" w14:textId="20B983DD" w:rsidR="00113E21" w:rsidRPr="002722B5" w:rsidRDefault="00113E21" w:rsidP="00113E21">
            <w:pPr>
              <w:spacing w:before="40"/>
              <w:jc w:val="right"/>
              <w:rPr>
                <w:rFonts w:asciiTheme="majorBidi" w:hAnsiTheme="majorBidi" w:cstheme="majorBidi"/>
                <w:color w:val="000000"/>
                <w:sz w:val="20"/>
              </w:rPr>
            </w:pPr>
            <w:r w:rsidRPr="002722B5">
              <w:rPr>
                <w:rFonts w:asciiTheme="majorBidi" w:hAnsiTheme="majorBidi" w:cstheme="majorBidi"/>
                <w:color w:val="000000"/>
                <w:sz w:val="20"/>
              </w:rPr>
              <w:t>12,23</w:t>
            </w:r>
          </w:p>
        </w:tc>
        <w:tc>
          <w:tcPr>
            <w:tcW w:w="1816" w:type="dxa"/>
            <w:shd w:val="clear" w:color="auto" w:fill="auto"/>
            <w:noWrap/>
            <w:vAlign w:val="bottom"/>
          </w:tcPr>
          <w:p w14:paraId="0B149539" w14:textId="57ECC83C" w:rsidR="00113E21" w:rsidRPr="00113E21" w:rsidRDefault="00113E21" w:rsidP="00516397">
            <w:pPr>
              <w:spacing w:before="40"/>
              <w:jc w:val="right"/>
              <w:rPr>
                <w:sz w:val="20"/>
              </w:rPr>
            </w:pPr>
            <w:r w:rsidRPr="00113E21">
              <w:rPr>
                <w:sz w:val="20"/>
              </w:rPr>
              <w:t>5,230</w:t>
            </w:r>
          </w:p>
        </w:tc>
        <w:tc>
          <w:tcPr>
            <w:tcW w:w="1816" w:type="dxa"/>
            <w:shd w:val="clear" w:color="auto" w:fill="auto"/>
            <w:noWrap/>
            <w:vAlign w:val="bottom"/>
          </w:tcPr>
          <w:p w14:paraId="2FAD6FF8" w14:textId="3CBA399E" w:rsidR="00113E21" w:rsidRPr="00C56B2B" w:rsidRDefault="00113E21" w:rsidP="00113E21">
            <w:pPr>
              <w:spacing w:before="40"/>
              <w:jc w:val="right"/>
              <w:rPr>
                <w:rFonts w:asciiTheme="majorBidi" w:hAnsiTheme="majorBidi" w:cstheme="majorBidi"/>
                <w:color w:val="000000"/>
                <w:sz w:val="20"/>
              </w:rPr>
            </w:pPr>
            <w:r w:rsidRPr="0095659A">
              <w:rPr>
                <w:sz w:val="20"/>
              </w:rPr>
              <w:t>5,230</w:t>
            </w:r>
          </w:p>
        </w:tc>
      </w:tr>
      <w:tr w:rsidR="00113E21" w:rsidRPr="00866299" w14:paraId="7D36DCEB" w14:textId="77777777" w:rsidTr="006909F2">
        <w:trPr>
          <w:trHeight w:val="283"/>
        </w:trPr>
        <w:tc>
          <w:tcPr>
            <w:tcW w:w="5413" w:type="dxa"/>
            <w:shd w:val="clear" w:color="auto" w:fill="auto"/>
            <w:vAlign w:val="bottom"/>
            <w:hideMark/>
          </w:tcPr>
          <w:p w14:paraId="2BF72D24" w14:textId="77777777" w:rsidR="00113E21" w:rsidRPr="00866299" w:rsidRDefault="00113E21" w:rsidP="00113E21">
            <w:pPr>
              <w:spacing w:before="40"/>
              <w:rPr>
                <w:rFonts w:asciiTheme="majorBidi" w:hAnsiTheme="majorBidi" w:cstheme="majorBidi"/>
                <w:sz w:val="20"/>
                <w:lang w:bidi="he-IL"/>
              </w:rPr>
            </w:pPr>
            <w:r w:rsidRPr="00866299">
              <w:rPr>
                <w:rFonts w:asciiTheme="majorBidi" w:hAnsiTheme="majorBidi" w:cstheme="majorBidi"/>
                <w:color w:val="000000"/>
                <w:sz w:val="20"/>
              </w:rPr>
              <w:t>Trade and other payables</w:t>
            </w:r>
          </w:p>
        </w:tc>
        <w:tc>
          <w:tcPr>
            <w:tcW w:w="983" w:type="dxa"/>
            <w:shd w:val="clear" w:color="auto" w:fill="auto"/>
            <w:vAlign w:val="bottom"/>
            <w:hideMark/>
          </w:tcPr>
          <w:p w14:paraId="448B7AFF" w14:textId="33D64033" w:rsidR="00113E21" w:rsidRPr="002722B5" w:rsidRDefault="00113E21" w:rsidP="00113E21">
            <w:pPr>
              <w:spacing w:before="40"/>
              <w:jc w:val="right"/>
              <w:rPr>
                <w:rFonts w:asciiTheme="majorBidi" w:hAnsiTheme="majorBidi" w:cstheme="majorBidi"/>
                <w:sz w:val="20"/>
              </w:rPr>
            </w:pPr>
            <w:r w:rsidRPr="002722B5">
              <w:rPr>
                <w:rFonts w:asciiTheme="majorBidi" w:hAnsiTheme="majorBidi" w:cstheme="majorBidi"/>
                <w:color w:val="000000"/>
                <w:sz w:val="20"/>
              </w:rPr>
              <w:t>14</w:t>
            </w:r>
          </w:p>
        </w:tc>
        <w:tc>
          <w:tcPr>
            <w:tcW w:w="1816" w:type="dxa"/>
            <w:shd w:val="clear" w:color="auto" w:fill="auto"/>
            <w:noWrap/>
            <w:vAlign w:val="bottom"/>
          </w:tcPr>
          <w:p w14:paraId="35FA55F7" w14:textId="4127BB08" w:rsidR="00113E21" w:rsidRPr="00113E21" w:rsidRDefault="00113E21" w:rsidP="00516397">
            <w:pPr>
              <w:spacing w:before="40"/>
              <w:jc w:val="right"/>
              <w:rPr>
                <w:sz w:val="20"/>
              </w:rPr>
            </w:pPr>
            <w:r w:rsidRPr="00113E21">
              <w:rPr>
                <w:sz w:val="20"/>
              </w:rPr>
              <w:t>103,299</w:t>
            </w:r>
          </w:p>
        </w:tc>
        <w:tc>
          <w:tcPr>
            <w:tcW w:w="1816" w:type="dxa"/>
            <w:shd w:val="clear" w:color="auto" w:fill="auto"/>
            <w:noWrap/>
            <w:vAlign w:val="bottom"/>
          </w:tcPr>
          <w:p w14:paraId="5FC0A997" w14:textId="136BF073" w:rsidR="00113E21" w:rsidRPr="00C56B2B" w:rsidRDefault="00113E21" w:rsidP="00113E21">
            <w:pPr>
              <w:spacing w:before="40"/>
              <w:jc w:val="right"/>
              <w:rPr>
                <w:rFonts w:asciiTheme="majorBidi" w:hAnsiTheme="majorBidi" w:cstheme="majorBidi"/>
                <w:sz w:val="20"/>
              </w:rPr>
            </w:pPr>
            <w:r w:rsidRPr="0095659A">
              <w:rPr>
                <w:sz w:val="20"/>
              </w:rPr>
              <w:t>142,577</w:t>
            </w:r>
          </w:p>
        </w:tc>
      </w:tr>
      <w:tr w:rsidR="00113E21" w:rsidRPr="00866299" w14:paraId="4C1C096A" w14:textId="77777777" w:rsidTr="006909F2">
        <w:trPr>
          <w:trHeight w:val="283"/>
        </w:trPr>
        <w:tc>
          <w:tcPr>
            <w:tcW w:w="5413" w:type="dxa"/>
            <w:shd w:val="clear" w:color="auto" w:fill="auto"/>
            <w:vAlign w:val="bottom"/>
            <w:hideMark/>
          </w:tcPr>
          <w:p w14:paraId="480A9248" w14:textId="085101B6" w:rsidR="00113E21" w:rsidRPr="00866299" w:rsidRDefault="00113E21" w:rsidP="00113E21">
            <w:pPr>
              <w:spacing w:before="40"/>
              <w:rPr>
                <w:rFonts w:asciiTheme="majorBidi" w:hAnsiTheme="majorBidi" w:cstheme="majorBidi"/>
                <w:sz w:val="20"/>
              </w:rPr>
            </w:pPr>
            <w:r w:rsidRPr="00866299">
              <w:rPr>
                <w:rFonts w:asciiTheme="majorBidi" w:hAnsiTheme="majorBidi" w:cstheme="majorBidi"/>
                <w:color w:val="000000"/>
                <w:sz w:val="20"/>
              </w:rPr>
              <w:t>Tax payables</w:t>
            </w:r>
          </w:p>
        </w:tc>
        <w:tc>
          <w:tcPr>
            <w:tcW w:w="983" w:type="dxa"/>
            <w:shd w:val="clear" w:color="auto" w:fill="auto"/>
            <w:vAlign w:val="bottom"/>
            <w:hideMark/>
          </w:tcPr>
          <w:p w14:paraId="589AB9C2" w14:textId="26BB5A7E" w:rsidR="00113E21" w:rsidRPr="002722B5" w:rsidRDefault="00113E21" w:rsidP="00113E21">
            <w:pPr>
              <w:spacing w:before="40"/>
              <w:jc w:val="right"/>
              <w:rPr>
                <w:rFonts w:asciiTheme="majorBidi" w:hAnsiTheme="majorBidi" w:cstheme="majorBidi"/>
                <w:sz w:val="20"/>
              </w:rPr>
            </w:pPr>
            <w:r>
              <w:rPr>
                <w:rFonts w:asciiTheme="majorBidi" w:hAnsiTheme="majorBidi" w:cstheme="majorBidi"/>
                <w:sz w:val="20"/>
              </w:rPr>
              <w:t>20</w:t>
            </w:r>
            <w:proofErr w:type="gramStart"/>
            <w:r>
              <w:rPr>
                <w:rFonts w:asciiTheme="majorBidi" w:hAnsiTheme="majorBidi" w:cstheme="majorBidi"/>
                <w:sz w:val="20"/>
              </w:rPr>
              <w:t>B(</w:t>
            </w:r>
            <w:proofErr w:type="gramEnd"/>
            <w:r>
              <w:rPr>
                <w:rFonts w:asciiTheme="majorBidi" w:hAnsiTheme="majorBidi" w:cstheme="majorBidi"/>
                <w:sz w:val="20"/>
              </w:rPr>
              <w:t>2)</w:t>
            </w:r>
          </w:p>
        </w:tc>
        <w:tc>
          <w:tcPr>
            <w:tcW w:w="1816" w:type="dxa"/>
            <w:shd w:val="clear" w:color="auto" w:fill="auto"/>
            <w:noWrap/>
            <w:vAlign w:val="bottom"/>
          </w:tcPr>
          <w:p w14:paraId="42D52D01" w14:textId="08FEAC89" w:rsidR="00113E21" w:rsidRPr="00113E21" w:rsidRDefault="00113E21" w:rsidP="00516397">
            <w:pPr>
              <w:pBdr>
                <w:bottom w:val="single" w:sz="4" w:space="0" w:color="000000"/>
              </w:pBdr>
              <w:spacing w:before="40"/>
              <w:jc w:val="right"/>
              <w:rPr>
                <w:sz w:val="20"/>
              </w:rPr>
            </w:pPr>
            <w:r w:rsidRPr="00113E21">
              <w:rPr>
                <w:sz w:val="20"/>
              </w:rPr>
              <w:t>3,089</w:t>
            </w:r>
          </w:p>
        </w:tc>
        <w:tc>
          <w:tcPr>
            <w:tcW w:w="1816" w:type="dxa"/>
            <w:shd w:val="clear" w:color="auto" w:fill="auto"/>
            <w:noWrap/>
            <w:vAlign w:val="bottom"/>
          </w:tcPr>
          <w:p w14:paraId="072C5DED" w14:textId="671AA9E0" w:rsidR="00113E21" w:rsidRPr="00C56B2B" w:rsidRDefault="00113E21" w:rsidP="00113E21">
            <w:pPr>
              <w:pBdr>
                <w:bottom w:val="single" w:sz="4" w:space="0" w:color="000000"/>
              </w:pBdr>
              <w:spacing w:before="40"/>
              <w:jc w:val="right"/>
              <w:rPr>
                <w:rFonts w:asciiTheme="majorBidi" w:hAnsiTheme="majorBidi" w:cstheme="majorBidi"/>
                <w:sz w:val="20"/>
              </w:rPr>
            </w:pPr>
            <w:r w:rsidRPr="0095659A">
              <w:rPr>
                <w:sz w:val="20"/>
              </w:rPr>
              <w:t>3,889</w:t>
            </w:r>
          </w:p>
        </w:tc>
      </w:tr>
      <w:tr w:rsidR="00113E21" w:rsidRPr="00866299" w14:paraId="79C1480D" w14:textId="77777777" w:rsidTr="006909F2">
        <w:trPr>
          <w:trHeight w:val="283"/>
        </w:trPr>
        <w:tc>
          <w:tcPr>
            <w:tcW w:w="5413" w:type="dxa"/>
            <w:shd w:val="clear" w:color="auto" w:fill="auto"/>
            <w:vAlign w:val="bottom"/>
            <w:hideMark/>
          </w:tcPr>
          <w:p w14:paraId="6AA209D0" w14:textId="77777777" w:rsidR="00113E21" w:rsidRPr="00866299" w:rsidRDefault="00113E21" w:rsidP="00113E21">
            <w:pPr>
              <w:spacing w:before="40"/>
              <w:rPr>
                <w:rFonts w:asciiTheme="majorBidi" w:hAnsiTheme="majorBidi" w:cstheme="majorBidi"/>
                <w:b/>
                <w:bCs/>
                <w:sz w:val="20"/>
              </w:rPr>
            </w:pPr>
            <w:r w:rsidRPr="00866299">
              <w:rPr>
                <w:rFonts w:asciiTheme="majorBidi" w:hAnsiTheme="majorBidi" w:cstheme="majorBidi"/>
                <w:b/>
                <w:bCs/>
                <w:color w:val="000000"/>
                <w:sz w:val="20"/>
              </w:rPr>
              <w:t>Total current liabilities</w:t>
            </w:r>
          </w:p>
        </w:tc>
        <w:tc>
          <w:tcPr>
            <w:tcW w:w="983" w:type="dxa"/>
            <w:shd w:val="clear" w:color="auto" w:fill="auto"/>
            <w:vAlign w:val="bottom"/>
            <w:hideMark/>
          </w:tcPr>
          <w:p w14:paraId="655F5663" w14:textId="77777777" w:rsidR="00113E21" w:rsidRPr="009034AA" w:rsidRDefault="00113E21" w:rsidP="00113E21">
            <w:pPr>
              <w:spacing w:before="40"/>
              <w:jc w:val="right"/>
              <w:rPr>
                <w:rFonts w:asciiTheme="majorBidi" w:hAnsiTheme="majorBidi" w:cstheme="majorBidi"/>
                <w:sz w:val="20"/>
                <w:highlight w:val="yellow"/>
              </w:rPr>
            </w:pPr>
          </w:p>
        </w:tc>
        <w:tc>
          <w:tcPr>
            <w:tcW w:w="1816" w:type="dxa"/>
            <w:shd w:val="clear" w:color="auto" w:fill="auto"/>
            <w:noWrap/>
            <w:vAlign w:val="bottom"/>
          </w:tcPr>
          <w:p w14:paraId="15820E67" w14:textId="4C85ACF3" w:rsidR="00113E21" w:rsidRPr="00113E21" w:rsidRDefault="00113E21" w:rsidP="00516397">
            <w:pPr>
              <w:pBdr>
                <w:bottom w:val="single" w:sz="4" w:space="0" w:color="000000"/>
              </w:pBdr>
              <w:spacing w:before="40"/>
              <w:jc w:val="right"/>
              <w:rPr>
                <w:sz w:val="20"/>
              </w:rPr>
            </w:pPr>
            <w:r w:rsidRPr="00113E21">
              <w:rPr>
                <w:sz w:val="20"/>
              </w:rPr>
              <w:t>425,258</w:t>
            </w:r>
          </w:p>
        </w:tc>
        <w:tc>
          <w:tcPr>
            <w:tcW w:w="1816" w:type="dxa"/>
            <w:shd w:val="clear" w:color="auto" w:fill="auto"/>
            <w:noWrap/>
            <w:vAlign w:val="bottom"/>
          </w:tcPr>
          <w:p w14:paraId="396F3140" w14:textId="1E4FFD0D" w:rsidR="00113E21" w:rsidRPr="00C56B2B" w:rsidRDefault="00113E21" w:rsidP="00113E21">
            <w:pPr>
              <w:pBdr>
                <w:bottom w:val="single" w:sz="4" w:space="0" w:color="000000"/>
              </w:pBdr>
              <w:spacing w:before="40"/>
              <w:jc w:val="right"/>
              <w:rPr>
                <w:rFonts w:asciiTheme="majorBidi" w:hAnsiTheme="majorBidi" w:cstheme="majorBidi"/>
                <w:sz w:val="20"/>
              </w:rPr>
            </w:pPr>
            <w:r w:rsidRPr="0020502A">
              <w:rPr>
                <w:sz w:val="20"/>
              </w:rPr>
              <w:t>231,999</w:t>
            </w:r>
          </w:p>
        </w:tc>
      </w:tr>
      <w:tr w:rsidR="00C74678" w:rsidRPr="00866299" w14:paraId="29EA670F" w14:textId="77777777" w:rsidTr="006909F2">
        <w:trPr>
          <w:trHeight w:val="283"/>
        </w:trPr>
        <w:tc>
          <w:tcPr>
            <w:tcW w:w="5413" w:type="dxa"/>
            <w:shd w:val="clear" w:color="auto" w:fill="auto"/>
            <w:vAlign w:val="bottom"/>
            <w:hideMark/>
          </w:tcPr>
          <w:p w14:paraId="06F618D5" w14:textId="77777777" w:rsidR="00C74678" w:rsidRPr="00866299" w:rsidRDefault="00C74678" w:rsidP="00C74678">
            <w:pPr>
              <w:spacing w:before="40"/>
              <w:rPr>
                <w:rFonts w:asciiTheme="majorBidi" w:hAnsiTheme="majorBidi" w:cstheme="majorBidi"/>
                <w:b/>
                <w:bCs/>
                <w:sz w:val="20"/>
              </w:rPr>
            </w:pPr>
            <w:r w:rsidRPr="00866299">
              <w:rPr>
                <w:rFonts w:asciiTheme="majorBidi" w:hAnsiTheme="majorBidi" w:cstheme="majorBidi"/>
                <w:b/>
                <w:bCs/>
                <w:color w:val="000000"/>
                <w:sz w:val="20"/>
              </w:rPr>
              <w:t xml:space="preserve">Total liabilities </w:t>
            </w:r>
          </w:p>
        </w:tc>
        <w:tc>
          <w:tcPr>
            <w:tcW w:w="983" w:type="dxa"/>
            <w:shd w:val="clear" w:color="auto" w:fill="auto"/>
            <w:vAlign w:val="bottom"/>
            <w:hideMark/>
          </w:tcPr>
          <w:p w14:paraId="2A234B78" w14:textId="77777777" w:rsidR="00C74678" w:rsidRPr="007E005A" w:rsidRDefault="00C74678" w:rsidP="00C74678">
            <w:pPr>
              <w:spacing w:before="40"/>
              <w:jc w:val="right"/>
              <w:rPr>
                <w:rFonts w:asciiTheme="majorBidi" w:hAnsiTheme="majorBidi" w:cstheme="majorBidi"/>
                <w:sz w:val="20"/>
                <w:highlight w:val="yellow"/>
              </w:rPr>
            </w:pPr>
          </w:p>
        </w:tc>
        <w:tc>
          <w:tcPr>
            <w:tcW w:w="1816" w:type="dxa"/>
            <w:shd w:val="clear" w:color="auto" w:fill="auto"/>
            <w:noWrap/>
            <w:vAlign w:val="bottom"/>
          </w:tcPr>
          <w:p w14:paraId="2712F4E4" w14:textId="4212C62D" w:rsidR="00C74678" w:rsidRPr="00113E21" w:rsidRDefault="00113E21" w:rsidP="00516397">
            <w:pPr>
              <w:pBdr>
                <w:bottom w:val="single" w:sz="4" w:space="0" w:color="000000"/>
              </w:pBdr>
              <w:spacing w:before="40"/>
              <w:jc w:val="right"/>
              <w:rPr>
                <w:sz w:val="20"/>
              </w:rPr>
            </w:pPr>
            <w:r w:rsidRPr="00113E21">
              <w:rPr>
                <w:sz w:val="20"/>
              </w:rPr>
              <w:t>2,798,842</w:t>
            </w:r>
          </w:p>
        </w:tc>
        <w:tc>
          <w:tcPr>
            <w:tcW w:w="1816" w:type="dxa"/>
            <w:shd w:val="clear" w:color="auto" w:fill="auto"/>
            <w:noWrap/>
            <w:vAlign w:val="bottom"/>
          </w:tcPr>
          <w:p w14:paraId="1D498E72" w14:textId="3D759D19" w:rsidR="00C74678" w:rsidRPr="00C56B2B" w:rsidRDefault="00C74678" w:rsidP="00C74678">
            <w:pPr>
              <w:pBdr>
                <w:bottom w:val="single" w:sz="4" w:space="0" w:color="000000"/>
              </w:pBdr>
              <w:spacing w:before="40"/>
              <w:jc w:val="right"/>
              <w:rPr>
                <w:rFonts w:asciiTheme="majorBidi" w:hAnsiTheme="majorBidi" w:cstheme="majorBidi"/>
                <w:sz w:val="20"/>
              </w:rPr>
            </w:pPr>
            <w:r w:rsidRPr="0020502A">
              <w:rPr>
                <w:sz w:val="20"/>
              </w:rPr>
              <w:t>2,546,091</w:t>
            </w:r>
          </w:p>
        </w:tc>
      </w:tr>
      <w:tr w:rsidR="00C74678" w:rsidRPr="00866299" w14:paraId="7F8A9AC0" w14:textId="77777777" w:rsidTr="006909F2">
        <w:trPr>
          <w:trHeight w:val="283"/>
        </w:trPr>
        <w:tc>
          <w:tcPr>
            <w:tcW w:w="5413" w:type="dxa"/>
            <w:shd w:val="clear" w:color="auto" w:fill="auto"/>
            <w:vAlign w:val="bottom"/>
            <w:hideMark/>
          </w:tcPr>
          <w:p w14:paraId="20807468" w14:textId="77777777" w:rsidR="00C74678" w:rsidRPr="00866299" w:rsidRDefault="00C74678" w:rsidP="00C74678">
            <w:pPr>
              <w:spacing w:before="40"/>
              <w:rPr>
                <w:rFonts w:asciiTheme="majorBidi" w:hAnsiTheme="majorBidi" w:cstheme="majorBidi"/>
                <w:b/>
                <w:bCs/>
                <w:sz w:val="20"/>
              </w:rPr>
            </w:pPr>
            <w:r w:rsidRPr="00866299">
              <w:rPr>
                <w:rFonts w:asciiTheme="majorBidi" w:hAnsiTheme="majorBidi" w:cstheme="majorBidi"/>
                <w:b/>
                <w:bCs/>
                <w:color w:val="000000"/>
                <w:sz w:val="20"/>
              </w:rPr>
              <w:t>Total equity and liabilities</w:t>
            </w:r>
          </w:p>
        </w:tc>
        <w:tc>
          <w:tcPr>
            <w:tcW w:w="983" w:type="dxa"/>
            <w:shd w:val="clear" w:color="auto" w:fill="auto"/>
            <w:vAlign w:val="bottom"/>
            <w:hideMark/>
          </w:tcPr>
          <w:p w14:paraId="7AFE77F8" w14:textId="77777777" w:rsidR="00C74678" w:rsidRPr="00866299" w:rsidRDefault="00C74678" w:rsidP="00C74678">
            <w:pPr>
              <w:spacing w:before="40"/>
              <w:jc w:val="right"/>
              <w:rPr>
                <w:rFonts w:asciiTheme="majorBidi" w:hAnsiTheme="majorBidi" w:cstheme="majorBidi"/>
                <w:b/>
                <w:bCs/>
                <w:sz w:val="20"/>
              </w:rPr>
            </w:pPr>
          </w:p>
        </w:tc>
        <w:tc>
          <w:tcPr>
            <w:tcW w:w="1816" w:type="dxa"/>
            <w:shd w:val="clear" w:color="auto" w:fill="auto"/>
            <w:noWrap/>
            <w:vAlign w:val="bottom"/>
          </w:tcPr>
          <w:p w14:paraId="0F4D5C28" w14:textId="5C26D532" w:rsidR="00C74678" w:rsidRPr="00113E21" w:rsidRDefault="00113E21" w:rsidP="00516397">
            <w:pPr>
              <w:pBdr>
                <w:bottom w:val="double" w:sz="4" w:space="0" w:color="000000"/>
              </w:pBdr>
              <w:spacing w:before="40"/>
              <w:jc w:val="right"/>
              <w:rPr>
                <w:sz w:val="20"/>
              </w:rPr>
            </w:pPr>
            <w:r w:rsidRPr="00113E21">
              <w:rPr>
                <w:sz w:val="20"/>
              </w:rPr>
              <w:t>3,864,086</w:t>
            </w:r>
          </w:p>
        </w:tc>
        <w:tc>
          <w:tcPr>
            <w:tcW w:w="1816" w:type="dxa"/>
            <w:shd w:val="clear" w:color="auto" w:fill="auto"/>
            <w:noWrap/>
            <w:vAlign w:val="bottom"/>
          </w:tcPr>
          <w:p w14:paraId="25D53623" w14:textId="2219949D" w:rsidR="00C74678" w:rsidRPr="00C56B2B" w:rsidRDefault="00C74678" w:rsidP="00C74678">
            <w:pPr>
              <w:pBdr>
                <w:bottom w:val="double" w:sz="4" w:space="0" w:color="000000"/>
              </w:pBdr>
              <w:spacing w:before="40"/>
              <w:jc w:val="right"/>
              <w:rPr>
                <w:rFonts w:asciiTheme="majorBidi" w:hAnsiTheme="majorBidi" w:cstheme="majorBidi"/>
                <w:sz w:val="20"/>
              </w:rPr>
            </w:pPr>
            <w:r w:rsidRPr="0020502A">
              <w:rPr>
                <w:sz w:val="20"/>
              </w:rPr>
              <w:t>3,510,716</w:t>
            </w:r>
          </w:p>
        </w:tc>
      </w:tr>
    </w:tbl>
    <w:p w14:paraId="035FC73E" w14:textId="77777777" w:rsidR="00C35D07" w:rsidRDefault="00C35D07" w:rsidP="004A3C21">
      <w:pPr>
        <w:rPr>
          <w:sz w:val="16"/>
          <w:szCs w:val="16"/>
        </w:rPr>
      </w:pPr>
    </w:p>
    <w:p w14:paraId="0C6B4302" w14:textId="77777777" w:rsidR="007340BB" w:rsidRDefault="007340BB" w:rsidP="004A3C21">
      <w:pPr>
        <w:rPr>
          <w:sz w:val="16"/>
          <w:szCs w:val="16"/>
          <w:lang w:bidi="he-IL"/>
        </w:rPr>
      </w:pPr>
    </w:p>
    <w:p w14:paraId="55210B00" w14:textId="77777777" w:rsidR="00802D81" w:rsidRDefault="00802D81" w:rsidP="00802D81">
      <w:pPr>
        <w:rPr>
          <w:sz w:val="20"/>
        </w:rPr>
      </w:pPr>
      <w:r w:rsidRPr="007340BB">
        <w:rPr>
          <w:sz w:val="20"/>
        </w:rPr>
        <w:t>The accompanying notes are</w:t>
      </w:r>
      <w:r>
        <w:rPr>
          <w:sz w:val="20"/>
        </w:rPr>
        <w:t xml:space="preserve"> an</w:t>
      </w:r>
      <w:r w:rsidRPr="007340BB">
        <w:rPr>
          <w:sz w:val="20"/>
        </w:rPr>
        <w:t xml:space="preserve"> integral part of these consolidated financial statements.</w:t>
      </w:r>
    </w:p>
    <w:p w14:paraId="3F7415BA" w14:textId="77777777" w:rsidR="00802D81" w:rsidRDefault="00802D81" w:rsidP="00802D81">
      <w:pPr>
        <w:rPr>
          <w:sz w:val="20"/>
        </w:rPr>
      </w:pPr>
    </w:p>
    <w:p w14:paraId="65BE0C7A" w14:textId="77777777" w:rsidR="00802D81" w:rsidRDefault="00802D81" w:rsidP="00802D81">
      <w:pPr>
        <w:rPr>
          <w:sz w:val="20"/>
        </w:rPr>
      </w:pPr>
    </w:p>
    <w:tbl>
      <w:tblPr>
        <w:tblW w:w="10008" w:type="dxa"/>
        <w:tblLayout w:type="fixed"/>
        <w:tblCellMar>
          <w:left w:w="0" w:type="dxa"/>
          <w:right w:w="0" w:type="dxa"/>
        </w:tblCellMar>
        <w:tblLook w:val="0600" w:firstRow="0" w:lastRow="0" w:firstColumn="0" w:lastColumn="0" w:noHBand="1" w:noVBand="1"/>
        <w:tblCaption w:val="DHR00"/>
        <w:tblDescription w:val="Layout Table"/>
      </w:tblPr>
      <w:tblGrid>
        <w:gridCol w:w="3072"/>
        <w:gridCol w:w="315"/>
        <w:gridCol w:w="3153"/>
        <w:gridCol w:w="315"/>
        <w:gridCol w:w="3153"/>
      </w:tblGrid>
      <w:tr w:rsidR="008460C6" w:rsidRPr="00802D81" w14:paraId="049FD9C7" w14:textId="77777777" w:rsidTr="006909F2">
        <w:trPr>
          <w:cantSplit/>
          <w:trHeight w:val="255"/>
        </w:trPr>
        <w:tc>
          <w:tcPr>
            <w:tcW w:w="3072" w:type="dxa"/>
            <w:tcBorders>
              <w:top w:val="nil"/>
              <w:left w:val="nil"/>
              <w:bottom w:val="single" w:sz="6" w:space="0" w:color="auto"/>
              <w:right w:val="nil"/>
            </w:tcBorders>
            <w:vAlign w:val="center"/>
          </w:tcPr>
          <w:p w14:paraId="4FDBA05C" w14:textId="0AC58594" w:rsidR="008460C6" w:rsidRPr="0020502A" w:rsidRDefault="00AE125B" w:rsidP="00513FAC">
            <w:pPr>
              <w:spacing w:line="200" w:lineRule="exact"/>
              <w:jc w:val="center"/>
              <w:rPr>
                <w:sz w:val="20"/>
              </w:rPr>
            </w:pPr>
            <w:r>
              <w:rPr>
                <w:sz w:val="20"/>
              </w:rPr>
              <w:t xml:space="preserve">Amsterdam, </w:t>
            </w:r>
            <w:r w:rsidR="00B96546">
              <w:rPr>
                <w:sz w:val="20"/>
              </w:rPr>
              <w:t xml:space="preserve">March </w:t>
            </w:r>
            <w:r w:rsidR="00B62336">
              <w:rPr>
                <w:sz w:val="20"/>
              </w:rPr>
              <w:t>3</w:t>
            </w:r>
            <w:r w:rsidR="008460C6" w:rsidRPr="0020502A">
              <w:rPr>
                <w:sz w:val="20"/>
              </w:rPr>
              <w:t>, 202</w:t>
            </w:r>
            <w:r w:rsidR="00C74678">
              <w:rPr>
                <w:sz w:val="20"/>
              </w:rPr>
              <w:t>5</w:t>
            </w:r>
          </w:p>
        </w:tc>
        <w:tc>
          <w:tcPr>
            <w:tcW w:w="315" w:type="dxa"/>
            <w:vMerge w:val="restart"/>
            <w:tcBorders>
              <w:top w:val="nil"/>
              <w:left w:val="nil"/>
              <w:right w:val="nil"/>
            </w:tcBorders>
            <w:vAlign w:val="center"/>
          </w:tcPr>
          <w:p w14:paraId="37A3CAFB" w14:textId="77777777" w:rsidR="008460C6" w:rsidRPr="0020502A" w:rsidRDefault="008460C6" w:rsidP="00513FAC">
            <w:pPr>
              <w:spacing w:line="200" w:lineRule="exact"/>
              <w:ind w:left="57"/>
              <w:jc w:val="center"/>
              <w:rPr>
                <w:sz w:val="20"/>
              </w:rPr>
            </w:pPr>
          </w:p>
        </w:tc>
        <w:tc>
          <w:tcPr>
            <w:tcW w:w="3153" w:type="dxa"/>
            <w:tcBorders>
              <w:top w:val="nil"/>
              <w:left w:val="nil"/>
              <w:bottom w:val="single" w:sz="6" w:space="0" w:color="auto"/>
              <w:right w:val="nil"/>
            </w:tcBorders>
            <w:vAlign w:val="center"/>
          </w:tcPr>
          <w:p w14:paraId="21AEC5B1" w14:textId="77777777" w:rsidR="008460C6" w:rsidRPr="0020502A" w:rsidRDefault="008460C6" w:rsidP="00513FAC">
            <w:pPr>
              <w:spacing w:line="200" w:lineRule="exact"/>
              <w:ind w:left="57"/>
              <w:jc w:val="center"/>
              <w:rPr>
                <w:sz w:val="20"/>
              </w:rPr>
            </w:pPr>
          </w:p>
        </w:tc>
        <w:tc>
          <w:tcPr>
            <w:tcW w:w="315" w:type="dxa"/>
            <w:vMerge w:val="restart"/>
            <w:tcBorders>
              <w:top w:val="nil"/>
              <w:left w:val="nil"/>
              <w:right w:val="nil"/>
            </w:tcBorders>
            <w:vAlign w:val="center"/>
          </w:tcPr>
          <w:p w14:paraId="48E2EE38" w14:textId="77777777" w:rsidR="008460C6" w:rsidRPr="0020502A" w:rsidRDefault="008460C6" w:rsidP="00513FAC">
            <w:pPr>
              <w:spacing w:line="200" w:lineRule="exact"/>
              <w:ind w:left="57"/>
              <w:jc w:val="center"/>
              <w:rPr>
                <w:sz w:val="20"/>
              </w:rPr>
            </w:pPr>
          </w:p>
        </w:tc>
        <w:tc>
          <w:tcPr>
            <w:tcW w:w="3153" w:type="dxa"/>
            <w:tcBorders>
              <w:top w:val="nil"/>
              <w:left w:val="nil"/>
              <w:bottom w:val="single" w:sz="6" w:space="0" w:color="auto"/>
              <w:right w:val="nil"/>
            </w:tcBorders>
            <w:vAlign w:val="center"/>
          </w:tcPr>
          <w:p w14:paraId="44D9A8CB" w14:textId="77777777" w:rsidR="008460C6" w:rsidRPr="0020502A" w:rsidRDefault="008460C6" w:rsidP="00513FAC">
            <w:pPr>
              <w:spacing w:line="200" w:lineRule="exact"/>
              <w:ind w:left="57"/>
              <w:jc w:val="center"/>
              <w:rPr>
                <w:sz w:val="20"/>
              </w:rPr>
            </w:pPr>
          </w:p>
        </w:tc>
      </w:tr>
      <w:tr w:rsidR="008460C6" w:rsidRPr="00802D81" w14:paraId="429AB5A4" w14:textId="77777777" w:rsidTr="006909F2">
        <w:trPr>
          <w:cantSplit/>
          <w:trHeight w:val="546"/>
        </w:trPr>
        <w:tc>
          <w:tcPr>
            <w:tcW w:w="3072" w:type="dxa"/>
            <w:tcBorders>
              <w:top w:val="nil"/>
              <w:left w:val="nil"/>
              <w:right w:val="nil"/>
            </w:tcBorders>
            <w:vAlign w:val="center"/>
          </w:tcPr>
          <w:p w14:paraId="35F85BCE" w14:textId="77777777" w:rsidR="008460C6" w:rsidRPr="0020502A" w:rsidRDefault="008460C6" w:rsidP="00513FAC">
            <w:pPr>
              <w:tabs>
                <w:tab w:val="left" w:pos="227"/>
                <w:tab w:val="left" w:pos="397"/>
                <w:tab w:val="left" w:pos="567"/>
              </w:tabs>
              <w:spacing w:line="200" w:lineRule="exact"/>
              <w:ind w:left="57"/>
              <w:jc w:val="center"/>
              <w:rPr>
                <w:sz w:val="20"/>
              </w:rPr>
            </w:pPr>
            <w:r>
              <w:rPr>
                <w:sz w:val="20"/>
              </w:rPr>
              <w:t>Place and d</w:t>
            </w:r>
            <w:r w:rsidRPr="0020502A">
              <w:rPr>
                <w:sz w:val="20"/>
              </w:rPr>
              <w:t>ate of approval of the</w:t>
            </w:r>
          </w:p>
          <w:p w14:paraId="037251EE" w14:textId="13E6B4CC" w:rsidR="008460C6" w:rsidRPr="0020502A" w:rsidRDefault="008460C6" w:rsidP="00513FAC">
            <w:pPr>
              <w:tabs>
                <w:tab w:val="left" w:pos="227"/>
                <w:tab w:val="left" w:pos="397"/>
                <w:tab w:val="left" w:pos="567"/>
              </w:tabs>
              <w:spacing w:line="200" w:lineRule="exact"/>
              <w:ind w:left="57"/>
              <w:jc w:val="center"/>
              <w:rPr>
                <w:sz w:val="20"/>
              </w:rPr>
            </w:pPr>
            <w:r w:rsidRPr="0020502A">
              <w:rPr>
                <w:sz w:val="20"/>
              </w:rPr>
              <w:t>financial statements</w:t>
            </w:r>
          </w:p>
        </w:tc>
        <w:tc>
          <w:tcPr>
            <w:tcW w:w="315" w:type="dxa"/>
            <w:vMerge/>
            <w:tcBorders>
              <w:left w:val="nil"/>
              <w:right w:val="nil"/>
            </w:tcBorders>
            <w:vAlign w:val="center"/>
          </w:tcPr>
          <w:p w14:paraId="53BDD87F" w14:textId="77777777" w:rsidR="008460C6" w:rsidRPr="0020502A" w:rsidRDefault="008460C6" w:rsidP="00513FAC">
            <w:pPr>
              <w:spacing w:line="200" w:lineRule="exact"/>
              <w:ind w:left="57"/>
              <w:jc w:val="center"/>
              <w:rPr>
                <w:sz w:val="20"/>
              </w:rPr>
            </w:pPr>
          </w:p>
        </w:tc>
        <w:tc>
          <w:tcPr>
            <w:tcW w:w="3153" w:type="dxa"/>
            <w:tcBorders>
              <w:top w:val="single" w:sz="6" w:space="0" w:color="auto"/>
              <w:left w:val="nil"/>
              <w:right w:val="nil"/>
            </w:tcBorders>
            <w:vAlign w:val="center"/>
          </w:tcPr>
          <w:p w14:paraId="5D852883" w14:textId="77777777" w:rsidR="008460C6" w:rsidRPr="0020502A" w:rsidRDefault="008460C6" w:rsidP="0020502A">
            <w:pPr>
              <w:spacing w:line="200" w:lineRule="exact"/>
              <w:jc w:val="center"/>
              <w:rPr>
                <w:sz w:val="20"/>
              </w:rPr>
            </w:pPr>
            <w:r w:rsidRPr="0020502A">
              <w:rPr>
                <w:sz w:val="20"/>
              </w:rPr>
              <w:t>A. Barzilay</w:t>
            </w:r>
          </w:p>
          <w:p w14:paraId="35277374" w14:textId="4F409C6C" w:rsidR="008460C6" w:rsidRPr="0020502A" w:rsidRDefault="00AE125B" w:rsidP="00513FAC">
            <w:pPr>
              <w:spacing w:line="200" w:lineRule="exact"/>
              <w:ind w:left="57"/>
              <w:jc w:val="center"/>
              <w:rPr>
                <w:sz w:val="20"/>
              </w:rPr>
            </w:pPr>
            <w:r>
              <w:rPr>
                <w:sz w:val="20"/>
              </w:rPr>
              <w:t>Director</w:t>
            </w:r>
          </w:p>
        </w:tc>
        <w:tc>
          <w:tcPr>
            <w:tcW w:w="315" w:type="dxa"/>
            <w:vMerge/>
            <w:tcBorders>
              <w:left w:val="nil"/>
              <w:right w:val="nil"/>
            </w:tcBorders>
            <w:vAlign w:val="center"/>
          </w:tcPr>
          <w:p w14:paraId="4584F185" w14:textId="77777777" w:rsidR="008460C6" w:rsidRPr="0020502A" w:rsidRDefault="008460C6" w:rsidP="00513FAC">
            <w:pPr>
              <w:spacing w:line="200" w:lineRule="exact"/>
              <w:ind w:left="57"/>
              <w:jc w:val="center"/>
              <w:rPr>
                <w:sz w:val="20"/>
              </w:rPr>
            </w:pPr>
          </w:p>
        </w:tc>
        <w:tc>
          <w:tcPr>
            <w:tcW w:w="3153" w:type="dxa"/>
            <w:tcBorders>
              <w:top w:val="nil"/>
              <w:left w:val="nil"/>
              <w:right w:val="nil"/>
            </w:tcBorders>
            <w:vAlign w:val="center"/>
          </w:tcPr>
          <w:p w14:paraId="5BECF174" w14:textId="77777777" w:rsidR="008460C6" w:rsidRPr="0020502A" w:rsidRDefault="008460C6" w:rsidP="00513FAC">
            <w:pPr>
              <w:spacing w:line="200" w:lineRule="exact"/>
              <w:ind w:left="57"/>
              <w:jc w:val="center"/>
              <w:rPr>
                <w:sz w:val="20"/>
              </w:rPr>
            </w:pPr>
            <w:r w:rsidRPr="005C7D15">
              <w:rPr>
                <w:sz w:val="20"/>
              </w:rPr>
              <w:t>A. D</w:t>
            </w:r>
            <w:r w:rsidRPr="005C7D15">
              <w:rPr>
                <w:sz w:val="20"/>
                <w:lang w:bidi="he-IL"/>
              </w:rPr>
              <w:t>afna</w:t>
            </w:r>
          </w:p>
          <w:p w14:paraId="183266FE" w14:textId="5013766F" w:rsidR="008460C6" w:rsidRPr="0020502A" w:rsidRDefault="00B96546" w:rsidP="00513FAC">
            <w:pPr>
              <w:spacing w:line="200" w:lineRule="exact"/>
              <w:ind w:left="57"/>
              <w:jc w:val="center"/>
              <w:rPr>
                <w:sz w:val="20"/>
              </w:rPr>
            </w:pPr>
            <w:r>
              <w:rPr>
                <w:sz w:val="20"/>
              </w:rPr>
              <w:t>Director</w:t>
            </w:r>
          </w:p>
        </w:tc>
      </w:tr>
    </w:tbl>
    <w:p w14:paraId="213E3B35" w14:textId="799CB666" w:rsidR="00802D81" w:rsidRPr="007340BB" w:rsidRDefault="00802D81" w:rsidP="00802D81">
      <w:pPr>
        <w:rPr>
          <w:sz w:val="20"/>
        </w:rPr>
        <w:sectPr w:rsidR="00802D81" w:rsidRPr="007340BB" w:rsidSect="00593E8F">
          <w:headerReference w:type="default" r:id="rId17"/>
          <w:footerReference w:type="default" r:id="rId18"/>
          <w:endnotePr>
            <w:numFmt w:val="lowerLetter"/>
          </w:endnotePr>
          <w:type w:val="nextColumn"/>
          <w:pgSz w:w="11906" w:h="16838"/>
          <w:pgMar w:top="1134" w:right="1134" w:bottom="1134" w:left="1134" w:header="567" w:footer="567" w:gutter="0"/>
          <w:paperSrc w:first="15" w:other="15"/>
          <w:cols w:space="720"/>
          <w:bidi/>
          <w:docGrid w:linePitch="326"/>
        </w:sectPr>
      </w:pPr>
    </w:p>
    <w:p w14:paraId="7E1F7152" w14:textId="77777777" w:rsidR="00A7052A" w:rsidRDefault="00A7052A" w:rsidP="004A3C21">
      <w:pPr>
        <w:rPr>
          <w:rStyle w:val="Koteret"/>
          <w:b w:val="0"/>
          <w:bCs/>
          <w:i/>
          <w:iCs/>
        </w:rPr>
      </w:pPr>
    </w:p>
    <w:p w14:paraId="174B5559" w14:textId="77777777" w:rsidR="00C35D07" w:rsidRPr="00F02921" w:rsidRDefault="00C35D07" w:rsidP="004A3C21">
      <w:pPr>
        <w:rPr>
          <w:rStyle w:val="Koteret"/>
          <w:b w:val="0"/>
          <w:bCs/>
          <w:i/>
          <w:iCs/>
        </w:rPr>
      </w:pPr>
      <w:r w:rsidRPr="00F02921">
        <w:rPr>
          <w:rStyle w:val="Koteret"/>
          <w:b w:val="0"/>
          <w:bCs/>
          <w:i/>
          <w:iCs/>
        </w:rPr>
        <w:t>In thousands of Euros</w:t>
      </w:r>
    </w:p>
    <w:tbl>
      <w:tblPr>
        <w:tblW w:w="10138" w:type="dxa"/>
        <w:tblLayout w:type="fixed"/>
        <w:tblLook w:val="06A0" w:firstRow="1" w:lastRow="0" w:firstColumn="1" w:lastColumn="0" w:noHBand="1" w:noVBand="1"/>
        <w:tblCaption w:val="AHR01"/>
        <w:tblDescription w:val="Consolidated statement of financial position "/>
      </w:tblPr>
      <w:tblGrid>
        <w:gridCol w:w="5626"/>
        <w:gridCol w:w="880"/>
        <w:gridCol w:w="1210"/>
        <w:gridCol w:w="1211"/>
        <w:gridCol w:w="1211"/>
      </w:tblGrid>
      <w:tr w:rsidR="00C74678" w:rsidRPr="00866299" w14:paraId="7770A68E" w14:textId="77777777" w:rsidTr="006909F2">
        <w:trPr>
          <w:cantSplit/>
          <w:trHeight w:val="168"/>
          <w:tblHeader/>
        </w:trPr>
        <w:tc>
          <w:tcPr>
            <w:tcW w:w="5626" w:type="dxa"/>
            <w:shd w:val="clear" w:color="auto" w:fill="auto"/>
            <w:vAlign w:val="bottom"/>
            <w:hideMark/>
          </w:tcPr>
          <w:p w14:paraId="4015E2DE" w14:textId="77777777" w:rsidR="00C74678" w:rsidRPr="00866299" w:rsidRDefault="00C74678" w:rsidP="00C74678">
            <w:pPr>
              <w:spacing w:before="40"/>
              <w:rPr>
                <w:rFonts w:asciiTheme="majorBidi" w:eastAsia="Arial" w:hAnsiTheme="majorBidi" w:cstheme="majorBidi"/>
                <w:sz w:val="20"/>
              </w:rPr>
            </w:pPr>
            <w:bookmarkStart w:id="10" w:name="Title_4" w:colFirst="0" w:colLast="0"/>
          </w:p>
        </w:tc>
        <w:tc>
          <w:tcPr>
            <w:tcW w:w="880" w:type="dxa"/>
            <w:shd w:val="clear" w:color="auto" w:fill="auto"/>
            <w:vAlign w:val="bottom"/>
            <w:hideMark/>
          </w:tcPr>
          <w:p w14:paraId="22AD2695" w14:textId="77777777" w:rsidR="00C74678" w:rsidRPr="00866299" w:rsidRDefault="00C74678" w:rsidP="00C74678">
            <w:pPr>
              <w:pBdr>
                <w:bottom w:val="single" w:sz="4" w:space="0" w:color="000000"/>
              </w:pBdr>
              <w:spacing w:before="40"/>
              <w:jc w:val="center"/>
              <w:rPr>
                <w:rFonts w:asciiTheme="majorBidi" w:hAnsiTheme="majorBidi" w:cstheme="majorBidi"/>
                <w:b/>
                <w:bCs/>
                <w:sz w:val="18"/>
                <w:szCs w:val="18"/>
              </w:rPr>
            </w:pPr>
            <w:r w:rsidRPr="00866299">
              <w:rPr>
                <w:rFonts w:asciiTheme="majorBidi" w:hAnsiTheme="majorBidi" w:cstheme="majorBidi"/>
                <w:b/>
                <w:bCs/>
                <w:color w:val="000000"/>
                <w:sz w:val="18"/>
                <w:szCs w:val="18"/>
              </w:rPr>
              <w:t>Note</w:t>
            </w:r>
          </w:p>
        </w:tc>
        <w:tc>
          <w:tcPr>
            <w:tcW w:w="1210" w:type="dxa"/>
            <w:shd w:val="clear" w:color="auto" w:fill="auto"/>
            <w:vAlign w:val="bottom"/>
            <w:hideMark/>
          </w:tcPr>
          <w:p w14:paraId="67ADE3FD" w14:textId="2C16269E" w:rsidR="00C74678" w:rsidRPr="00866299" w:rsidRDefault="00C74678" w:rsidP="00C74678">
            <w:pPr>
              <w:pBdr>
                <w:bottom w:val="single" w:sz="4" w:space="0" w:color="000000"/>
              </w:pBdr>
              <w:bidi/>
              <w:spacing w:before="40"/>
              <w:ind w:left="57"/>
              <w:jc w:val="center"/>
              <w:rPr>
                <w:rFonts w:asciiTheme="majorBidi" w:hAnsiTheme="majorBidi" w:cstheme="majorBidi"/>
                <w:b/>
                <w:bCs/>
                <w:sz w:val="18"/>
                <w:szCs w:val="18"/>
                <w:lang w:bidi="he-IL"/>
              </w:rPr>
            </w:pPr>
            <w:r>
              <w:rPr>
                <w:rFonts w:asciiTheme="majorBidi" w:hAnsiTheme="majorBidi" w:cstheme="majorBidi"/>
                <w:b/>
                <w:bCs/>
                <w:color w:val="000000"/>
                <w:sz w:val="18"/>
                <w:szCs w:val="18"/>
                <w:rtl/>
              </w:rPr>
              <w:t>202</w:t>
            </w:r>
            <w:r>
              <w:rPr>
                <w:rFonts w:asciiTheme="majorBidi" w:hAnsiTheme="majorBidi" w:cstheme="majorBidi" w:hint="cs"/>
                <w:b/>
                <w:bCs/>
                <w:color w:val="000000"/>
                <w:sz w:val="18"/>
                <w:szCs w:val="18"/>
                <w:rtl/>
                <w:lang w:bidi="he-IL"/>
              </w:rPr>
              <w:t>4</w:t>
            </w:r>
          </w:p>
        </w:tc>
        <w:tc>
          <w:tcPr>
            <w:tcW w:w="1211" w:type="dxa"/>
            <w:shd w:val="clear" w:color="auto" w:fill="auto"/>
            <w:vAlign w:val="bottom"/>
            <w:hideMark/>
          </w:tcPr>
          <w:p w14:paraId="15105427" w14:textId="1D275893" w:rsidR="00C74678" w:rsidRPr="00F17A8B" w:rsidRDefault="00C74678" w:rsidP="00C74678">
            <w:pPr>
              <w:pBdr>
                <w:bottom w:val="single" w:sz="4" w:space="0" w:color="000000"/>
              </w:pBdr>
              <w:bidi/>
              <w:spacing w:before="40"/>
              <w:ind w:left="57"/>
              <w:jc w:val="center"/>
              <w:rPr>
                <w:rFonts w:asciiTheme="majorBidi" w:hAnsiTheme="majorBidi" w:cstheme="majorBidi"/>
                <w:b/>
                <w:bCs/>
                <w:sz w:val="20"/>
              </w:rPr>
            </w:pPr>
            <w:r>
              <w:rPr>
                <w:rFonts w:asciiTheme="majorBidi" w:hAnsiTheme="majorBidi" w:cstheme="majorBidi"/>
                <w:b/>
                <w:bCs/>
                <w:color w:val="000000"/>
                <w:sz w:val="18"/>
                <w:szCs w:val="18"/>
                <w:rtl/>
              </w:rPr>
              <w:t>2023</w:t>
            </w:r>
          </w:p>
        </w:tc>
        <w:tc>
          <w:tcPr>
            <w:tcW w:w="1211" w:type="dxa"/>
            <w:shd w:val="clear" w:color="auto" w:fill="auto"/>
            <w:hideMark/>
          </w:tcPr>
          <w:p w14:paraId="2E791D95" w14:textId="37E500A9" w:rsidR="00C74678" w:rsidRPr="009034AA" w:rsidRDefault="00C74678" w:rsidP="00C74678">
            <w:pPr>
              <w:pBdr>
                <w:bottom w:val="single" w:sz="4" w:space="0" w:color="000000"/>
              </w:pBdr>
              <w:bidi/>
              <w:spacing w:before="40"/>
              <w:ind w:left="57"/>
              <w:jc w:val="center"/>
              <w:rPr>
                <w:rFonts w:asciiTheme="majorBidi" w:hAnsiTheme="majorBidi" w:cstheme="majorBidi"/>
                <w:b/>
                <w:bCs/>
                <w:sz w:val="18"/>
                <w:szCs w:val="18"/>
              </w:rPr>
            </w:pPr>
            <w:r>
              <w:rPr>
                <w:b/>
                <w:bCs/>
                <w:sz w:val="18"/>
                <w:szCs w:val="18"/>
                <w:rtl/>
              </w:rPr>
              <w:t>2022</w:t>
            </w:r>
          </w:p>
        </w:tc>
      </w:tr>
      <w:bookmarkEnd w:id="10"/>
      <w:tr w:rsidR="00113E21" w:rsidRPr="00866299" w14:paraId="612975D2" w14:textId="77777777" w:rsidTr="006909F2">
        <w:trPr>
          <w:trHeight w:val="283"/>
        </w:trPr>
        <w:tc>
          <w:tcPr>
            <w:tcW w:w="5626" w:type="dxa"/>
            <w:shd w:val="clear" w:color="auto" w:fill="auto"/>
            <w:vAlign w:val="bottom"/>
            <w:hideMark/>
          </w:tcPr>
          <w:p w14:paraId="4538A52F" w14:textId="77777777" w:rsidR="00113E21" w:rsidRDefault="00113E21" w:rsidP="00113E21">
            <w:pPr>
              <w:spacing w:before="40"/>
              <w:rPr>
                <w:rFonts w:asciiTheme="majorBidi" w:hAnsiTheme="majorBidi" w:cstheme="majorBidi"/>
                <w:color w:val="000000"/>
                <w:sz w:val="20"/>
              </w:rPr>
            </w:pPr>
          </w:p>
          <w:p w14:paraId="34A30C7F" w14:textId="6ACC9337" w:rsidR="00113E21" w:rsidRPr="00866299" w:rsidRDefault="00113E21" w:rsidP="00113E21">
            <w:pPr>
              <w:spacing w:before="40"/>
              <w:rPr>
                <w:rFonts w:asciiTheme="majorBidi" w:hAnsiTheme="majorBidi" w:cstheme="majorBidi"/>
                <w:sz w:val="20"/>
                <w:lang w:bidi="he-IL"/>
              </w:rPr>
            </w:pPr>
            <w:r w:rsidRPr="00866299">
              <w:rPr>
                <w:rFonts w:asciiTheme="majorBidi" w:hAnsiTheme="majorBidi" w:cstheme="majorBidi"/>
                <w:color w:val="000000"/>
                <w:sz w:val="20"/>
              </w:rPr>
              <w:t>Gross rental income</w:t>
            </w:r>
          </w:p>
        </w:tc>
        <w:tc>
          <w:tcPr>
            <w:tcW w:w="880" w:type="dxa"/>
            <w:shd w:val="clear" w:color="auto" w:fill="auto"/>
            <w:noWrap/>
            <w:vAlign w:val="bottom"/>
            <w:hideMark/>
          </w:tcPr>
          <w:p w14:paraId="6E2340D2" w14:textId="488E8509" w:rsidR="00113E21" w:rsidRPr="002722B5" w:rsidRDefault="00113E21" w:rsidP="00113E21">
            <w:pPr>
              <w:spacing w:before="40"/>
              <w:jc w:val="right"/>
              <w:rPr>
                <w:rFonts w:asciiTheme="majorBidi" w:hAnsiTheme="majorBidi" w:cstheme="majorBidi"/>
                <w:sz w:val="20"/>
              </w:rPr>
            </w:pPr>
            <w:r>
              <w:rPr>
                <w:rFonts w:asciiTheme="majorBidi" w:hAnsiTheme="majorBidi" w:cstheme="majorBidi"/>
                <w:color w:val="000000"/>
                <w:sz w:val="20"/>
              </w:rPr>
              <w:t>15</w:t>
            </w:r>
          </w:p>
        </w:tc>
        <w:tc>
          <w:tcPr>
            <w:tcW w:w="1210" w:type="dxa"/>
            <w:shd w:val="clear" w:color="auto" w:fill="auto"/>
            <w:noWrap/>
            <w:vAlign w:val="bottom"/>
          </w:tcPr>
          <w:p w14:paraId="597AAC94" w14:textId="75FCD7F5" w:rsidR="00113E21" w:rsidRPr="00113E21" w:rsidRDefault="00113E21" w:rsidP="00516397">
            <w:pPr>
              <w:spacing w:before="40"/>
              <w:jc w:val="right"/>
              <w:rPr>
                <w:sz w:val="20"/>
              </w:rPr>
            </w:pPr>
            <w:r w:rsidRPr="00113E21">
              <w:rPr>
                <w:sz w:val="20"/>
              </w:rPr>
              <w:t>200,552</w:t>
            </w:r>
          </w:p>
        </w:tc>
        <w:tc>
          <w:tcPr>
            <w:tcW w:w="1211" w:type="dxa"/>
            <w:shd w:val="clear" w:color="auto" w:fill="auto"/>
            <w:noWrap/>
            <w:vAlign w:val="bottom"/>
          </w:tcPr>
          <w:p w14:paraId="523B8002" w14:textId="2980B3AE" w:rsidR="00113E21" w:rsidRPr="00A17F95" w:rsidRDefault="00113E21" w:rsidP="00113E21">
            <w:pPr>
              <w:spacing w:before="40"/>
              <w:jc w:val="right"/>
              <w:rPr>
                <w:sz w:val="20"/>
              </w:rPr>
            </w:pPr>
            <w:r w:rsidRPr="0095659A">
              <w:rPr>
                <w:sz w:val="20"/>
              </w:rPr>
              <w:t>170,142</w:t>
            </w:r>
          </w:p>
        </w:tc>
        <w:tc>
          <w:tcPr>
            <w:tcW w:w="1211" w:type="dxa"/>
            <w:shd w:val="clear" w:color="auto" w:fill="auto"/>
            <w:noWrap/>
            <w:vAlign w:val="bottom"/>
          </w:tcPr>
          <w:p w14:paraId="4FAAA930" w14:textId="646C8139" w:rsidR="00113E21" w:rsidRPr="009034AA" w:rsidRDefault="00113E21" w:rsidP="00113E21">
            <w:pPr>
              <w:spacing w:before="40"/>
              <w:jc w:val="right"/>
              <w:rPr>
                <w:rFonts w:asciiTheme="majorBidi" w:hAnsiTheme="majorBidi" w:cstheme="majorBidi"/>
                <w:sz w:val="20"/>
              </w:rPr>
            </w:pPr>
            <w:r w:rsidRPr="00A17F95">
              <w:rPr>
                <w:sz w:val="20"/>
              </w:rPr>
              <w:t>143,554</w:t>
            </w:r>
          </w:p>
        </w:tc>
      </w:tr>
      <w:tr w:rsidR="00113E21" w:rsidRPr="00866299" w14:paraId="50FE1A7B" w14:textId="77777777" w:rsidTr="006909F2">
        <w:trPr>
          <w:trHeight w:val="283"/>
        </w:trPr>
        <w:tc>
          <w:tcPr>
            <w:tcW w:w="5626" w:type="dxa"/>
            <w:shd w:val="clear" w:color="auto" w:fill="auto"/>
            <w:vAlign w:val="bottom"/>
            <w:hideMark/>
          </w:tcPr>
          <w:p w14:paraId="0E99DBE6" w14:textId="77777777" w:rsidR="00113E21" w:rsidRPr="00866299" w:rsidRDefault="00113E21" w:rsidP="00113E21">
            <w:pPr>
              <w:spacing w:before="40"/>
              <w:rPr>
                <w:rFonts w:asciiTheme="majorBidi" w:hAnsiTheme="majorBidi" w:cstheme="majorBidi"/>
                <w:sz w:val="20"/>
              </w:rPr>
            </w:pPr>
            <w:r w:rsidRPr="00866299">
              <w:rPr>
                <w:rFonts w:asciiTheme="majorBidi" w:hAnsiTheme="majorBidi" w:cstheme="majorBidi"/>
                <w:color w:val="000000"/>
                <w:sz w:val="20"/>
              </w:rPr>
              <w:t>Service charge income</w:t>
            </w:r>
          </w:p>
        </w:tc>
        <w:tc>
          <w:tcPr>
            <w:tcW w:w="880" w:type="dxa"/>
            <w:shd w:val="clear" w:color="auto" w:fill="auto"/>
            <w:noWrap/>
            <w:vAlign w:val="bottom"/>
            <w:hideMark/>
          </w:tcPr>
          <w:p w14:paraId="3F95BB88" w14:textId="77777777" w:rsidR="00113E21" w:rsidRPr="002722B5" w:rsidRDefault="00113E21" w:rsidP="00113E21">
            <w:pPr>
              <w:spacing w:before="40"/>
              <w:jc w:val="right"/>
              <w:rPr>
                <w:rFonts w:asciiTheme="majorBidi" w:hAnsiTheme="majorBidi" w:cstheme="majorBidi"/>
                <w:sz w:val="20"/>
              </w:rPr>
            </w:pPr>
          </w:p>
        </w:tc>
        <w:tc>
          <w:tcPr>
            <w:tcW w:w="1210" w:type="dxa"/>
            <w:shd w:val="clear" w:color="auto" w:fill="auto"/>
            <w:noWrap/>
            <w:vAlign w:val="bottom"/>
          </w:tcPr>
          <w:p w14:paraId="6E4813FD" w14:textId="133ADC44" w:rsidR="00113E21" w:rsidRPr="00113E21" w:rsidRDefault="00113E21" w:rsidP="00516397">
            <w:pPr>
              <w:spacing w:before="40"/>
              <w:jc w:val="right"/>
              <w:rPr>
                <w:sz w:val="20"/>
              </w:rPr>
            </w:pPr>
            <w:r w:rsidRPr="00113E21">
              <w:rPr>
                <w:sz w:val="20"/>
              </w:rPr>
              <w:t>69,273</w:t>
            </w:r>
          </w:p>
        </w:tc>
        <w:tc>
          <w:tcPr>
            <w:tcW w:w="1211" w:type="dxa"/>
            <w:shd w:val="clear" w:color="auto" w:fill="auto"/>
            <w:noWrap/>
            <w:vAlign w:val="bottom"/>
          </w:tcPr>
          <w:p w14:paraId="5E33CAF8" w14:textId="31A65913" w:rsidR="00113E21" w:rsidRPr="00A17F95" w:rsidRDefault="00113E21" w:rsidP="00113E21">
            <w:pPr>
              <w:spacing w:before="40"/>
              <w:jc w:val="right"/>
              <w:rPr>
                <w:rFonts w:asciiTheme="majorBidi" w:hAnsiTheme="majorBidi" w:cstheme="majorBidi"/>
                <w:sz w:val="20"/>
              </w:rPr>
            </w:pPr>
            <w:r w:rsidRPr="0095659A">
              <w:rPr>
                <w:sz w:val="20"/>
              </w:rPr>
              <w:t>58,950</w:t>
            </w:r>
          </w:p>
        </w:tc>
        <w:tc>
          <w:tcPr>
            <w:tcW w:w="1211" w:type="dxa"/>
            <w:shd w:val="clear" w:color="auto" w:fill="auto"/>
            <w:noWrap/>
            <w:vAlign w:val="bottom"/>
          </w:tcPr>
          <w:p w14:paraId="03FE61E4" w14:textId="75944176" w:rsidR="00113E21" w:rsidRPr="009034AA" w:rsidRDefault="00113E21" w:rsidP="00113E21">
            <w:pPr>
              <w:spacing w:before="40"/>
              <w:jc w:val="right"/>
              <w:rPr>
                <w:rFonts w:asciiTheme="majorBidi" w:hAnsiTheme="majorBidi" w:cstheme="majorBidi"/>
                <w:sz w:val="20"/>
              </w:rPr>
            </w:pPr>
            <w:r w:rsidRPr="00A17F95">
              <w:rPr>
                <w:sz w:val="20"/>
              </w:rPr>
              <w:t>65,002</w:t>
            </w:r>
          </w:p>
        </w:tc>
      </w:tr>
      <w:tr w:rsidR="00113E21" w:rsidRPr="00866299" w14:paraId="6D2A0C73" w14:textId="77777777" w:rsidTr="006909F2">
        <w:trPr>
          <w:trHeight w:val="283"/>
        </w:trPr>
        <w:tc>
          <w:tcPr>
            <w:tcW w:w="5626" w:type="dxa"/>
            <w:shd w:val="clear" w:color="auto" w:fill="auto"/>
            <w:vAlign w:val="bottom"/>
            <w:hideMark/>
          </w:tcPr>
          <w:p w14:paraId="54890EA6" w14:textId="3F3E2C08" w:rsidR="00113E21" w:rsidRPr="00866299" w:rsidRDefault="00113E21" w:rsidP="00113E21">
            <w:pPr>
              <w:spacing w:before="40"/>
              <w:rPr>
                <w:rFonts w:asciiTheme="majorBidi" w:hAnsiTheme="majorBidi" w:cstheme="majorBidi"/>
                <w:sz w:val="20"/>
              </w:rPr>
            </w:pPr>
            <w:r w:rsidRPr="00866299">
              <w:rPr>
                <w:rFonts w:asciiTheme="majorBidi" w:hAnsiTheme="majorBidi" w:cstheme="majorBidi"/>
                <w:color w:val="000000"/>
                <w:sz w:val="20"/>
              </w:rPr>
              <w:t>Service charge expenses</w:t>
            </w:r>
          </w:p>
        </w:tc>
        <w:tc>
          <w:tcPr>
            <w:tcW w:w="880" w:type="dxa"/>
            <w:shd w:val="clear" w:color="auto" w:fill="auto"/>
            <w:noWrap/>
            <w:vAlign w:val="bottom"/>
            <w:hideMark/>
          </w:tcPr>
          <w:p w14:paraId="2903E0B4" w14:textId="705725B5" w:rsidR="00113E21" w:rsidRPr="002722B5" w:rsidRDefault="00113E21" w:rsidP="00113E21">
            <w:pPr>
              <w:spacing w:before="40"/>
              <w:jc w:val="right"/>
              <w:rPr>
                <w:rFonts w:asciiTheme="majorBidi" w:hAnsiTheme="majorBidi" w:cstheme="majorBidi"/>
                <w:sz w:val="20"/>
              </w:rPr>
            </w:pPr>
            <w:r>
              <w:rPr>
                <w:rFonts w:asciiTheme="majorBidi" w:hAnsiTheme="majorBidi" w:cstheme="majorBidi"/>
                <w:sz w:val="20"/>
              </w:rPr>
              <w:t>16</w:t>
            </w:r>
          </w:p>
        </w:tc>
        <w:tc>
          <w:tcPr>
            <w:tcW w:w="1210" w:type="dxa"/>
            <w:shd w:val="clear" w:color="auto" w:fill="auto"/>
            <w:noWrap/>
            <w:vAlign w:val="bottom"/>
          </w:tcPr>
          <w:p w14:paraId="14D03089" w14:textId="5420CA55" w:rsidR="00113E21" w:rsidRPr="00113E21" w:rsidRDefault="00113E21" w:rsidP="00516397">
            <w:pPr>
              <w:pBdr>
                <w:bottom w:val="single" w:sz="4" w:space="0" w:color="000000"/>
              </w:pBdr>
              <w:spacing w:before="40"/>
              <w:jc w:val="right"/>
              <w:rPr>
                <w:sz w:val="20"/>
              </w:rPr>
            </w:pPr>
            <w:r w:rsidRPr="00113E21">
              <w:rPr>
                <w:sz w:val="20"/>
              </w:rPr>
              <w:t>(74,601)</w:t>
            </w:r>
          </w:p>
        </w:tc>
        <w:tc>
          <w:tcPr>
            <w:tcW w:w="1211" w:type="dxa"/>
            <w:shd w:val="clear" w:color="auto" w:fill="auto"/>
            <w:noWrap/>
            <w:vAlign w:val="bottom"/>
          </w:tcPr>
          <w:p w14:paraId="11E2B4C4" w14:textId="53A04301" w:rsidR="00113E21" w:rsidRPr="00A17F95" w:rsidRDefault="00113E21" w:rsidP="00113E21">
            <w:pPr>
              <w:pBdr>
                <w:bottom w:val="single" w:sz="4" w:space="0" w:color="000000"/>
              </w:pBdr>
              <w:spacing w:before="40"/>
              <w:jc w:val="right"/>
              <w:rPr>
                <w:rFonts w:asciiTheme="majorBidi" w:hAnsiTheme="majorBidi" w:cstheme="majorBidi"/>
                <w:sz w:val="20"/>
              </w:rPr>
            </w:pPr>
            <w:r w:rsidRPr="0095659A">
              <w:rPr>
                <w:sz w:val="20"/>
              </w:rPr>
              <w:t>(63,410)</w:t>
            </w:r>
          </w:p>
        </w:tc>
        <w:tc>
          <w:tcPr>
            <w:tcW w:w="1211" w:type="dxa"/>
            <w:shd w:val="clear" w:color="auto" w:fill="auto"/>
            <w:noWrap/>
            <w:vAlign w:val="bottom"/>
          </w:tcPr>
          <w:p w14:paraId="413D7122" w14:textId="530543FA" w:rsidR="00113E21" w:rsidRPr="009034AA" w:rsidRDefault="00113E21" w:rsidP="00113E21">
            <w:pPr>
              <w:pBdr>
                <w:bottom w:val="single" w:sz="4" w:space="0" w:color="000000"/>
              </w:pBdr>
              <w:spacing w:before="40"/>
              <w:jc w:val="right"/>
              <w:rPr>
                <w:rFonts w:asciiTheme="majorBidi" w:hAnsiTheme="majorBidi" w:cstheme="majorBidi"/>
                <w:sz w:val="20"/>
              </w:rPr>
            </w:pPr>
            <w:r w:rsidRPr="00A17F95">
              <w:rPr>
                <w:sz w:val="20"/>
              </w:rPr>
              <w:t>(70,891)</w:t>
            </w:r>
          </w:p>
        </w:tc>
      </w:tr>
      <w:tr w:rsidR="00113E21" w:rsidRPr="00866299" w14:paraId="53EBF4EB" w14:textId="77777777" w:rsidTr="006909F2">
        <w:trPr>
          <w:trHeight w:val="283"/>
        </w:trPr>
        <w:tc>
          <w:tcPr>
            <w:tcW w:w="5626" w:type="dxa"/>
            <w:shd w:val="clear" w:color="auto" w:fill="auto"/>
            <w:vAlign w:val="bottom"/>
            <w:hideMark/>
          </w:tcPr>
          <w:p w14:paraId="012C9596" w14:textId="77777777" w:rsidR="00113E21" w:rsidRPr="00866299" w:rsidRDefault="00113E21" w:rsidP="00113E21">
            <w:pPr>
              <w:spacing w:before="40"/>
              <w:rPr>
                <w:rFonts w:asciiTheme="majorBidi" w:hAnsiTheme="majorBidi" w:cstheme="majorBidi"/>
                <w:b/>
                <w:bCs/>
                <w:sz w:val="20"/>
                <w:lang w:bidi="he-IL"/>
              </w:rPr>
            </w:pPr>
            <w:r w:rsidRPr="00866299">
              <w:rPr>
                <w:rFonts w:asciiTheme="majorBidi" w:hAnsiTheme="majorBidi" w:cstheme="majorBidi"/>
                <w:b/>
                <w:bCs/>
                <w:color w:val="000000"/>
                <w:sz w:val="20"/>
              </w:rPr>
              <w:t>Net rental and related income</w:t>
            </w:r>
          </w:p>
        </w:tc>
        <w:tc>
          <w:tcPr>
            <w:tcW w:w="880" w:type="dxa"/>
            <w:shd w:val="clear" w:color="auto" w:fill="auto"/>
            <w:noWrap/>
            <w:vAlign w:val="bottom"/>
            <w:hideMark/>
          </w:tcPr>
          <w:p w14:paraId="26734E12" w14:textId="77777777" w:rsidR="00113E21" w:rsidRPr="002722B5" w:rsidRDefault="00113E21" w:rsidP="00113E21">
            <w:pPr>
              <w:spacing w:before="40"/>
              <w:jc w:val="right"/>
              <w:rPr>
                <w:rFonts w:asciiTheme="majorBidi" w:hAnsiTheme="majorBidi" w:cstheme="majorBidi"/>
                <w:sz w:val="20"/>
              </w:rPr>
            </w:pPr>
          </w:p>
        </w:tc>
        <w:tc>
          <w:tcPr>
            <w:tcW w:w="1210" w:type="dxa"/>
            <w:shd w:val="clear" w:color="auto" w:fill="auto"/>
            <w:noWrap/>
            <w:vAlign w:val="bottom"/>
          </w:tcPr>
          <w:p w14:paraId="3086D352" w14:textId="3C27B385" w:rsidR="00113E21" w:rsidRPr="00113E21" w:rsidRDefault="00113E21" w:rsidP="00516397">
            <w:pPr>
              <w:pBdr>
                <w:bottom w:val="single" w:sz="4" w:space="0" w:color="000000"/>
              </w:pBdr>
              <w:spacing w:before="40"/>
              <w:jc w:val="right"/>
              <w:rPr>
                <w:sz w:val="20"/>
              </w:rPr>
            </w:pPr>
            <w:r w:rsidRPr="00113E21">
              <w:rPr>
                <w:sz w:val="20"/>
              </w:rPr>
              <w:t>195,224</w:t>
            </w:r>
          </w:p>
        </w:tc>
        <w:tc>
          <w:tcPr>
            <w:tcW w:w="1211" w:type="dxa"/>
            <w:shd w:val="clear" w:color="auto" w:fill="auto"/>
            <w:noWrap/>
            <w:vAlign w:val="bottom"/>
          </w:tcPr>
          <w:p w14:paraId="3F65BA68" w14:textId="0C0DB334" w:rsidR="00113E21" w:rsidRPr="00A17F95" w:rsidRDefault="00113E21" w:rsidP="00113E21">
            <w:pPr>
              <w:pBdr>
                <w:bottom w:val="single" w:sz="4" w:space="0" w:color="000000"/>
              </w:pBdr>
              <w:spacing w:before="40"/>
              <w:jc w:val="right"/>
              <w:rPr>
                <w:rFonts w:asciiTheme="majorBidi" w:hAnsiTheme="majorBidi" w:cstheme="majorBidi"/>
                <w:sz w:val="20"/>
              </w:rPr>
            </w:pPr>
            <w:r w:rsidRPr="0020502A">
              <w:rPr>
                <w:sz w:val="20"/>
              </w:rPr>
              <w:t>165,682</w:t>
            </w:r>
          </w:p>
        </w:tc>
        <w:tc>
          <w:tcPr>
            <w:tcW w:w="1211" w:type="dxa"/>
            <w:shd w:val="clear" w:color="auto" w:fill="auto"/>
            <w:noWrap/>
            <w:vAlign w:val="bottom"/>
          </w:tcPr>
          <w:p w14:paraId="3CAD0029" w14:textId="1BC7A8BB" w:rsidR="00113E21" w:rsidRPr="009034AA" w:rsidRDefault="00113E21" w:rsidP="00113E21">
            <w:pPr>
              <w:pBdr>
                <w:bottom w:val="single" w:sz="4" w:space="0" w:color="000000"/>
              </w:pBdr>
              <w:spacing w:before="40"/>
              <w:jc w:val="right"/>
              <w:rPr>
                <w:rFonts w:asciiTheme="majorBidi" w:hAnsiTheme="majorBidi" w:cstheme="majorBidi"/>
                <w:sz w:val="20"/>
              </w:rPr>
            </w:pPr>
            <w:r w:rsidRPr="00A17F95">
              <w:rPr>
                <w:sz w:val="20"/>
              </w:rPr>
              <w:t>137,665</w:t>
            </w:r>
          </w:p>
        </w:tc>
      </w:tr>
      <w:tr w:rsidR="00113E21" w:rsidRPr="00866299" w14:paraId="48E5545F" w14:textId="77777777" w:rsidTr="006909F2">
        <w:trPr>
          <w:trHeight w:val="283"/>
        </w:trPr>
        <w:tc>
          <w:tcPr>
            <w:tcW w:w="5626" w:type="dxa"/>
            <w:shd w:val="clear" w:color="auto" w:fill="auto"/>
            <w:vAlign w:val="bottom"/>
            <w:hideMark/>
          </w:tcPr>
          <w:p w14:paraId="65067F94" w14:textId="77777777" w:rsidR="00113E21" w:rsidRDefault="00113E21" w:rsidP="00113E21">
            <w:pPr>
              <w:spacing w:before="40"/>
              <w:rPr>
                <w:rFonts w:asciiTheme="majorBidi" w:hAnsiTheme="majorBidi" w:cstheme="majorBidi"/>
                <w:color w:val="000000"/>
                <w:sz w:val="20"/>
              </w:rPr>
            </w:pPr>
          </w:p>
          <w:p w14:paraId="1E1FB4EA" w14:textId="00D77740" w:rsidR="00113E21" w:rsidRPr="00866299" w:rsidRDefault="00113E21" w:rsidP="00113E21">
            <w:pPr>
              <w:spacing w:before="40"/>
              <w:rPr>
                <w:rFonts w:asciiTheme="majorBidi" w:hAnsiTheme="majorBidi" w:cstheme="majorBidi"/>
                <w:sz w:val="20"/>
                <w:lang w:bidi="he-IL"/>
              </w:rPr>
            </w:pPr>
            <w:r w:rsidRPr="00866299">
              <w:rPr>
                <w:rFonts w:asciiTheme="majorBidi" w:hAnsiTheme="majorBidi" w:cstheme="majorBidi"/>
                <w:color w:val="000000"/>
                <w:sz w:val="20"/>
              </w:rPr>
              <w:t>Proceeds from sale of trading property</w:t>
            </w:r>
          </w:p>
        </w:tc>
        <w:tc>
          <w:tcPr>
            <w:tcW w:w="880" w:type="dxa"/>
            <w:shd w:val="clear" w:color="auto" w:fill="auto"/>
            <w:noWrap/>
            <w:vAlign w:val="bottom"/>
            <w:hideMark/>
          </w:tcPr>
          <w:p w14:paraId="416C2ACE" w14:textId="2F6C01CF" w:rsidR="00113E21" w:rsidRPr="002722B5" w:rsidRDefault="00113E21" w:rsidP="00113E21">
            <w:pPr>
              <w:spacing w:before="40"/>
              <w:jc w:val="right"/>
              <w:rPr>
                <w:rFonts w:asciiTheme="majorBidi" w:hAnsiTheme="majorBidi" w:cstheme="majorBidi"/>
                <w:sz w:val="20"/>
              </w:rPr>
            </w:pPr>
          </w:p>
        </w:tc>
        <w:tc>
          <w:tcPr>
            <w:tcW w:w="1210" w:type="dxa"/>
            <w:shd w:val="clear" w:color="auto" w:fill="auto"/>
            <w:noWrap/>
            <w:vAlign w:val="bottom"/>
          </w:tcPr>
          <w:p w14:paraId="6DB30AB5" w14:textId="6A9F2778" w:rsidR="00113E21" w:rsidRPr="00113E21" w:rsidRDefault="00113E21" w:rsidP="00516397">
            <w:pPr>
              <w:spacing w:before="40"/>
              <w:jc w:val="right"/>
              <w:rPr>
                <w:sz w:val="20"/>
              </w:rPr>
            </w:pPr>
            <w:r w:rsidRPr="00113E21">
              <w:rPr>
                <w:sz w:val="20"/>
              </w:rPr>
              <w:t>8,115</w:t>
            </w:r>
          </w:p>
        </w:tc>
        <w:tc>
          <w:tcPr>
            <w:tcW w:w="1211" w:type="dxa"/>
            <w:shd w:val="clear" w:color="auto" w:fill="auto"/>
            <w:noWrap/>
            <w:vAlign w:val="bottom"/>
          </w:tcPr>
          <w:p w14:paraId="08AEB4D9" w14:textId="55A0C920" w:rsidR="00113E21" w:rsidRPr="00A17F95" w:rsidRDefault="00113E21" w:rsidP="00113E21">
            <w:pPr>
              <w:spacing w:before="40"/>
              <w:jc w:val="right"/>
              <w:rPr>
                <w:rFonts w:asciiTheme="majorBidi" w:hAnsiTheme="majorBidi" w:cstheme="majorBidi"/>
                <w:sz w:val="20"/>
              </w:rPr>
            </w:pPr>
            <w:r w:rsidRPr="0095659A">
              <w:rPr>
                <w:sz w:val="20"/>
              </w:rPr>
              <w:t>11,901</w:t>
            </w:r>
          </w:p>
        </w:tc>
        <w:tc>
          <w:tcPr>
            <w:tcW w:w="1211" w:type="dxa"/>
            <w:shd w:val="clear" w:color="auto" w:fill="auto"/>
            <w:noWrap/>
            <w:vAlign w:val="bottom"/>
          </w:tcPr>
          <w:p w14:paraId="315C9C4F" w14:textId="7882880D" w:rsidR="00113E21" w:rsidRPr="009034AA" w:rsidRDefault="00113E21" w:rsidP="00113E21">
            <w:pPr>
              <w:spacing w:before="40"/>
              <w:jc w:val="right"/>
              <w:rPr>
                <w:rFonts w:asciiTheme="majorBidi" w:hAnsiTheme="majorBidi" w:cstheme="majorBidi"/>
                <w:sz w:val="20"/>
              </w:rPr>
            </w:pPr>
            <w:r w:rsidRPr="00A17F95">
              <w:rPr>
                <w:sz w:val="20"/>
              </w:rPr>
              <w:t>20,308</w:t>
            </w:r>
          </w:p>
        </w:tc>
      </w:tr>
      <w:tr w:rsidR="00113E21" w:rsidRPr="00866299" w14:paraId="494560E3" w14:textId="77777777" w:rsidTr="006909F2">
        <w:trPr>
          <w:trHeight w:val="283"/>
        </w:trPr>
        <w:tc>
          <w:tcPr>
            <w:tcW w:w="5626" w:type="dxa"/>
            <w:shd w:val="clear" w:color="auto" w:fill="auto"/>
            <w:vAlign w:val="bottom"/>
            <w:hideMark/>
          </w:tcPr>
          <w:p w14:paraId="20E299E7" w14:textId="77777777" w:rsidR="00113E21" w:rsidRPr="00866299" w:rsidRDefault="00113E21" w:rsidP="00113E21">
            <w:pPr>
              <w:spacing w:before="40"/>
              <w:rPr>
                <w:rFonts w:asciiTheme="majorBidi" w:hAnsiTheme="majorBidi" w:cstheme="majorBidi"/>
                <w:sz w:val="20"/>
              </w:rPr>
            </w:pPr>
            <w:r w:rsidRPr="00866299">
              <w:rPr>
                <w:rFonts w:asciiTheme="majorBidi" w:hAnsiTheme="majorBidi" w:cstheme="majorBidi"/>
                <w:color w:val="000000"/>
                <w:sz w:val="20"/>
              </w:rPr>
              <w:t>Carrying value of trading properties sold</w:t>
            </w:r>
          </w:p>
        </w:tc>
        <w:tc>
          <w:tcPr>
            <w:tcW w:w="880" w:type="dxa"/>
            <w:shd w:val="clear" w:color="auto" w:fill="auto"/>
            <w:noWrap/>
            <w:vAlign w:val="bottom"/>
            <w:hideMark/>
          </w:tcPr>
          <w:p w14:paraId="30370125" w14:textId="77777777" w:rsidR="00113E21" w:rsidRPr="002722B5" w:rsidRDefault="00113E21" w:rsidP="00113E21">
            <w:pPr>
              <w:spacing w:before="40"/>
              <w:jc w:val="right"/>
              <w:rPr>
                <w:rFonts w:asciiTheme="majorBidi" w:hAnsiTheme="majorBidi" w:cstheme="majorBidi"/>
                <w:sz w:val="20"/>
              </w:rPr>
            </w:pPr>
            <w:r w:rsidRPr="002722B5">
              <w:rPr>
                <w:rFonts w:asciiTheme="majorBidi" w:hAnsiTheme="majorBidi" w:cstheme="majorBidi"/>
                <w:color w:val="000000"/>
                <w:sz w:val="20"/>
              </w:rPr>
              <w:t>7</w:t>
            </w:r>
          </w:p>
        </w:tc>
        <w:tc>
          <w:tcPr>
            <w:tcW w:w="1210" w:type="dxa"/>
            <w:shd w:val="clear" w:color="auto" w:fill="auto"/>
            <w:noWrap/>
            <w:vAlign w:val="bottom"/>
          </w:tcPr>
          <w:p w14:paraId="4933B432" w14:textId="76BA14E3" w:rsidR="00113E21" w:rsidRPr="00113E21" w:rsidRDefault="00113E21" w:rsidP="00516397">
            <w:pPr>
              <w:spacing w:before="40"/>
              <w:jc w:val="right"/>
              <w:rPr>
                <w:sz w:val="20"/>
              </w:rPr>
            </w:pPr>
            <w:r w:rsidRPr="00113E21">
              <w:rPr>
                <w:sz w:val="20"/>
              </w:rPr>
              <w:t>(5,338)</w:t>
            </w:r>
          </w:p>
        </w:tc>
        <w:tc>
          <w:tcPr>
            <w:tcW w:w="1211" w:type="dxa"/>
            <w:shd w:val="clear" w:color="auto" w:fill="auto"/>
            <w:noWrap/>
            <w:vAlign w:val="bottom"/>
          </w:tcPr>
          <w:p w14:paraId="5F94AE24" w14:textId="42AA4F89" w:rsidR="00113E21" w:rsidRPr="00A17F95" w:rsidRDefault="00113E21" w:rsidP="00113E21">
            <w:pPr>
              <w:spacing w:before="40"/>
              <w:jc w:val="right"/>
              <w:rPr>
                <w:rFonts w:asciiTheme="majorBidi" w:hAnsiTheme="majorBidi" w:cstheme="majorBidi"/>
                <w:sz w:val="20"/>
              </w:rPr>
            </w:pPr>
            <w:r w:rsidRPr="0095659A">
              <w:rPr>
                <w:sz w:val="20"/>
              </w:rPr>
              <w:t>(8,338)</w:t>
            </w:r>
          </w:p>
        </w:tc>
        <w:tc>
          <w:tcPr>
            <w:tcW w:w="1211" w:type="dxa"/>
            <w:shd w:val="clear" w:color="auto" w:fill="auto"/>
            <w:noWrap/>
            <w:vAlign w:val="bottom"/>
          </w:tcPr>
          <w:p w14:paraId="65E97BF5" w14:textId="70BDEA71" w:rsidR="00113E21" w:rsidRPr="009034AA" w:rsidRDefault="00113E21" w:rsidP="00113E21">
            <w:pPr>
              <w:spacing w:before="40"/>
              <w:jc w:val="right"/>
              <w:rPr>
                <w:rFonts w:asciiTheme="majorBidi" w:hAnsiTheme="majorBidi" w:cstheme="majorBidi"/>
                <w:sz w:val="20"/>
              </w:rPr>
            </w:pPr>
            <w:r w:rsidRPr="00A17F95">
              <w:rPr>
                <w:sz w:val="20"/>
              </w:rPr>
              <w:t>(16,998)</w:t>
            </w:r>
          </w:p>
        </w:tc>
      </w:tr>
      <w:tr w:rsidR="00113E21" w:rsidRPr="00866299" w14:paraId="696CC874" w14:textId="77777777" w:rsidTr="006909F2">
        <w:trPr>
          <w:trHeight w:val="283"/>
        </w:trPr>
        <w:tc>
          <w:tcPr>
            <w:tcW w:w="5626" w:type="dxa"/>
            <w:shd w:val="clear" w:color="auto" w:fill="auto"/>
            <w:vAlign w:val="bottom"/>
            <w:hideMark/>
          </w:tcPr>
          <w:p w14:paraId="05A2BA1D" w14:textId="77777777" w:rsidR="00113E21" w:rsidRPr="00866299" w:rsidRDefault="00113E21" w:rsidP="00113E21">
            <w:pPr>
              <w:spacing w:before="40"/>
              <w:rPr>
                <w:rFonts w:asciiTheme="majorBidi" w:hAnsiTheme="majorBidi" w:cstheme="majorBidi"/>
                <w:sz w:val="20"/>
              </w:rPr>
            </w:pPr>
            <w:r w:rsidRPr="00866299">
              <w:rPr>
                <w:rFonts w:asciiTheme="majorBidi" w:hAnsiTheme="majorBidi" w:cstheme="majorBidi"/>
                <w:color w:val="000000"/>
                <w:sz w:val="20"/>
              </w:rPr>
              <w:t>Write-down of inventory to net realizable value</w:t>
            </w:r>
          </w:p>
        </w:tc>
        <w:tc>
          <w:tcPr>
            <w:tcW w:w="880" w:type="dxa"/>
            <w:shd w:val="clear" w:color="auto" w:fill="auto"/>
            <w:noWrap/>
            <w:vAlign w:val="bottom"/>
            <w:hideMark/>
          </w:tcPr>
          <w:p w14:paraId="4ECA8F40" w14:textId="77777777" w:rsidR="00113E21" w:rsidRPr="002722B5" w:rsidRDefault="00113E21" w:rsidP="00113E21">
            <w:pPr>
              <w:spacing w:before="40"/>
              <w:jc w:val="right"/>
              <w:rPr>
                <w:rFonts w:asciiTheme="majorBidi" w:hAnsiTheme="majorBidi" w:cstheme="majorBidi"/>
                <w:sz w:val="20"/>
              </w:rPr>
            </w:pPr>
            <w:r w:rsidRPr="002722B5">
              <w:rPr>
                <w:rFonts w:asciiTheme="majorBidi" w:hAnsiTheme="majorBidi" w:cstheme="majorBidi"/>
                <w:color w:val="000000"/>
                <w:sz w:val="20"/>
              </w:rPr>
              <w:t>7</w:t>
            </w:r>
          </w:p>
        </w:tc>
        <w:tc>
          <w:tcPr>
            <w:tcW w:w="1210" w:type="dxa"/>
            <w:shd w:val="clear" w:color="auto" w:fill="auto"/>
            <w:noWrap/>
            <w:vAlign w:val="bottom"/>
          </w:tcPr>
          <w:p w14:paraId="4BE6643D" w14:textId="7718C340" w:rsidR="00113E21" w:rsidRPr="00113E21" w:rsidRDefault="00113E21" w:rsidP="00516397">
            <w:pPr>
              <w:pBdr>
                <w:bottom w:val="single" w:sz="4" w:space="1" w:color="auto"/>
              </w:pBdr>
              <w:spacing w:before="40"/>
              <w:jc w:val="right"/>
              <w:rPr>
                <w:sz w:val="20"/>
              </w:rPr>
            </w:pPr>
            <w:r w:rsidRPr="00113E21">
              <w:rPr>
                <w:sz w:val="20"/>
              </w:rPr>
              <w:t>-</w:t>
            </w:r>
          </w:p>
        </w:tc>
        <w:tc>
          <w:tcPr>
            <w:tcW w:w="1211" w:type="dxa"/>
            <w:shd w:val="clear" w:color="auto" w:fill="auto"/>
            <w:noWrap/>
            <w:vAlign w:val="bottom"/>
          </w:tcPr>
          <w:p w14:paraId="60A057C4" w14:textId="40D7F54D" w:rsidR="00113E21" w:rsidRPr="00A17F95" w:rsidRDefault="00113E21" w:rsidP="00113E21">
            <w:pPr>
              <w:pBdr>
                <w:bottom w:val="single" w:sz="4" w:space="1" w:color="auto"/>
              </w:pBdr>
              <w:spacing w:before="40"/>
              <w:jc w:val="right"/>
              <w:rPr>
                <w:rFonts w:asciiTheme="majorBidi" w:hAnsiTheme="majorBidi" w:cstheme="majorBidi"/>
                <w:sz w:val="20"/>
              </w:rPr>
            </w:pPr>
            <w:r w:rsidRPr="0095659A">
              <w:rPr>
                <w:sz w:val="20"/>
              </w:rPr>
              <w:t>(6,912)</w:t>
            </w:r>
          </w:p>
        </w:tc>
        <w:tc>
          <w:tcPr>
            <w:tcW w:w="1211" w:type="dxa"/>
            <w:shd w:val="clear" w:color="auto" w:fill="auto"/>
            <w:noWrap/>
            <w:vAlign w:val="bottom"/>
          </w:tcPr>
          <w:p w14:paraId="0253F1B8" w14:textId="33DA2BE0" w:rsidR="00113E21" w:rsidRPr="009034AA" w:rsidRDefault="00113E21" w:rsidP="00113E21">
            <w:pPr>
              <w:pBdr>
                <w:bottom w:val="single" w:sz="4" w:space="1" w:color="auto"/>
              </w:pBdr>
              <w:spacing w:before="40"/>
              <w:jc w:val="right"/>
              <w:rPr>
                <w:rFonts w:asciiTheme="majorBidi" w:hAnsiTheme="majorBidi" w:cstheme="majorBidi"/>
                <w:sz w:val="20"/>
              </w:rPr>
            </w:pPr>
            <w:r w:rsidRPr="00A17F95">
              <w:rPr>
                <w:sz w:val="20"/>
              </w:rPr>
              <w:t>(9,017)</w:t>
            </w:r>
          </w:p>
        </w:tc>
      </w:tr>
      <w:tr w:rsidR="00113E21" w:rsidRPr="00866299" w14:paraId="40E1BB24" w14:textId="77777777" w:rsidTr="006909F2">
        <w:trPr>
          <w:trHeight w:val="283"/>
        </w:trPr>
        <w:tc>
          <w:tcPr>
            <w:tcW w:w="5626" w:type="dxa"/>
            <w:shd w:val="clear" w:color="auto" w:fill="auto"/>
            <w:vAlign w:val="bottom"/>
            <w:hideMark/>
          </w:tcPr>
          <w:p w14:paraId="0D52F538" w14:textId="6E41EC40" w:rsidR="00113E21" w:rsidRPr="00866299" w:rsidRDefault="00113E21" w:rsidP="00113E21">
            <w:pPr>
              <w:spacing w:before="40"/>
              <w:rPr>
                <w:rFonts w:asciiTheme="majorBidi" w:hAnsiTheme="majorBidi" w:cstheme="majorBidi"/>
                <w:b/>
                <w:bCs/>
                <w:sz w:val="20"/>
                <w:rtl/>
                <w:lang w:bidi="he-IL"/>
              </w:rPr>
            </w:pPr>
            <w:r w:rsidRPr="00866299">
              <w:rPr>
                <w:rFonts w:asciiTheme="majorBidi" w:hAnsiTheme="majorBidi" w:cstheme="majorBidi"/>
                <w:b/>
                <w:bCs/>
                <w:color w:val="000000"/>
                <w:sz w:val="20"/>
              </w:rPr>
              <w:t xml:space="preserve">Profit </w:t>
            </w:r>
            <w:r>
              <w:rPr>
                <w:rFonts w:asciiTheme="majorBidi" w:hAnsiTheme="majorBidi" w:cstheme="majorBidi"/>
                <w:b/>
                <w:bCs/>
                <w:color w:val="000000"/>
                <w:sz w:val="20"/>
              </w:rPr>
              <w:t xml:space="preserve">(loss) </w:t>
            </w:r>
            <w:r w:rsidRPr="00866299">
              <w:rPr>
                <w:rFonts w:asciiTheme="majorBidi" w:hAnsiTheme="majorBidi" w:cstheme="majorBidi"/>
                <w:b/>
                <w:bCs/>
                <w:color w:val="000000"/>
                <w:sz w:val="20"/>
              </w:rPr>
              <w:t>from disposal of trading property</w:t>
            </w:r>
          </w:p>
        </w:tc>
        <w:tc>
          <w:tcPr>
            <w:tcW w:w="880" w:type="dxa"/>
            <w:shd w:val="clear" w:color="auto" w:fill="auto"/>
            <w:noWrap/>
            <w:vAlign w:val="bottom"/>
            <w:hideMark/>
          </w:tcPr>
          <w:p w14:paraId="42961F1D" w14:textId="77777777" w:rsidR="00113E21" w:rsidRPr="002722B5" w:rsidRDefault="00113E21" w:rsidP="00113E21">
            <w:pPr>
              <w:spacing w:before="40"/>
              <w:jc w:val="right"/>
              <w:rPr>
                <w:rFonts w:asciiTheme="majorBidi" w:hAnsiTheme="majorBidi" w:cstheme="majorBidi"/>
                <w:sz w:val="20"/>
              </w:rPr>
            </w:pPr>
          </w:p>
        </w:tc>
        <w:tc>
          <w:tcPr>
            <w:tcW w:w="1210" w:type="dxa"/>
            <w:shd w:val="clear" w:color="auto" w:fill="auto"/>
            <w:noWrap/>
            <w:vAlign w:val="bottom"/>
          </w:tcPr>
          <w:p w14:paraId="1434771A" w14:textId="11876819" w:rsidR="00113E21" w:rsidRPr="00113E21" w:rsidRDefault="00113E21" w:rsidP="00516397">
            <w:pPr>
              <w:pBdr>
                <w:bottom w:val="single" w:sz="4" w:space="0" w:color="000000"/>
              </w:pBdr>
              <w:spacing w:before="40"/>
              <w:jc w:val="right"/>
              <w:rPr>
                <w:sz w:val="20"/>
              </w:rPr>
            </w:pPr>
            <w:r w:rsidRPr="00113E21">
              <w:rPr>
                <w:sz w:val="20"/>
              </w:rPr>
              <w:t>2,777</w:t>
            </w:r>
          </w:p>
        </w:tc>
        <w:tc>
          <w:tcPr>
            <w:tcW w:w="1211" w:type="dxa"/>
            <w:shd w:val="clear" w:color="auto" w:fill="auto"/>
            <w:noWrap/>
            <w:vAlign w:val="bottom"/>
          </w:tcPr>
          <w:p w14:paraId="3BC9D293" w14:textId="53D20EB5" w:rsidR="00113E21" w:rsidRPr="00A17F95" w:rsidRDefault="00113E21" w:rsidP="00113E21">
            <w:pPr>
              <w:pBdr>
                <w:bottom w:val="single" w:sz="4" w:space="0" w:color="000000"/>
              </w:pBdr>
              <w:spacing w:before="40"/>
              <w:jc w:val="right"/>
              <w:rPr>
                <w:rFonts w:asciiTheme="majorBidi" w:hAnsiTheme="majorBidi" w:cstheme="majorBidi"/>
                <w:sz w:val="20"/>
              </w:rPr>
            </w:pPr>
            <w:r w:rsidRPr="0020502A">
              <w:rPr>
                <w:sz w:val="20"/>
              </w:rPr>
              <w:t>(3,349)</w:t>
            </w:r>
          </w:p>
        </w:tc>
        <w:tc>
          <w:tcPr>
            <w:tcW w:w="1211" w:type="dxa"/>
            <w:shd w:val="clear" w:color="auto" w:fill="auto"/>
            <w:noWrap/>
            <w:vAlign w:val="bottom"/>
          </w:tcPr>
          <w:p w14:paraId="48A018BC" w14:textId="41D2FE7F" w:rsidR="00113E21" w:rsidRPr="009034AA" w:rsidRDefault="00113E21" w:rsidP="00113E21">
            <w:pPr>
              <w:pBdr>
                <w:bottom w:val="single" w:sz="4" w:space="0" w:color="000000"/>
              </w:pBdr>
              <w:spacing w:before="40"/>
              <w:jc w:val="right"/>
              <w:rPr>
                <w:rFonts w:asciiTheme="majorBidi" w:hAnsiTheme="majorBidi" w:cstheme="majorBidi"/>
                <w:sz w:val="20"/>
              </w:rPr>
            </w:pPr>
            <w:r w:rsidRPr="00A17F95">
              <w:rPr>
                <w:sz w:val="20"/>
              </w:rPr>
              <w:t>(5,707)</w:t>
            </w:r>
          </w:p>
        </w:tc>
      </w:tr>
      <w:tr w:rsidR="003B2B96" w:rsidRPr="00866299" w14:paraId="5D4C037C" w14:textId="77777777" w:rsidTr="006909F2">
        <w:trPr>
          <w:trHeight w:val="283"/>
        </w:trPr>
        <w:tc>
          <w:tcPr>
            <w:tcW w:w="5626" w:type="dxa"/>
            <w:shd w:val="clear" w:color="auto" w:fill="auto"/>
            <w:vAlign w:val="bottom"/>
            <w:hideMark/>
          </w:tcPr>
          <w:p w14:paraId="2ED51B90" w14:textId="77777777" w:rsidR="003B2B96" w:rsidRPr="00866299" w:rsidRDefault="003B2B96" w:rsidP="003B2B96">
            <w:pPr>
              <w:spacing w:before="40"/>
              <w:rPr>
                <w:rFonts w:asciiTheme="majorBidi" w:hAnsiTheme="majorBidi" w:cstheme="majorBidi"/>
                <w:b/>
                <w:bCs/>
                <w:sz w:val="20"/>
              </w:rPr>
            </w:pPr>
            <w:r w:rsidRPr="00866299">
              <w:rPr>
                <w:rFonts w:asciiTheme="majorBidi" w:hAnsiTheme="majorBidi" w:cstheme="majorBidi"/>
                <w:b/>
                <w:bCs/>
                <w:color w:val="000000"/>
                <w:sz w:val="20"/>
              </w:rPr>
              <w:t>Gross profit</w:t>
            </w:r>
          </w:p>
        </w:tc>
        <w:tc>
          <w:tcPr>
            <w:tcW w:w="880" w:type="dxa"/>
            <w:shd w:val="clear" w:color="auto" w:fill="auto"/>
            <w:noWrap/>
            <w:vAlign w:val="bottom"/>
            <w:hideMark/>
          </w:tcPr>
          <w:p w14:paraId="408F21BA" w14:textId="77777777" w:rsidR="003B2B96" w:rsidRPr="002722B5" w:rsidRDefault="003B2B96" w:rsidP="003B2B96">
            <w:pPr>
              <w:spacing w:before="40"/>
              <w:jc w:val="right"/>
              <w:rPr>
                <w:rFonts w:asciiTheme="majorBidi" w:hAnsiTheme="majorBidi" w:cstheme="majorBidi"/>
                <w:sz w:val="20"/>
              </w:rPr>
            </w:pPr>
          </w:p>
        </w:tc>
        <w:tc>
          <w:tcPr>
            <w:tcW w:w="1210" w:type="dxa"/>
            <w:shd w:val="clear" w:color="auto" w:fill="auto"/>
            <w:noWrap/>
            <w:vAlign w:val="bottom"/>
          </w:tcPr>
          <w:p w14:paraId="4E0DC22C" w14:textId="5A2CA3A7" w:rsidR="003B2B96" w:rsidRPr="00113E21" w:rsidRDefault="00113E21" w:rsidP="00516397">
            <w:pPr>
              <w:pBdr>
                <w:bottom w:val="double" w:sz="4" w:space="1" w:color="auto"/>
              </w:pBdr>
              <w:spacing w:before="40"/>
              <w:jc w:val="right"/>
              <w:rPr>
                <w:sz w:val="20"/>
              </w:rPr>
            </w:pPr>
            <w:r w:rsidRPr="00113E21">
              <w:rPr>
                <w:sz w:val="20"/>
              </w:rPr>
              <w:t>198,001</w:t>
            </w:r>
          </w:p>
        </w:tc>
        <w:tc>
          <w:tcPr>
            <w:tcW w:w="1211" w:type="dxa"/>
            <w:shd w:val="clear" w:color="auto" w:fill="auto"/>
            <w:noWrap/>
            <w:vAlign w:val="bottom"/>
          </w:tcPr>
          <w:p w14:paraId="00DEF784" w14:textId="567A32D7" w:rsidR="003B2B96" w:rsidRPr="00A17F95" w:rsidRDefault="003B2B96" w:rsidP="003B2B96">
            <w:pPr>
              <w:pBdr>
                <w:bottom w:val="double" w:sz="4" w:space="1" w:color="auto"/>
              </w:pBdr>
              <w:spacing w:before="40"/>
              <w:jc w:val="right"/>
              <w:rPr>
                <w:rFonts w:asciiTheme="majorBidi" w:hAnsiTheme="majorBidi" w:cstheme="majorBidi"/>
                <w:sz w:val="20"/>
                <w:lang w:bidi="he-IL"/>
              </w:rPr>
            </w:pPr>
            <w:r w:rsidRPr="0020502A">
              <w:rPr>
                <w:sz w:val="20"/>
              </w:rPr>
              <w:t>162,333</w:t>
            </w:r>
          </w:p>
        </w:tc>
        <w:tc>
          <w:tcPr>
            <w:tcW w:w="1211" w:type="dxa"/>
            <w:shd w:val="clear" w:color="auto" w:fill="auto"/>
            <w:noWrap/>
            <w:vAlign w:val="bottom"/>
          </w:tcPr>
          <w:p w14:paraId="04CA3B27" w14:textId="16A97C50" w:rsidR="003B2B96" w:rsidRPr="009034AA" w:rsidRDefault="003B2B96" w:rsidP="003B2B96">
            <w:pPr>
              <w:pBdr>
                <w:bottom w:val="double" w:sz="4" w:space="1" w:color="auto"/>
              </w:pBdr>
              <w:spacing w:before="40"/>
              <w:jc w:val="right"/>
              <w:rPr>
                <w:rFonts w:asciiTheme="majorBidi" w:hAnsiTheme="majorBidi" w:cstheme="majorBidi"/>
                <w:sz w:val="20"/>
                <w:lang w:bidi="he-IL"/>
              </w:rPr>
            </w:pPr>
            <w:r w:rsidRPr="00A17F95">
              <w:rPr>
                <w:sz w:val="20"/>
              </w:rPr>
              <w:t>131,958</w:t>
            </w:r>
          </w:p>
        </w:tc>
      </w:tr>
      <w:tr w:rsidR="00113E21" w:rsidRPr="00866299" w14:paraId="7A0E01C9" w14:textId="77777777" w:rsidTr="006909F2">
        <w:trPr>
          <w:trHeight w:val="283"/>
        </w:trPr>
        <w:tc>
          <w:tcPr>
            <w:tcW w:w="5626" w:type="dxa"/>
            <w:shd w:val="clear" w:color="auto" w:fill="auto"/>
            <w:vAlign w:val="bottom"/>
            <w:hideMark/>
          </w:tcPr>
          <w:p w14:paraId="6CED3A94" w14:textId="77777777" w:rsidR="00113E21" w:rsidRDefault="00113E21" w:rsidP="00113E21">
            <w:pPr>
              <w:spacing w:before="40"/>
              <w:rPr>
                <w:rFonts w:asciiTheme="majorBidi" w:hAnsiTheme="majorBidi" w:cstheme="majorBidi"/>
                <w:color w:val="000000"/>
                <w:sz w:val="20"/>
              </w:rPr>
            </w:pPr>
          </w:p>
          <w:p w14:paraId="482E99D9" w14:textId="7FF72092" w:rsidR="00113E21" w:rsidRPr="00866299" w:rsidRDefault="00113E21" w:rsidP="00113E21">
            <w:pPr>
              <w:spacing w:before="40"/>
              <w:rPr>
                <w:rFonts w:asciiTheme="majorBidi" w:hAnsiTheme="majorBidi" w:cstheme="majorBidi"/>
                <w:sz w:val="20"/>
                <w:lang w:bidi="he-IL"/>
              </w:rPr>
            </w:pPr>
            <w:r w:rsidRPr="00866299">
              <w:rPr>
                <w:rFonts w:asciiTheme="majorBidi" w:hAnsiTheme="majorBidi" w:cstheme="majorBidi"/>
                <w:color w:val="000000"/>
                <w:sz w:val="20"/>
              </w:rPr>
              <w:t>Change in fair value of investment property</w:t>
            </w:r>
          </w:p>
        </w:tc>
        <w:tc>
          <w:tcPr>
            <w:tcW w:w="880" w:type="dxa"/>
            <w:shd w:val="clear" w:color="auto" w:fill="auto"/>
            <w:noWrap/>
            <w:vAlign w:val="bottom"/>
            <w:hideMark/>
          </w:tcPr>
          <w:p w14:paraId="3ED106B4" w14:textId="77777777" w:rsidR="00113E21" w:rsidRPr="002722B5" w:rsidRDefault="00113E21" w:rsidP="00113E21">
            <w:pPr>
              <w:spacing w:before="40"/>
              <w:jc w:val="right"/>
              <w:rPr>
                <w:rFonts w:asciiTheme="majorBidi" w:hAnsiTheme="majorBidi" w:cstheme="majorBidi"/>
                <w:sz w:val="20"/>
              </w:rPr>
            </w:pPr>
            <w:r w:rsidRPr="002722B5">
              <w:rPr>
                <w:rFonts w:asciiTheme="majorBidi" w:hAnsiTheme="majorBidi" w:cstheme="majorBidi"/>
                <w:color w:val="000000"/>
                <w:sz w:val="20"/>
              </w:rPr>
              <w:t>5</w:t>
            </w:r>
          </w:p>
        </w:tc>
        <w:tc>
          <w:tcPr>
            <w:tcW w:w="1210" w:type="dxa"/>
            <w:shd w:val="clear" w:color="auto" w:fill="auto"/>
            <w:noWrap/>
            <w:vAlign w:val="bottom"/>
          </w:tcPr>
          <w:p w14:paraId="73FAFE4E" w14:textId="3650D867" w:rsidR="00113E21" w:rsidRPr="00113E21" w:rsidRDefault="00113E21" w:rsidP="00516397">
            <w:pPr>
              <w:spacing w:before="40"/>
              <w:jc w:val="right"/>
              <w:rPr>
                <w:sz w:val="20"/>
              </w:rPr>
            </w:pPr>
            <w:r w:rsidRPr="00113E21">
              <w:rPr>
                <w:sz w:val="20"/>
              </w:rPr>
              <w:t>56,182</w:t>
            </w:r>
          </w:p>
        </w:tc>
        <w:tc>
          <w:tcPr>
            <w:tcW w:w="1211" w:type="dxa"/>
            <w:shd w:val="clear" w:color="auto" w:fill="auto"/>
            <w:noWrap/>
            <w:vAlign w:val="bottom"/>
          </w:tcPr>
          <w:p w14:paraId="7EFAEB25" w14:textId="7F12C0E1" w:rsidR="00113E21" w:rsidRPr="00A17F95" w:rsidRDefault="00113E21" w:rsidP="00113E21">
            <w:pPr>
              <w:spacing w:before="40"/>
              <w:jc w:val="right"/>
              <w:rPr>
                <w:rFonts w:asciiTheme="majorBidi" w:hAnsiTheme="majorBidi" w:cstheme="majorBidi"/>
                <w:sz w:val="20"/>
              </w:rPr>
            </w:pPr>
            <w:r w:rsidRPr="0095659A">
              <w:rPr>
                <w:sz w:val="20"/>
              </w:rPr>
              <w:t>(25,539)</w:t>
            </w:r>
          </w:p>
        </w:tc>
        <w:tc>
          <w:tcPr>
            <w:tcW w:w="1211" w:type="dxa"/>
            <w:shd w:val="clear" w:color="auto" w:fill="auto"/>
            <w:noWrap/>
            <w:vAlign w:val="bottom"/>
          </w:tcPr>
          <w:p w14:paraId="7B1BF189" w14:textId="49A674E2" w:rsidR="00113E21" w:rsidRPr="009034AA" w:rsidRDefault="00113E21" w:rsidP="00113E21">
            <w:pPr>
              <w:spacing w:before="40"/>
              <w:jc w:val="right"/>
              <w:rPr>
                <w:rFonts w:asciiTheme="majorBidi" w:hAnsiTheme="majorBidi" w:cstheme="majorBidi"/>
                <w:sz w:val="20"/>
              </w:rPr>
            </w:pPr>
            <w:r w:rsidRPr="00A17F95">
              <w:rPr>
                <w:sz w:val="20"/>
              </w:rPr>
              <w:t>24,343</w:t>
            </w:r>
          </w:p>
        </w:tc>
      </w:tr>
      <w:tr w:rsidR="00113E21" w:rsidRPr="00866299" w14:paraId="13E1574D" w14:textId="77777777" w:rsidTr="006909F2">
        <w:trPr>
          <w:trHeight w:val="283"/>
        </w:trPr>
        <w:tc>
          <w:tcPr>
            <w:tcW w:w="5626" w:type="dxa"/>
            <w:shd w:val="clear" w:color="auto" w:fill="auto"/>
            <w:vAlign w:val="bottom"/>
            <w:hideMark/>
          </w:tcPr>
          <w:p w14:paraId="06678751" w14:textId="77777777" w:rsidR="00113E21" w:rsidRPr="00866299" w:rsidRDefault="00113E21" w:rsidP="00113E21">
            <w:pPr>
              <w:spacing w:before="40"/>
              <w:rPr>
                <w:rFonts w:asciiTheme="majorBidi" w:hAnsiTheme="majorBidi" w:cstheme="majorBidi"/>
                <w:sz w:val="20"/>
                <w:rtl/>
                <w:lang w:bidi="he-IL"/>
              </w:rPr>
            </w:pPr>
            <w:r w:rsidRPr="00866299">
              <w:rPr>
                <w:rFonts w:asciiTheme="majorBidi" w:hAnsiTheme="majorBidi" w:cstheme="majorBidi"/>
                <w:color w:val="000000"/>
                <w:sz w:val="20"/>
              </w:rPr>
              <w:t>Change in fair value of investment property under development</w:t>
            </w:r>
          </w:p>
        </w:tc>
        <w:tc>
          <w:tcPr>
            <w:tcW w:w="880" w:type="dxa"/>
            <w:shd w:val="clear" w:color="auto" w:fill="auto"/>
            <w:noWrap/>
            <w:vAlign w:val="bottom"/>
            <w:hideMark/>
          </w:tcPr>
          <w:p w14:paraId="4CBED550" w14:textId="77777777" w:rsidR="00113E21" w:rsidRPr="002722B5" w:rsidRDefault="00113E21" w:rsidP="00113E21">
            <w:pPr>
              <w:spacing w:before="40"/>
              <w:jc w:val="right"/>
              <w:rPr>
                <w:rFonts w:asciiTheme="majorBidi" w:hAnsiTheme="majorBidi" w:cstheme="majorBidi"/>
                <w:sz w:val="20"/>
              </w:rPr>
            </w:pPr>
            <w:r w:rsidRPr="002722B5">
              <w:rPr>
                <w:rFonts w:asciiTheme="majorBidi" w:hAnsiTheme="majorBidi" w:cstheme="majorBidi"/>
                <w:color w:val="000000"/>
                <w:sz w:val="20"/>
              </w:rPr>
              <w:t>6</w:t>
            </w:r>
          </w:p>
        </w:tc>
        <w:tc>
          <w:tcPr>
            <w:tcW w:w="1210" w:type="dxa"/>
            <w:shd w:val="clear" w:color="auto" w:fill="auto"/>
            <w:noWrap/>
            <w:vAlign w:val="bottom"/>
          </w:tcPr>
          <w:p w14:paraId="500A4251" w14:textId="24612FEF" w:rsidR="00113E21" w:rsidRPr="00113E21" w:rsidRDefault="00113E21" w:rsidP="00516397">
            <w:pPr>
              <w:spacing w:before="40"/>
              <w:jc w:val="right"/>
              <w:rPr>
                <w:sz w:val="20"/>
              </w:rPr>
            </w:pPr>
            <w:r w:rsidRPr="00113E21">
              <w:rPr>
                <w:sz w:val="20"/>
              </w:rPr>
              <w:t>6,246</w:t>
            </w:r>
          </w:p>
        </w:tc>
        <w:tc>
          <w:tcPr>
            <w:tcW w:w="1211" w:type="dxa"/>
            <w:shd w:val="clear" w:color="auto" w:fill="auto"/>
            <w:noWrap/>
            <w:vAlign w:val="bottom"/>
          </w:tcPr>
          <w:p w14:paraId="349EF89D" w14:textId="11DEE60F" w:rsidR="00113E21" w:rsidRPr="00A17F95" w:rsidRDefault="00113E21" w:rsidP="00113E21">
            <w:pPr>
              <w:spacing w:before="40"/>
              <w:jc w:val="right"/>
              <w:rPr>
                <w:rFonts w:asciiTheme="majorBidi" w:hAnsiTheme="majorBidi" w:cstheme="majorBidi"/>
                <w:sz w:val="20"/>
              </w:rPr>
            </w:pPr>
            <w:r w:rsidRPr="0095659A">
              <w:rPr>
                <w:sz w:val="20"/>
              </w:rPr>
              <w:t>6,297</w:t>
            </w:r>
          </w:p>
        </w:tc>
        <w:tc>
          <w:tcPr>
            <w:tcW w:w="1211" w:type="dxa"/>
            <w:shd w:val="clear" w:color="auto" w:fill="auto"/>
            <w:noWrap/>
            <w:vAlign w:val="bottom"/>
          </w:tcPr>
          <w:p w14:paraId="51B47B0C" w14:textId="5B210156" w:rsidR="00113E21" w:rsidRPr="009034AA" w:rsidRDefault="00113E21" w:rsidP="00113E21">
            <w:pPr>
              <w:spacing w:before="40"/>
              <w:jc w:val="right"/>
              <w:rPr>
                <w:rFonts w:asciiTheme="majorBidi" w:hAnsiTheme="majorBidi" w:cstheme="majorBidi"/>
                <w:sz w:val="20"/>
              </w:rPr>
            </w:pPr>
            <w:r w:rsidRPr="00A17F95">
              <w:rPr>
                <w:sz w:val="20"/>
              </w:rPr>
              <w:t>6,678</w:t>
            </w:r>
          </w:p>
        </w:tc>
      </w:tr>
      <w:tr w:rsidR="00113E21" w:rsidRPr="00866299" w14:paraId="0FD1CE8E" w14:textId="77777777" w:rsidTr="006909F2">
        <w:trPr>
          <w:trHeight w:val="283"/>
        </w:trPr>
        <w:tc>
          <w:tcPr>
            <w:tcW w:w="5626" w:type="dxa"/>
            <w:shd w:val="clear" w:color="auto" w:fill="auto"/>
            <w:vAlign w:val="bottom"/>
            <w:hideMark/>
          </w:tcPr>
          <w:p w14:paraId="46DED394" w14:textId="77777777" w:rsidR="00113E21" w:rsidRPr="00866299" w:rsidRDefault="00113E21" w:rsidP="00113E21">
            <w:pPr>
              <w:spacing w:before="40"/>
              <w:rPr>
                <w:rFonts w:asciiTheme="majorBidi" w:hAnsiTheme="majorBidi" w:cstheme="majorBidi"/>
                <w:sz w:val="20"/>
              </w:rPr>
            </w:pPr>
            <w:r w:rsidRPr="00866299">
              <w:rPr>
                <w:rFonts w:asciiTheme="majorBidi" w:hAnsiTheme="majorBidi" w:cstheme="majorBidi"/>
                <w:color w:val="000000"/>
                <w:sz w:val="20"/>
              </w:rPr>
              <w:t>Administrative expenses</w:t>
            </w:r>
          </w:p>
        </w:tc>
        <w:tc>
          <w:tcPr>
            <w:tcW w:w="880" w:type="dxa"/>
            <w:shd w:val="clear" w:color="auto" w:fill="auto"/>
            <w:noWrap/>
            <w:vAlign w:val="bottom"/>
            <w:hideMark/>
          </w:tcPr>
          <w:p w14:paraId="6D67ADDA" w14:textId="1BCAE3F9" w:rsidR="00113E21" w:rsidRPr="002722B5" w:rsidRDefault="00113E21" w:rsidP="00113E21">
            <w:pPr>
              <w:spacing w:before="40"/>
              <w:jc w:val="right"/>
              <w:rPr>
                <w:rFonts w:asciiTheme="majorBidi" w:hAnsiTheme="majorBidi" w:cstheme="majorBidi"/>
                <w:sz w:val="20"/>
              </w:rPr>
            </w:pPr>
            <w:r w:rsidRPr="002722B5">
              <w:rPr>
                <w:rFonts w:asciiTheme="majorBidi" w:hAnsiTheme="majorBidi" w:cstheme="majorBidi"/>
                <w:color w:val="000000"/>
                <w:sz w:val="20"/>
              </w:rPr>
              <w:t>17</w:t>
            </w:r>
          </w:p>
        </w:tc>
        <w:tc>
          <w:tcPr>
            <w:tcW w:w="1210" w:type="dxa"/>
            <w:shd w:val="clear" w:color="auto" w:fill="auto"/>
            <w:noWrap/>
            <w:vAlign w:val="bottom"/>
          </w:tcPr>
          <w:p w14:paraId="3D858346" w14:textId="3F78B366" w:rsidR="00113E21" w:rsidRPr="00113E21" w:rsidRDefault="00113E21" w:rsidP="00516397">
            <w:pPr>
              <w:spacing w:before="40"/>
              <w:jc w:val="right"/>
              <w:rPr>
                <w:sz w:val="20"/>
              </w:rPr>
            </w:pPr>
            <w:r w:rsidRPr="00113E21">
              <w:rPr>
                <w:sz w:val="20"/>
              </w:rPr>
              <w:t>(24,553)</w:t>
            </w:r>
          </w:p>
        </w:tc>
        <w:tc>
          <w:tcPr>
            <w:tcW w:w="1211" w:type="dxa"/>
            <w:shd w:val="clear" w:color="auto" w:fill="auto"/>
            <w:noWrap/>
            <w:vAlign w:val="bottom"/>
          </w:tcPr>
          <w:p w14:paraId="4609F0AB" w14:textId="1C3D1AAF" w:rsidR="00113E21" w:rsidRPr="00A17F95" w:rsidRDefault="00113E21" w:rsidP="00113E21">
            <w:pPr>
              <w:spacing w:before="40"/>
              <w:jc w:val="right"/>
              <w:rPr>
                <w:rFonts w:asciiTheme="majorBidi" w:hAnsiTheme="majorBidi" w:cstheme="majorBidi"/>
                <w:sz w:val="20"/>
              </w:rPr>
            </w:pPr>
            <w:r w:rsidRPr="0095659A">
              <w:rPr>
                <w:sz w:val="20"/>
              </w:rPr>
              <w:t>(18,108)</w:t>
            </w:r>
          </w:p>
        </w:tc>
        <w:tc>
          <w:tcPr>
            <w:tcW w:w="1211" w:type="dxa"/>
            <w:shd w:val="clear" w:color="auto" w:fill="auto"/>
            <w:noWrap/>
            <w:vAlign w:val="bottom"/>
          </w:tcPr>
          <w:p w14:paraId="06629A9B" w14:textId="6EEDD77C" w:rsidR="00113E21" w:rsidRPr="009034AA" w:rsidRDefault="00113E21" w:rsidP="00113E21">
            <w:pPr>
              <w:spacing w:before="40"/>
              <w:jc w:val="right"/>
              <w:rPr>
                <w:rFonts w:asciiTheme="majorBidi" w:hAnsiTheme="majorBidi" w:cstheme="majorBidi"/>
                <w:sz w:val="20"/>
              </w:rPr>
            </w:pPr>
            <w:r w:rsidRPr="00A17F95">
              <w:rPr>
                <w:sz w:val="20"/>
              </w:rPr>
              <w:t>(23,102)</w:t>
            </w:r>
          </w:p>
        </w:tc>
      </w:tr>
      <w:tr w:rsidR="00113E21" w:rsidRPr="00866299" w14:paraId="1B39DF8E" w14:textId="77777777" w:rsidTr="006909F2">
        <w:trPr>
          <w:trHeight w:val="283"/>
        </w:trPr>
        <w:tc>
          <w:tcPr>
            <w:tcW w:w="5626" w:type="dxa"/>
            <w:shd w:val="clear" w:color="auto" w:fill="auto"/>
            <w:vAlign w:val="bottom"/>
            <w:hideMark/>
          </w:tcPr>
          <w:p w14:paraId="7EEDD16F" w14:textId="77777777" w:rsidR="00113E21" w:rsidRPr="00866299" w:rsidRDefault="00113E21" w:rsidP="00113E21">
            <w:pPr>
              <w:spacing w:before="40"/>
              <w:rPr>
                <w:rFonts w:asciiTheme="majorBidi" w:hAnsiTheme="majorBidi" w:cstheme="majorBidi"/>
                <w:sz w:val="20"/>
                <w:lang w:bidi="he-IL"/>
              </w:rPr>
            </w:pPr>
            <w:r w:rsidRPr="00866299">
              <w:rPr>
                <w:rFonts w:asciiTheme="majorBidi" w:hAnsiTheme="majorBidi" w:cstheme="majorBidi"/>
                <w:color w:val="000000"/>
                <w:sz w:val="20"/>
              </w:rPr>
              <w:t>Selling and marketing expenses</w:t>
            </w:r>
          </w:p>
        </w:tc>
        <w:tc>
          <w:tcPr>
            <w:tcW w:w="880" w:type="dxa"/>
            <w:shd w:val="clear" w:color="auto" w:fill="auto"/>
            <w:noWrap/>
            <w:vAlign w:val="bottom"/>
            <w:hideMark/>
          </w:tcPr>
          <w:p w14:paraId="048883D7" w14:textId="77777777" w:rsidR="00113E21" w:rsidRPr="00F17A8B" w:rsidRDefault="00113E21" w:rsidP="00113E21">
            <w:pPr>
              <w:spacing w:before="40"/>
              <w:jc w:val="right"/>
              <w:rPr>
                <w:rFonts w:asciiTheme="majorBidi" w:hAnsiTheme="majorBidi" w:cstheme="majorBidi"/>
                <w:sz w:val="20"/>
                <w:highlight w:val="yellow"/>
              </w:rPr>
            </w:pPr>
          </w:p>
        </w:tc>
        <w:tc>
          <w:tcPr>
            <w:tcW w:w="1210" w:type="dxa"/>
            <w:shd w:val="clear" w:color="auto" w:fill="auto"/>
            <w:noWrap/>
            <w:vAlign w:val="bottom"/>
          </w:tcPr>
          <w:p w14:paraId="043693F8" w14:textId="14872626" w:rsidR="00113E21" w:rsidRPr="00113E21" w:rsidRDefault="00113E21" w:rsidP="00516397">
            <w:pPr>
              <w:spacing w:before="40"/>
              <w:jc w:val="right"/>
              <w:rPr>
                <w:sz w:val="20"/>
              </w:rPr>
            </w:pPr>
            <w:r w:rsidRPr="00113E21">
              <w:rPr>
                <w:sz w:val="20"/>
              </w:rPr>
              <w:t>(4,485)</w:t>
            </w:r>
          </w:p>
        </w:tc>
        <w:tc>
          <w:tcPr>
            <w:tcW w:w="1211" w:type="dxa"/>
            <w:shd w:val="clear" w:color="auto" w:fill="auto"/>
            <w:noWrap/>
            <w:vAlign w:val="bottom"/>
          </w:tcPr>
          <w:p w14:paraId="3CD741CC" w14:textId="3570A7B5" w:rsidR="00113E21" w:rsidRPr="00A17F95" w:rsidRDefault="00113E21" w:rsidP="00113E21">
            <w:pPr>
              <w:spacing w:before="40"/>
              <w:jc w:val="right"/>
              <w:rPr>
                <w:rFonts w:asciiTheme="majorBidi" w:hAnsiTheme="majorBidi" w:cstheme="majorBidi"/>
                <w:sz w:val="20"/>
              </w:rPr>
            </w:pPr>
            <w:r w:rsidRPr="0095659A">
              <w:rPr>
                <w:sz w:val="20"/>
              </w:rPr>
              <w:t>(4,979)</w:t>
            </w:r>
          </w:p>
        </w:tc>
        <w:tc>
          <w:tcPr>
            <w:tcW w:w="1211" w:type="dxa"/>
            <w:shd w:val="clear" w:color="auto" w:fill="auto"/>
            <w:noWrap/>
            <w:vAlign w:val="bottom"/>
          </w:tcPr>
          <w:p w14:paraId="29040B7F" w14:textId="21D5E776" w:rsidR="00113E21" w:rsidRPr="009034AA" w:rsidRDefault="00113E21" w:rsidP="00113E21">
            <w:pPr>
              <w:spacing w:before="40"/>
              <w:jc w:val="right"/>
              <w:rPr>
                <w:rFonts w:asciiTheme="majorBidi" w:hAnsiTheme="majorBidi" w:cstheme="majorBidi"/>
                <w:sz w:val="20"/>
              </w:rPr>
            </w:pPr>
            <w:r w:rsidRPr="00A17F95">
              <w:rPr>
                <w:sz w:val="20"/>
              </w:rPr>
              <w:t>(3,503)</w:t>
            </w:r>
          </w:p>
        </w:tc>
      </w:tr>
      <w:tr w:rsidR="00113E21" w:rsidRPr="00866299" w14:paraId="40E6277D" w14:textId="77777777" w:rsidTr="006909F2">
        <w:trPr>
          <w:trHeight w:val="283"/>
        </w:trPr>
        <w:tc>
          <w:tcPr>
            <w:tcW w:w="5626" w:type="dxa"/>
            <w:shd w:val="clear" w:color="auto" w:fill="auto"/>
            <w:vAlign w:val="bottom"/>
            <w:hideMark/>
          </w:tcPr>
          <w:p w14:paraId="16420AF4" w14:textId="77777777" w:rsidR="00113E21" w:rsidRPr="00866299" w:rsidRDefault="00113E21" w:rsidP="00113E21">
            <w:pPr>
              <w:spacing w:before="40"/>
              <w:rPr>
                <w:rFonts w:asciiTheme="majorBidi" w:hAnsiTheme="majorBidi" w:cstheme="majorBidi"/>
                <w:sz w:val="20"/>
              </w:rPr>
            </w:pPr>
            <w:r w:rsidRPr="00866299">
              <w:rPr>
                <w:rFonts w:asciiTheme="majorBidi" w:hAnsiTheme="majorBidi" w:cstheme="majorBidi"/>
                <w:color w:val="000000"/>
                <w:sz w:val="20"/>
              </w:rPr>
              <w:t>Other income</w:t>
            </w:r>
          </w:p>
        </w:tc>
        <w:tc>
          <w:tcPr>
            <w:tcW w:w="880" w:type="dxa"/>
            <w:shd w:val="clear" w:color="auto" w:fill="auto"/>
            <w:noWrap/>
            <w:vAlign w:val="bottom"/>
            <w:hideMark/>
          </w:tcPr>
          <w:p w14:paraId="7EAAE73D" w14:textId="38B0E4E1" w:rsidR="00113E21" w:rsidRPr="002722B5" w:rsidRDefault="00113E21" w:rsidP="00113E21">
            <w:pPr>
              <w:spacing w:before="40"/>
              <w:jc w:val="right"/>
              <w:rPr>
                <w:rFonts w:asciiTheme="majorBidi" w:hAnsiTheme="majorBidi" w:cstheme="majorBidi"/>
                <w:sz w:val="20"/>
              </w:rPr>
            </w:pPr>
            <w:r w:rsidRPr="002722B5">
              <w:rPr>
                <w:rFonts w:asciiTheme="majorBidi" w:hAnsiTheme="majorBidi" w:cstheme="majorBidi"/>
                <w:color w:val="000000"/>
                <w:sz w:val="20"/>
              </w:rPr>
              <w:t>18</w:t>
            </w:r>
          </w:p>
        </w:tc>
        <w:tc>
          <w:tcPr>
            <w:tcW w:w="1210" w:type="dxa"/>
            <w:shd w:val="clear" w:color="auto" w:fill="auto"/>
            <w:noWrap/>
            <w:vAlign w:val="bottom"/>
          </w:tcPr>
          <w:p w14:paraId="7D75FCA1" w14:textId="6EFCD424" w:rsidR="00113E21" w:rsidRPr="00113E21" w:rsidRDefault="00113E21" w:rsidP="00516397">
            <w:pPr>
              <w:spacing w:before="40"/>
              <w:jc w:val="right"/>
              <w:rPr>
                <w:sz w:val="20"/>
              </w:rPr>
            </w:pPr>
            <w:r w:rsidRPr="00113E21">
              <w:rPr>
                <w:sz w:val="20"/>
              </w:rPr>
              <w:t>5,390</w:t>
            </w:r>
          </w:p>
        </w:tc>
        <w:tc>
          <w:tcPr>
            <w:tcW w:w="1211" w:type="dxa"/>
            <w:shd w:val="clear" w:color="auto" w:fill="auto"/>
            <w:noWrap/>
            <w:vAlign w:val="bottom"/>
          </w:tcPr>
          <w:p w14:paraId="326994DD" w14:textId="261D5FA1" w:rsidR="00113E21" w:rsidRPr="00A17F95" w:rsidRDefault="00113E21" w:rsidP="00113E21">
            <w:pPr>
              <w:spacing w:before="40"/>
              <w:jc w:val="right"/>
              <w:rPr>
                <w:rFonts w:asciiTheme="majorBidi" w:hAnsiTheme="majorBidi" w:cstheme="majorBidi"/>
                <w:sz w:val="20"/>
              </w:rPr>
            </w:pPr>
            <w:r w:rsidRPr="0095659A">
              <w:rPr>
                <w:sz w:val="20"/>
              </w:rPr>
              <w:t>2,924</w:t>
            </w:r>
          </w:p>
        </w:tc>
        <w:tc>
          <w:tcPr>
            <w:tcW w:w="1211" w:type="dxa"/>
            <w:shd w:val="clear" w:color="auto" w:fill="auto"/>
            <w:noWrap/>
            <w:vAlign w:val="bottom"/>
          </w:tcPr>
          <w:p w14:paraId="1780BD2D" w14:textId="6CB52C49" w:rsidR="00113E21" w:rsidRPr="009034AA" w:rsidRDefault="00113E21" w:rsidP="00113E21">
            <w:pPr>
              <w:spacing w:before="40"/>
              <w:jc w:val="right"/>
              <w:rPr>
                <w:rFonts w:asciiTheme="majorBidi" w:hAnsiTheme="majorBidi" w:cstheme="majorBidi"/>
                <w:sz w:val="20"/>
              </w:rPr>
            </w:pPr>
            <w:r w:rsidRPr="00A17F95">
              <w:rPr>
                <w:sz w:val="20"/>
              </w:rPr>
              <w:t>3,609</w:t>
            </w:r>
          </w:p>
        </w:tc>
      </w:tr>
      <w:tr w:rsidR="00113E21" w:rsidRPr="00866299" w14:paraId="7090FA10" w14:textId="77777777" w:rsidTr="006909F2">
        <w:trPr>
          <w:trHeight w:val="283"/>
        </w:trPr>
        <w:tc>
          <w:tcPr>
            <w:tcW w:w="5626" w:type="dxa"/>
            <w:shd w:val="clear" w:color="auto" w:fill="auto"/>
            <w:vAlign w:val="bottom"/>
          </w:tcPr>
          <w:p w14:paraId="5BB1D528" w14:textId="074FEB3F" w:rsidR="00113E21" w:rsidRPr="00866299" w:rsidRDefault="00113E21" w:rsidP="00113E21">
            <w:pPr>
              <w:spacing w:before="40"/>
              <w:rPr>
                <w:rFonts w:asciiTheme="majorBidi" w:hAnsiTheme="majorBidi" w:cstheme="majorBidi"/>
                <w:color w:val="000000"/>
                <w:sz w:val="20"/>
              </w:rPr>
            </w:pPr>
            <w:r w:rsidRPr="00866299">
              <w:rPr>
                <w:rFonts w:asciiTheme="majorBidi" w:hAnsiTheme="majorBidi" w:cstheme="majorBidi"/>
                <w:color w:val="000000"/>
                <w:sz w:val="20"/>
              </w:rPr>
              <w:t>Other expenses</w:t>
            </w:r>
          </w:p>
        </w:tc>
        <w:tc>
          <w:tcPr>
            <w:tcW w:w="880" w:type="dxa"/>
            <w:shd w:val="clear" w:color="auto" w:fill="auto"/>
            <w:noWrap/>
            <w:vAlign w:val="bottom"/>
          </w:tcPr>
          <w:p w14:paraId="504B4CDA" w14:textId="5718BE2F" w:rsidR="00113E21" w:rsidRPr="002722B5" w:rsidRDefault="00113E21" w:rsidP="00113E21">
            <w:pPr>
              <w:spacing w:before="40"/>
              <w:jc w:val="right"/>
              <w:rPr>
                <w:rFonts w:asciiTheme="majorBidi" w:hAnsiTheme="majorBidi" w:cstheme="majorBidi"/>
                <w:color w:val="000000"/>
                <w:sz w:val="20"/>
              </w:rPr>
            </w:pPr>
            <w:r w:rsidRPr="002722B5">
              <w:rPr>
                <w:rFonts w:asciiTheme="majorBidi" w:hAnsiTheme="majorBidi" w:cstheme="majorBidi"/>
                <w:color w:val="000000"/>
                <w:sz w:val="20"/>
              </w:rPr>
              <w:t>18</w:t>
            </w:r>
          </w:p>
        </w:tc>
        <w:tc>
          <w:tcPr>
            <w:tcW w:w="1210" w:type="dxa"/>
            <w:shd w:val="clear" w:color="auto" w:fill="auto"/>
            <w:noWrap/>
            <w:vAlign w:val="bottom"/>
          </w:tcPr>
          <w:p w14:paraId="73D0218E" w14:textId="74634AEE" w:rsidR="00113E21" w:rsidRPr="00113E21" w:rsidRDefault="00113E21" w:rsidP="00516397">
            <w:pPr>
              <w:spacing w:before="40"/>
              <w:jc w:val="right"/>
              <w:rPr>
                <w:sz w:val="20"/>
              </w:rPr>
            </w:pPr>
            <w:r w:rsidRPr="00113E21">
              <w:rPr>
                <w:sz w:val="20"/>
              </w:rPr>
              <w:t>(2,569)</w:t>
            </w:r>
          </w:p>
        </w:tc>
        <w:tc>
          <w:tcPr>
            <w:tcW w:w="1211" w:type="dxa"/>
            <w:shd w:val="clear" w:color="auto" w:fill="auto"/>
            <w:noWrap/>
            <w:vAlign w:val="bottom"/>
          </w:tcPr>
          <w:p w14:paraId="12A4470A" w14:textId="7D70EFCA" w:rsidR="00113E21" w:rsidRPr="00A17F95" w:rsidRDefault="00113E21" w:rsidP="00113E21">
            <w:pPr>
              <w:spacing w:before="40"/>
              <w:jc w:val="right"/>
              <w:rPr>
                <w:sz w:val="20"/>
              </w:rPr>
            </w:pPr>
            <w:r w:rsidRPr="0095659A">
              <w:rPr>
                <w:sz w:val="20"/>
              </w:rPr>
              <w:t>(2,82</w:t>
            </w:r>
            <w:r>
              <w:rPr>
                <w:sz w:val="20"/>
              </w:rPr>
              <w:t>1</w:t>
            </w:r>
            <w:r w:rsidRPr="0095659A">
              <w:rPr>
                <w:sz w:val="20"/>
              </w:rPr>
              <w:t>)</w:t>
            </w:r>
          </w:p>
        </w:tc>
        <w:tc>
          <w:tcPr>
            <w:tcW w:w="1211" w:type="dxa"/>
            <w:shd w:val="clear" w:color="auto" w:fill="auto"/>
            <w:noWrap/>
            <w:vAlign w:val="bottom"/>
          </w:tcPr>
          <w:p w14:paraId="43460740" w14:textId="1690F4B9" w:rsidR="00113E21" w:rsidRPr="00A843F4" w:rsidRDefault="00113E21" w:rsidP="00113E21">
            <w:pPr>
              <w:spacing w:before="40"/>
              <w:jc w:val="right"/>
              <w:rPr>
                <w:sz w:val="20"/>
                <w:szCs w:val="16"/>
              </w:rPr>
            </w:pPr>
            <w:r w:rsidRPr="00A17F95">
              <w:rPr>
                <w:sz w:val="20"/>
              </w:rPr>
              <w:t>(4,222)</w:t>
            </w:r>
          </w:p>
        </w:tc>
      </w:tr>
      <w:tr w:rsidR="00113E21" w:rsidRPr="00866299" w14:paraId="4C68F0F4" w14:textId="77777777" w:rsidTr="006909F2">
        <w:trPr>
          <w:trHeight w:val="283"/>
        </w:trPr>
        <w:tc>
          <w:tcPr>
            <w:tcW w:w="5626" w:type="dxa"/>
            <w:shd w:val="clear" w:color="auto" w:fill="auto"/>
            <w:vAlign w:val="bottom"/>
            <w:hideMark/>
          </w:tcPr>
          <w:p w14:paraId="5885AC78" w14:textId="2C6DC55A" w:rsidR="00113E21" w:rsidRPr="00866299" w:rsidRDefault="00113E21" w:rsidP="00113E21">
            <w:pPr>
              <w:spacing w:before="40"/>
              <w:rPr>
                <w:rFonts w:asciiTheme="majorBidi" w:hAnsiTheme="majorBidi" w:cstheme="majorBidi"/>
                <w:sz w:val="20"/>
              </w:rPr>
            </w:pPr>
            <w:r>
              <w:rPr>
                <w:rFonts w:asciiTheme="majorBidi" w:hAnsiTheme="majorBidi" w:cstheme="majorBidi"/>
                <w:color w:val="000000"/>
                <w:sz w:val="20"/>
              </w:rPr>
              <w:t>Share of earnings (losses) of companies accounted for at equity, net</w:t>
            </w:r>
          </w:p>
        </w:tc>
        <w:tc>
          <w:tcPr>
            <w:tcW w:w="880" w:type="dxa"/>
            <w:shd w:val="clear" w:color="auto" w:fill="auto"/>
            <w:noWrap/>
            <w:vAlign w:val="bottom"/>
            <w:hideMark/>
          </w:tcPr>
          <w:p w14:paraId="1B364B11" w14:textId="0A38CFB6" w:rsidR="00113E21" w:rsidRPr="002722B5" w:rsidRDefault="00113E21" w:rsidP="00113E21">
            <w:pPr>
              <w:spacing w:before="40"/>
              <w:jc w:val="right"/>
              <w:rPr>
                <w:rFonts w:asciiTheme="majorBidi" w:hAnsiTheme="majorBidi" w:cstheme="majorBidi"/>
                <w:sz w:val="20"/>
              </w:rPr>
            </w:pPr>
          </w:p>
        </w:tc>
        <w:tc>
          <w:tcPr>
            <w:tcW w:w="1210" w:type="dxa"/>
            <w:shd w:val="clear" w:color="auto" w:fill="auto"/>
            <w:noWrap/>
            <w:vAlign w:val="bottom"/>
          </w:tcPr>
          <w:p w14:paraId="0CEA8BFE" w14:textId="1BF49881" w:rsidR="00113E21" w:rsidRPr="00113E21" w:rsidRDefault="00113E21" w:rsidP="00516397">
            <w:pPr>
              <w:pBdr>
                <w:bottom w:val="single" w:sz="4" w:space="0" w:color="000000"/>
              </w:pBdr>
              <w:spacing w:before="40"/>
              <w:jc w:val="right"/>
              <w:rPr>
                <w:sz w:val="20"/>
              </w:rPr>
            </w:pPr>
            <w:r w:rsidRPr="00113E21">
              <w:rPr>
                <w:sz w:val="20"/>
              </w:rPr>
              <w:t>23,938</w:t>
            </w:r>
          </w:p>
        </w:tc>
        <w:tc>
          <w:tcPr>
            <w:tcW w:w="1211" w:type="dxa"/>
            <w:shd w:val="clear" w:color="auto" w:fill="auto"/>
            <w:noWrap/>
            <w:vAlign w:val="bottom"/>
          </w:tcPr>
          <w:p w14:paraId="1D094752" w14:textId="52091B79" w:rsidR="00113E21" w:rsidRPr="00A17F95" w:rsidRDefault="00113E21" w:rsidP="00113E21">
            <w:pPr>
              <w:pBdr>
                <w:bottom w:val="single" w:sz="4" w:space="0" w:color="000000"/>
              </w:pBdr>
              <w:spacing w:before="40"/>
              <w:jc w:val="right"/>
              <w:rPr>
                <w:rFonts w:asciiTheme="majorBidi" w:hAnsiTheme="majorBidi" w:cstheme="majorBidi"/>
                <w:sz w:val="20"/>
              </w:rPr>
            </w:pPr>
            <w:r w:rsidRPr="0095659A">
              <w:rPr>
                <w:sz w:val="20"/>
              </w:rPr>
              <w:t>(20)</w:t>
            </w:r>
          </w:p>
        </w:tc>
        <w:tc>
          <w:tcPr>
            <w:tcW w:w="1211" w:type="dxa"/>
            <w:shd w:val="clear" w:color="auto" w:fill="auto"/>
            <w:noWrap/>
            <w:vAlign w:val="bottom"/>
          </w:tcPr>
          <w:p w14:paraId="0801E989" w14:textId="55706988" w:rsidR="00113E21" w:rsidRPr="009034AA" w:rsidRDefault="00113E21" w:rsidP="00113E21">
            <w:pPr>
              <w:pBdr>
                <w:bottom w:val="single" w:sz="4" w:space="0" w:color="000000"/>
              </w:pBdr>
              <w:spacing w:before="40"/>
              <w:jc w:val="right"/>
              <w:rPr>
                <w:rFonts w:asciiTheme="majorBidi" w:hAnsiTheme="majorBidi" w:cstheme="majorBidi"/>
                <w:sz w:val="20"/>
              </w:rPr>
            </w:pPr>
            <w:r w:rsidRPr="00A17F95">
              <w:rPr>
                <w:sz w:val="20"/>
              </w:rPr>
              <w:t>(1,200)</w:t>
            </w:r>
          </w:p>
        </w:tc>
      </w:tr>
      <w:tr w:rsidR="003B2B96" w:rsidRPr="00866299" w14:paraId="44184095" w14:textId="77777777" w:rsidTr="006909F2">
        <w:trPr>
          <w:trHeight w:val="283"/>
        </w:trPr>
        <w:tc>
          <w:tcPr>
            <w:tcW w:w="5626" w:type="dxa"/>
            <w:shd w:val="clear" w:color="auto" w:fill="auto"/>
            <w:vAlign w:val="bottom"/>
            <w:hideMark/>
          </w:tcPr>
          <w:p w14:paraId="70F0A5B7" w14:textId="77777777" w:rsidR="003B2B96" w:rsidRPr="00866299" w:rsidRDefault="003B2B96" w:rsidP="003B2B96">
            <w:pPr>
              <w:spacing w:before="40"/>
              <w:rPr>
                <w:rFonts w:asciiTheme="majorBidi" w:hAnsiTheme="majorBidi" w:cstheme="majorBidi"/>
                <w:b/>
                <w:bCs/>
                <w:sz w:val="20"/>
                <w:lang w:bidi="he-IL"/>
              </w:rPr>
            </w:pPr>
            <w:r w:rsidRPr="00866299">
              <w:rPr>
                <w:rFonts w:asciiTheme="majorBidi" w:hAnsiTheme="majorBidi" w:cstheme="majorBidi"/>
                <w:b/>
                <w:bCs/>
                <w:color w:val="000000"/>
                <w:sz w:val="20"/>
              </w:rPr>
              <w:t>Operating profit</w:t>
            </w:r>
          </w:p>
        </w:tc>
        <w:tc>
          <w:tcPr>
            <w:tcW w:w="880" w:type="dxa"/>
            <w:shd w:val="clear" w:color="auto" w:fill="auto"/>
            <w:noWrap/>
            <w:vAlign w:val="bottom"/>
            <w:hideMark/>
          </w:tcPr>
          <w:p w14:paraId="5B125EF5" w14:textId="77777777" w:rsidR="003B2B96" w:rsidRPr="002722B5" w:rsidRDefault="003B2B96" w:rsidP="003B2B96">
            <w:pPr>
              <w:spacing w:before="40"/>
              <w:jc w:val="right"/>
              <w:rPr>
                <w:rFonts w:asciiTheme="majorBidi" w:hAnsiTheme="majorBidi" w:cstheme="majorBidi"/>
                <w:sz w:val="20"/>
              </w:rPr>
            </w:pPr>
          </w:p>
        </w:tc>
        <w:tc>
          <w:tcPr>
            <w:tcW w:w="1210" w:type="dxa"/>
            <w:shd w:val="clear" w:color="auto" w:fill="auto"/>
            <w:noWrap/>
            <w:vAlign w:val="bottom"/>
          </w:tcPr>
          <w:p w14:paraId="6AD1B20C" w14:textId="5FA691F5" w:rsidR="003B2B96" w:rsidRPr="00113E21" w:rsidRDefault="00113E21" w:rsidP="00516397">
            <w:pPr>
              <w:pBdr>
                <w:bottom w:val="double" w:sz="4" w:space="1" w:color="auto"/>
              </w:pBdr>
              <w:spacing w:before="40"/>
              <w:jc w:val="right"/>
              <w:rPr>
                <w:sz w:val="20"/>
              </w:rPr>
            </w:pPr>
            <w:r w:rsidRPr="00113E21">
              <w:rPr>
                <w:sz w:val="20"/>
              </w:rPr>
              <w:t>258,150</w:t>
            </w:r>
          </w:p>
        </w:tc>
        <w:tc>
          <w:tcPr>
            <w:tcW w:w="1211" w:type="dxa"/>
            <w:shd w:val="clear" w:color="auto" w:fill="auto"/>
            <w:noWrap/>
            <w:vAlign w:val="bottom"/>
          </w:tcPr>
          <w:p w14:paraId="09A8566C" w14:textId="548D6437" w:rsidR="003B2B96" w:rsidRPr="00802D81" w:rsidRDefault="003B2B96" w:rsidP="003B2B96">
            <w:pPr>
              <w:pBdr>
                <w:bottom w:val="double" w:sz="4" w:space="1" w:color="auto"/>
              </w:pBdr>
              <w:spacing w:before="40"/>
              <w:jc w:val="right"/>
              <w:rPr>
                <w:rFonts w:asciiTheme="majorBidi" w:hAnsiTheme="majorBidi" w:cstheme="majorBidi"/>
                <w:sz w:val="20"/>
              </w:rPr>
            </w:pPr>
            <w:r w:rsidRPr="0020502A">
              <w:rPr>
                <w:sz w:val="20"/>
              </w:rPr>
              <w:t>120,08</w:t>
            </w:r>
            <w:r>
              <w:rPr>
                <w:sz w:val="20"/>
              </w:rPr>
              <w:t>7</w:t>
            </w:r>
          </w:p>
        </w:tc>
        <w:tc>
          <w:tcPr>
            <w:tcW w:w="1211" w:type="dxa"/>
            <w:shd w:val="clear" w:color="auto" w:fill="auto"/>
            <w:noWrap/>
            <w:vAlign w:val="bottom"/>
          </w:tcPr>
          <w:p w14:paraId="1A081B9E" w14:textId="77788D8A" w:rsidR="003B2B96" w:rsidRPr="00802D81" w:rsidRDefault="003B2B96" w:rsidP="003B2B96">
            <w:pPr>
              <w:pBdr>
                <w:bottom w:val="double" w:sz="4" w:space="1" w:color="auto"/>
              </w:pBdr>
              <w:spacing w:before="40"/>
              <w:jc w:val="right"/>
              <w:rPr>
                <w:rFonts w:asciiTheme="majorBidi" w:hAnsiTheme="majorBidi" w:cstheme="majorBidi"/>
                <w:sz w:val="20"/>
              </w:rPr>
            </w:pPr>
            <w:r w:rsidRPr="0020502A">
              <w:rPr>
                <w:sz w:val="20"/>
              </w:rPr>
              <w:t xml:space="preserve">134,561 </w:t>
            </w:r>
          </w:p>
        </w:tc>
      </w:tr>
      <w:tr w:rsidR="00113E21" w:rsidRPr="00866299" w14:paraId="0F891791" w14:textId="77777777" w:rsidTr="006909F2">
        <w:trPr>
          <w:trHeight w:val="283"/>
        </w:trPr>
        <w:tc>
          <w:tcPr>
            <w:tcW w:w="5626" w:type="dxa"/>
            <w:shd w:val="clear" w:color="auto" w:fill="auto"/>
            <w:vAlign w:val="bottom"/>
            <w:hideMark/>
          </w:tcPr>
          <w:p w14:paraId="26E89E99" w14:textId="77777777" w:rsidR="00113E21" w:rsidRDefault="00113E21" w:rsidP="00113E21">
            <w:pPr>
              <w:spacing w:before="40"/>
              <w:rPr>
                <w:rFonts w:asciiTheme="majorBidi" w:hAnsiTheme="majorBidi" w:cstheme="majorBidi"/>
                <w:color w:val="000000"/>
                <w:sz w:val="20"/>
              </w:rPr>
            </w:pPr>
          </w:p>
          <w:p w14:paraId="71727934" w14:textId="36F66E0C" w:rsidR="00113E21" w:rsidRPr="00866299" w:rsidRDefault="00113E21" w:rsidP="00113E21">
            <w:pPr>
              <w:spacing w:before="40"/>
              <w:rPr>
                <w:rFonts w:asciiTheme="majorBidi" w:hAnsiTheme="majorBidi" w:cstheme="majorBidi"/>
                <w:sz w:val="20"/>
                <w:rtl/>
                <w:lang w:bidi="he-IL"/>
              </w:rPr>
            </w:pPr>
            <w:r w:rsidRPr="00866299">
              <w:rPr>
                <w:rFonts w:asciiTheme="majorBidi" w:hAnsiTheme="majorBidi" w:cstheme="majorBidi"/>
                <w:color w:val="000000"/>
                <w:sz w:val="20"/>
              </w:rPr>
              <w:t>Financial income</w:t>
            </w:r>
          </w:p>
        </w:tc>
        <w:tc>
          <w:tcPr>
            <w:tcW w:w="880" w:type="dxa"/>
            <w:shd w:val="clear" w:color="auto" w:fill="auto"/>
            <w:noWrap/>
            <w:vAlign w:val="bottom"/>
            <w:hideMark/>
          </w:tcPr>
          <w:p w14:paraId="4FA0C15E" w14:textId="77777777" w:rsidR="00113E21" w:rsidRPr="002722B5" w:rsidRDefault="00113E21" w:rsidP="00113E21">
            <w:pPr>
              <w:spacing w:before="40"/>
              <w:jc w:val="right"/>
              <w:rPr>
                <w:rFonts w:asciiTheme="majorBidi" w:hAnsiTheme="majorBidi" w:cstheme="majorBidi"/>
                <w:sz w:val="20"/>
              </w:rPr>
            </w:pPr>
          </w:p>
        </w:tc>
        <w:tc>
          <w:tcPr>
            <w:tcW w:w="1210" w:type="dxa"/>
            <w:shd w:val="clear" w:color="auto" w:fill="auto"/>
            <w:noWrap/>
            <w:vAlign w:val="bottom"/>
          </w:tcPr>
          <w:p w14:paraId="65270831" w14:textId="2A438C55" w:rsidR="00113E21" w:rsidRPr="00113E21" w:rsidRDefault="00113E21" w:rsidP="00516397">
            <w:pPr>
              <w:spacing w:before="40"/>
              <w:jc w:val="right"/>
              <w:rPr>
                <w:sz w:val="20"/>
              </w:rPr>
            </w:pPr>
            <w:r w:rsidRPr="00113E21">
              <w:rPr>
                <w:sz w:val="20"/>
              </w:rPr>
              <w:t>2,462</w:t>
            </w:r>
          </w:p>
        </w:tc>
        <w:tc>
          <w:tcPr>
            <w:tcW w:w="1211" w:type="dxa"/>
            <w:shd w:val="clear" w:color="auto" w:fill="auto"/>
            <w:noWrap/>
            <w:vAlign w:val="bottom"/>
          </w:tcPr>
          <w:p w14:paraId="25721FDC" w14:textId="66DAEF93" w:rsidR="00113E21" w:rsidRPr="00A17F95" w:rsidRDefault="00113E21" w:rsidP="00113E21">
            <w:pPr>
              <w:spacing w:before="40"/>
              <w:jc w:val="right"/>
              <w:rPr>
                <w:rFonts w:asciiTheme="majorBidi" w:hAnsiTheme="majorBidi" w:cstheme="majorBidi"/>
                <w:sz w:val="20"/>
              </w:rPr>
            </w:pPr>
            <w:r w:rsidRPr="0095659A">
              <w:rPr>
                <w:sz w:val="20"/>
              </w:rPr>
              <w:t>8,086</w:t>
            </w:r>
          </w:p>
        </w:tc>
        <w:tc>
          <w:tcPr>
            <w:tcW w:w="1211" w:type="dxa"/>
            <w:shd w:val="clear" w:color="auto" w:fill="auto"/>
            <w:noWrap/>
            <w:vAlign w:val="bottom"/>
          </w:tcPr>
          <w:p w14:paraId="263D0F85" w14:textId="5DED0D3D" w:rsidR="00113E21" w:rsidRPr="009034AA" w:rsidRDefault="00113E21" w:rsidP="00113E21">
            <w:pPr>
              <w:spacing w:before="40"/>
              <w:jc w:val="right"/>
              <w:rPr>
                <w:rFonts w:asciiTheme="majorBidi" w:hAnsiTheme="majorBidi" w:cstheme="majorBidi"/>
                <w:sz w:val="20"/>
              </w:rPr>
            </w:pPr>
            <w:r w:rsidRPr="00A17F95">
              <w:rPr>
                <w:sz w:val="20"/>
              </w:rPr>
              <w:t xml:space="preserve">12,611 </w:t>
            </w:r>
          </w:p>
        </w:tc>
      </w:tr>
      <w:tr w:rsidR="00113E21" w:rsidRPr="00866299" w14:paraId="774C605E" w14:textId="77777777" w:rsidTr="006909F2">
        <w:trPr>
          <w:trHeight w:val="283"/>
        </w:trPr>
        <w:tc>
          <w:tcPr>
            <w:tcW w:w="5626" w:type="dxa"/>
            <w:shd w:val="clear" w:color="auto" w:fill="auto"/>
            <w:vAlign w:val="bottom"/>
            <w:hideMark/>
          </w:tcPr>
          <w:p w14:paraId="2F606516" w14:textId="77777777" w:rsidR="00113E21" w:rsidRPr="00866299" w:rsidRDefault="00113E21" w:rsidP="00113E21">
            <w:pPr>
              <w:spacing w:before="40"/>
              <w:rPr>
                <w:rFonts w:asciiTheme="majorBidi" w:hAnsiTheme="majorBidi" w:cstheme="majorBidi"/>
                <w:sz w:val="20"/>
                <w:lang w:bidi="he-IL"/>
              </w:rPr>
            </w:pPr>
            <w:r w:rsidRPr="00866299">
              <w:rPr>
                <w:rFonts w:asciiTheme="majorBidi" w:hAnsiTheme="majorBidi" w:cstheme="majorBidi"/>
                <w:color w:val="000000"/>
                <w:sz w:val="20"/>
              </w:rPr>
              <w:t>Financial expenses</w:t>
            </w:r>
          </w:p>
        </w:tc>
        <w:tc>
          <w:tcPr>
            <w:tcW w:w="880" w:type="dxa"/>
            <w:shd w:val="clear" w:color="auto" w:fill="auto"/>
            <w:noWrap/>
            <w:vAlign w:val="bottom"/>
            <w:hideMark/>
          </w:tcPr>
          <w:p w14:paraId="2012C0A8" w14:textId="77777777" w:rsidR="00113E21" w:rsidRPr="002722B5" w:rsidRDefault="00113E21" w:rsidP="00113E21">
            <w:pPr>
              <w:spacing w:before="40"/>
              <w:jc w:val="right"/>
              <w:rPr>
                <w:rFonts w:asciiTheme="majorBidi" w:hAnsiTheme="majorBidi" w:cstheme="majorBidi"/>
                <w:sz w:val="20"/>
              </w:rPr>
            </w:pPr>
          </w:p>
        </w:tc>
        <w:tc>
          <w:tcPr>
            <w:tcW w:w="1210" w:type="dxa"/>
            <w:shd w:val="clear" w:color="auto" w:fill="auto"/>
            <w:noWrap/>
            <w:vAlign w:val="bottom"/>
          </w:tcPr>
          <w:p w14:paraId="0A75A156" w14:textId="7C6B727D" w:rsidR="00113E21" w:rsidRPr="00113E21" w:rsidRDefault="00113E21" w:rsidP="00516397">
            <w:pPr>
              <w:pBdr>
                <w:bottom w:val="single" w:sz="4" w:space="0" w:color="000000"/>
              </w:pBdr>
              <w:spacing w:before="40"/>
              <w:jc w:val="right"/>
              <w:rPr>
                <w:sz w:val="20"/>
              </w:rPr>
            </w:pPr>
            <w:r w:rsidRPr="00113E21">
              <w:rPr>
                <w:sz w:val="20"/>
              </w:rPr>
              <w:t>(117,845)</w:t>
            </w:r>
          </w:p>
        </w:tc>
        <w:tc>
          <w:tcPr>
            <w:tcW w:w="1211" w:type="dxa"/>
            <w:shd w:val="clear" w:color="auto" w:fill="auto"/>
            <w:noWrap/>
            <w:vAlign w:val="bottom"/>
          </w:tcPr>
          <w:p w14:paraId="5DBB0B79" w14:textId="6A21D079" w:rsidR="00113E21" w:rsidRPr="00A17F95" w:rsidRDefault="00113E21" w:rsidP="00113E21">
            <w:pPr>
              <w:pBdr>
                <w:bottom w:val="single" w:sz="4" w:space="0" w:color="000000"/>
              </w:pBdr>
              <w:spacing w:before="40"/>
              <w:jc w:val="right"/>
              <w:rPr>
                <w:rFonts w:asciiTheme="majorBidi" w:hAnsiTheme="majorBidi" w:cstheme="majorBidi"/>
                <w:sz w:val="20"/>
              </w:rPr>
            </w:pPr>
            <w:r w:rsidRPr="0095659A">
              <w:rPr>
                <w:sz w:val="20"/>
              </w:rPr>
              <w:t>(104,752)</w:t>
            </w:r>
          </w:p>
        </w:tc>
        <w:tc>
          <w:tcPr>
            <w:tcW w:w="1211" w:type="dxa"/>
            <w:shd w:val="clear" w:color="auto" w:fill="auto"/>
            <w:noWrap/>
            <w:vAlign w:val="bottom"/>
          </w:tcPr>
          <w:p w14:paraId="6BB419BD" w14:textId="0CECDEB4" w:rsidR="00113E21" w:rsidRPr="009034AA" w:rsidRDefault="00113E21" w:rsidP="00113E21">
            <w:pPr>
              <w:pBdr>
                <w:bottom w:val="single" w:sz="4" w:space="0" w:color="000000"/>
              </w:pBdr>
              <w:spacing w:before="40"/>
              <w:jc w:val="right"/>
              <w:rPr>
                <w:rFonts w:asciiTheme="majorBidi" w:hAnsiTheme="majorBidi" w:cstheme="majorBidi"/>
                <w:sz w:val="20"/>
              </w:rPr>
            </w:pPr>
            <w:r w:rsidRPr="00A17F95">
              <w:rPr>
                <w:sz w:val="20"/>
              </w:rPr>
              <w:t>(44,487)</w:t>
            </w:r>
          </w:p>
        </w:tc>
      </w:tr>
      <w:tr w:rsidR="00113E21" w:rsidRPr="00866299" w14:paraId="336CA787" w14:textId="77777777" w:rsidTr="006909F2">
        <w:trPr>
          <w:trHeight w:val="283"/>
        </w:trPr>
        <w:tc>
          <w:tcPr>
            <w:tcW w:w="5626" w:type="dxa"/>
            <w:shd w:val="clear" w:color="auto" w:fill="auto"/>
            <w:vAlign w:val="bottom"/>
            <w:hideMark/>
          </w:tcPr>
          <w:p w14:paraId="4819E7F7" w14:textId="77777777" w:rsidR="00113E21" w:rsidRPr="00866299" w:rsidRDefault="00113E21" w:rsidP="00113E21">
            <w:pPr>
              <w:spacing w:before="40"/>
              <w:rPr>
                <w:rFonts w:asciiTheme="majorBidi" w:hAnsiTheme="majorBidi" w:cstheme="majorBidi"/>
                <w:b/>
                <w:bCs/>
                <w:sz w:val="20"/>
              </w:rPr>
            </w:pPr>
            <w:r w:rsidRPr="00866299">
              <w:rPr>
                <w:rFonts w:asciiTheme="majorBidi" w:hAnsiTheme="majorBidi" w:cstheme="majorBidi"/>
                <w:b/>
                <w:bCs/>
                <w:color w:val="000000"/>
                <w:sz w:val="20"/>
              </w:rPr>
              <w:t>Net financing costs</w:t>
            </w:r>
          </w:p>
        </w:tc>
        <w:tc>
          <w:tcPr>
            <w:tcW w:w="880" w:type="dxa"/>
            <w:shd w:val="clear" w:color="auto" w:fill="auto"/>
            <w:noWrap/>
            <w:vAlign w:val="bottom"/>
            <w:hideMark/>
          </w:tcPr>
          <w:p w14:paraId="24E4C546" w14:textId="66ACE224" w:rsidR="00113E21" w:rsidRPr="002722B5" w:rsidRDefault="00113E21" w:rsidP="00113E21">
            <w:pPr>
              <w:spacing w:before="40"/>
              <w:jc w:val="right"/>
              <w:rPr>
                <w:rFonts w:asciiTheme="majorBidi" w:hAnsiTheme="majorBidi" w:cstheme="majorBidi"/>
                <w:sz w:val="20"/>
              </w:rPr>
            </w:pPr>
            <w:r w:rsidRPr="002722B5">
              <w:rPr>
                <w:rFonts w:asciiTheme="majorBidi" w:hAnsiTheme="majorBidi" w:cstheme="majorBidi"/>
                <w:color w:val="000000"/>
                <w:sz w:val="20"/>
              </w:rPr>
              <w:t>19</w:t>
            </w:r>
          </w:p>
        </w:tc>
        <w:tc>
          <w:tcPr>
            <w:tcW w:w="1210" w:type="dxa"/>
            <w:shd w:val="clear" w:color="auto" w:fill="auto"/>
            <w:noWrap/>
            <w:vAlign w:val="bottom"/>
          </w:tcPr>
          <w:p w14:paraId="7770E066" w14:textId="41142EE7" w:rsidR="00113E21" w:rsidRPr="00113E21" w:rsidRDefault="00113E21" w:rsidP="00516397">
            <w:pPr>
              <w:pBdr>
                <w:bottom w:val="single" w:sz="4" w:space="0" w:color="000000"/>
              </w:pBdr>
              <w:spacing w:before="40"/>
              <w:jc w:val="right"/>
              <w:rPr>
                <w:sz w:val="20"/>
              </w:rPr>
            </w:pPr>
            <w:r w:rsidRPr="00113E21">
              <w:rPr>
                <w:sz w:val="20"/>
              </w:rPr>
              <w:t>(115,383)</w:t>
            </w:r>
          </w:p>
        </w:tc>
        <w:tc>
          <w:tcPr>
            <w:tcW w:w="1211" w:type="dxa"/>
            <w:shd w:val="clear" w:color="auto" w:fill="auto"/>
            <w:noWrap/>
            <w:vAlign w:val="bottom"/>
          </w:tcPr>
          <w:p w14:paraId="405D9E51" w14:textId="7628538A" w:rsidR="00113E21" w:rsidRPr="00A17F95" w:rsidRDefault="00113E21" w:rsidP="00113E21">
            <w:pPr>
              <w:pBdr>
                <w:bottom w:val="single" w:sz="4" w:space="0" w:color="000000"/>
              </w:pBdr>
              <w:spacing w:before="40"/>
              <w:jc w:val="right"/>
              <w:rPr>
                <w:rFonts w:asciiTheme="majorBidi" w:hAnsiTheme="majorBidi" w:cstheme="majorBidi"/>
                <w:sz w:val="20"/>
              </w:rPr>
            </w:pPr>
            <w:r w:rsidRPr="0020502A">
              <w:rPr>
                <w:sz w:val="20"/>
              </w:rPr>
              <w:t>(96,666)</w:t>
            </w:r>
          </w:p>
        </w:tc>
        <w:tc>
          <w:tcPr>
            <w:tcW w:w="1211" w:type="dxa"/>
            <w:shd w:val="clear" w:color="auto" w:fill="auto"/>
            <w:noWrap/>
            <w:vAlign w:val="bottom"/>
          </w:tcPr>
          <w:p w14:paraId="628F6D9A" w14:textId="6AC73C44" w:rsidR="00113E21" w:rsidRPr="009034AA" w:rsidRDefault="00113E21" w:rsidP="00113E21">
            <w:pPr>
              <w:pBdr>
                <w:bottom w:val="single" w:sz="4" w:space="0" w:color="000000"/>
              </w:pBdr>
              <w:spacing w:before="40"/>
              <w:jc w:val="right"/>
              <w:rPr>
                <w:rFonts w:asciiTheme="majorBidi" w:hAnsiTheme="majorBidi" w:cstheme="majorBidi"/>
                <w:sz w:val="20"/>
              </w:rPr>
            </w:pPr>
            <w:r w:rsidRPr="00A17F95">
              <w:rPr>
                <w:sz w:val="20"/>
              </w:rPr>
              <w:t>(31,876)</w:t>
            </w:r>
          </w:p>
        </w:tc>
      </w:tr>
      <w:tr w:rsidR="003B2B96" w:rsidRPr="00866299" w14:paraId="7AFCE3A9" w14:textId="77777777" w:rsidTr="006909F2">
        <w:trPr>
          <w:trHeight w:val="283"/>
        </w:trPr>
        <w:tc>
          <w:tcPr>
            <w:tcW w:w="5626" w:type="dxa"/>
            <w:shd w:val="clear" w:color="auto" w:fill="auto"/>
            <w:vAlign w:val="bottom"/>
            <w:hideMark/>
          </w:tcPr>
          <w:p w14:paraId="5B5217AC" w14:textId="77777777" w:rsidR="003B2B96" w:rsidRDefault="003B2B96" w:rsidP="003B2B96">
            <w:pPr>
              <w:spacing w:before="40"/>
              <w:rPr>
                <w:rFonts w:asciiTheme="majorBidi" w:hAnsiTheme="majorBidi" w:cstheme="majorBidi"/>
                <w:b/>
                <w:bCs/>
                <w:color w:val="000000"/>
                <w:sz w:val="20"/>
              </w:rPr>
            </w:pPr>
          </w:p>
          <w:p w14:paraId="46B1724A" w14:textId="2EE1CAD7" w:rsidR="003B2B96" w:rsidRPr="00866299" w:rsidRDefault="003B2B96" w:rsidP="003B2B96">
            <w:pPr>
              <w:spacing w:before="40"/>
              <w:rPr>
                <w:rFonts w:asciiTheme="majorBidi" w:hAnsiTheme="majorBidi" w:cstheme="majorBidi"/>
                <w:b/>
                <w:bCs/>
                <w:sz w:val="20"/>
              </w:rPr>
            </w:pPr>
            <w:r w:rsidRPr="00866299">
              <w:rPr>
                <w:rFonts w:asciiTheme="majorBidi" w:hAnsiTheme="majorBidi" w:cstheme="majorBidi"/>
                <w:b/>
                <w:bCs/>
                <w:color w:val="000000"/>
                <w:sz w:val="20"/>
              </w:rPr>
              <w:t>Profit</w:t>
            </w:r>
            <w:r>
              <w:rPr>
                <w:rFonts w:asciiTheme="majorBidi" w:hAnsiTheme="majorBidi" w:cstheme="majorBidi"/>
                <w:b/>
                <w:bCs/>
                <w:color w:val="000000"/>
                <w:sz w:val="20"/>
              </w:rPr>
              <w:t xml:space="preserve"> </w:t>
            </w:r>
            <w:r w:rsidRPr="00866299">
              <w:rPr>
                <w:rFonts w:asciiTheme="majorBidi" w:hAnsiTheme="majorBidi" w:cstheme="majorBidi"/>
                <w:b/>
                <w:bCs/>
                <w:color w:val="000000"/>
                <w:sz w:val="20"/>
              </w:rPr>
              <w:t>before tax</w:t>
            </w:r>
          </w:p>
        </w:tc>
        <w:tc>
          <w:tcPr>
            <w:tcW w:w="880" w:type="dxa"/>
            <w:shd w:val="clear" w:color="auto" w:fill="auto"/>
            <w:noWrap/>
            <w:vAlign w:val="bottom"/>
            <w:hideMark/>
          </w:tcPr>
          <w:p w14:paraId="207A667D" w14:textId="77777777" w:rsidR="003B2B96" w:rsidRPr="002722B5" w:rsidRDefault="003B2B96" w:rsidP="003B2B96">
            <w:pPr>
              <w:spacing w:before="40"/>
              <w:jc w:val="right"/>
              <w:rPr>
                <w:rFonts w:asciiTheme="majorBidi" w:hAnsiTheme="majorBidi" w:cstheme="majorBidi"/>
                <w:sz w:val="20"/>
              </w:rPr>
            </w:pPr>
          </w:p>
        </w:tc>
        <w:tc>
          <w:tcPr>
            <w:tcW w:w="1210" w:type="dxa"/>
            <w:shd w:val="clear" w:color="auto" w:fill="auto"/>
            <w:noWrap/>
            <w:vAlign w:val="bottom"/>
          </w:tcPr>
          <w:p w14:paraId="12BA8894" w14:textId="1AFCCAEA" w:rsidR="003B2B96" w:rsidRPr="00113E21" w:rsidRDefault="00113E21" w:rsidP="00516397">
            <w:pPr>
              <w:spacing w:before="40"/>
              <w:jc w:val="right"/>
              <w:rPr>
                <w:sz w:val="20"/>
              </w:rPr>
            </w:pPr>
            <w:r w:rsidRPr="00113E21">
              <w:rPr>
                <w:sz w:val="20"/>
              </w:rPr>
              <w:t>142,767</w:t>
            </w:r>
          </w:p>
        </w:tc>
        <w:tc>
          <w:tcPr>
            <w:tcW w:w="1211" w:type="dxa"/>
            <w:shd w:val="clear" w:color="auto" w:fill="auto"/>
            <w:noWrap/>
            <w:vAlign w:val="bottom"/>
          </w:tcPr>
          <w:p w14:paraId="19164DF7" w14:textId="785FFBA1" w:rsidR="003B2B96" w:rsidRPr="00A17F95" w:rsidRDefault="003B2B96" w:rsidP="003B2B96">
            <w:pPr>
              <w:spacing w:before="40"/>
              <w:jc w:val="right"/>
              <w:rPr>
                <w:rFonts w:asciiTheme="majorBidi" w:hAnsiTheme="majorBidi" w:cstheme="majorBidi"/>
                <w:sz w:val="20"/>
              </w:rPr>
            </w:pPr>
            <w:r w:rsidRPr="0020502A">
              <w:rPr>
                <w:sz w:val="20"/>
                <w:szCs w:val="16"/>
              </w:rPr>
              <w:t>23,42</w:t>
            </w:r>
            <w:r>
              <w:rPr>
                <w:sz w:val="20"/>
                <w:szCs w:val="16"/>
              </w:rPr>
              <w:t>1</w:t>
            </w:r>
          </w:p>
        </w:tc>
        <w:tc>
          <w:tcPr>
            <w:tcW w:w="1211" w:type="dxa"/>
            <w:shd w:val="clear" w:color="auto" w:fill="auto"/>
            <w:noWrap/>
            <w:vAlign w:val="bottom"/>
          </w:tcPr>
          <w:p w14:paraId="07B9B90D" w14:textId="1D5A1EB5" w:rsidR="003B2B96" w:rsidRPr="009034AA" w:rsidRDefault="003B2B96" w:rsidP="003B2B96">
            <w:pPr>
              <w:spacing w:before="40"/>
              <w:jc w:val="right"/>
              <w:rPr>
                <w:rFonts w:asciiTheme="majorBidi" w:hAnsiTheme="majorBidi" w:cstheme="majorBidi"/>
                <w:sz w:val="20"/>
              </w:rPr>
            </w:pPr>
            <w:r w:rsidRPr="00A17F95">
              <w:rPr>
                <w:sz w:val="20"/>
              </w:rPr>
              <w:t>102,685</w:t>
            </w:r>
          </w:p>
        </w:tc>
      </w:tr>
      <w:tr w:rsidR="00113E21" w:rsidRPr="00866299" w14:paraId="00E6890E" w14:textId="77777777" w:rsidTr="006909F2">
        <w:trPr>
          <w:trHeight w:val="283"/>
        </w:trPr>
        <w:tc>
          <w:tcPr>
            <w:tcW w:w="5626" w:type="dxa"/>
            <w:shd w:val="clear" w:color="auto" w:fill="auto"/>
            <w:vAlign w:val="bottom"/>
            <w:hideMark/>
          </w:tcPr>
          <w:p w14:paraId="52B6D696" w14:textId="61D5BB4C" w:rsidR="00113E21" w:rsidRPr="00866299" w:rsidRDefault="00113E21" w:rsidP="00113E21">
            <w:pPr>
              <w:spacing w:before="40"/>
              <w:rPr>
                <w:rFonts w:asciiTheme="majorBidi" w:hAnsiTheme="majorBidi" w:cstheme="majorBidi"/>
                <w:sz w:val="20"/>
              </w:rPr>
            </w:pPr>
            <w:r>
              <w:rPr>
                <w:rFonts w:asciiTheme="majorBidi" w:hAnsiTheme="majorBidi" w:cstheme="majorBidi"/>
                <w:color w:val="000000"/>
                <w:sz w:val="20"/>
              </w:rPr>
              <w:t>Taxes on income</w:t>
            </w:r>
          </w:p>
        </w:tc>
        <w:tc>
          <w:tcPr>
            <w:tcW w:w="880" w:type="dxa"/>
            <w:shd w:val="clear" w:color="auto" w:fill="auto"/>
            <w:noWrap/>
            <w:vAlign w:val="bottom"/>
            <w:hideMark/>
          </w:tcPr>
          <w:p w14:paraId="4B530CA3" w14:textId="029985B5" w:rsidR="00113E21" w:rsidRPr="002722B5" w:rsidRDefault="00113E21" w:rsidP="00113E21">
            <w:pPr>
              <w:spacing w:before="40"/>
              <w:jc w:val="right"/>
              <w:rPr>
                <w:rFonts w:asciiTheme="majorBidi" w:hAnsiTheme="majorBidi" w:cstheme="majorBidi"/>
                <w:sz w:val="20"/>
              </w:rPr>
            </w:pPr>
            <w:r w:rsidRPr="002722B5">
              <w:rPr>
                <w:rFonts w:asciiTheme="majorBidi" w:hAnsiTheme="majorBidi" w:cstheme="majorBidi"/>
                <w:color w:val="000000"/>
                <w:sz w:val="20"/>
              </w:rPr>
              <w:t>20</w:t>
            </w:r>
          </w:p>
        </w:tc>
        <w:tc>
          <w:tcPr>
            <w:tcW w:w="1210" w:type="dxa"/>
            <w:shd w:val="clear" w:color="auto" w:fill="auto"/>
            <w:noWrap/>
            <w:vAlign w:val="bottom"/>
          </w:tcPr>
          <w:p w14:paraId="4C18A261" w14:textId="3E5839BF" w:rsidR="00113E21" w:rsidRPr="00113E21" w:rsidRDefault="00113E21" w:rsidP="00516397">
            <w:pPr>
              <w:pBdr>
                <w:bottom w:val="single" w:sz="4" w:space="0" w:color="000000"/>
              </w:pBdr>
              <w:spacing w:before="40"/>
              <w:jc w:val="right"/>
              <w:rPr>
                <w:sz w:val="20"/>
              </w:rPr>
            </w:pPr>
            <w:r w:rsidRPr="00113E21">
              <w:rPr>
                <w:sz w:val="20"/>
              </w:rPr>
              <w:t>(34,513)</w:t>
            </w:r>
          </w:p>
        </w:tc>
        <w:tc>
          <w:tcPr>
            <w:tcW w:w="1211" w:type="dxa"/>
            <w:shd w:val="clear" w:color="auto" w:fill="auto"/>
            <w:noWrap/>
            <w:vAlign w:val="bottom"/>
          </w:tcPr>
          <w:p w14:paraId="681A42EB" w14:textId="2558CC57" w:rsidR="00113E21" w:rsidRPr="00A17F95" w:rsidRDefault="00113E21" w:rsidP="00113E21">
            <w:pPr>
              <w:pBdr>
                <w:bottom w:val="single" w:sz="4" w:space="0" w:color="000000"/>
              </w:pBdr>
              <w:spacing w:before="40"/>
              <w:jc w:val="right"/>
              <w:rPr>
                <w:rFonts w:asciiTheme="majorBidi" w:hAnsiTheme="majorBidi" w:cstheme="majorBidi"/>
                <w:sz w:val="20"/>
              </w:rPr>
            </w:pPr>
            <w:r>
              <w:rPr>
                <w:sz w:val="20"/>
              </w:rPr>
              <w:t>(11,586)</w:t>
            </w:r>
          </w:p>
        </w:tc>
        <w:tc>
          <w:tcPr>
            <w:tcW w:w="1211" w:type="dxa"/>
            <w:shd w:val="clear" w:color="auto" w:fill="auto"/>
            <w:noWrap/>
            <w:vAlign w:val="bottom"/>
          </w:tcPr>
          <w:p w14:paraId="52862FD9" w14:textId="5B670551" w:rsidR="00113E21" w:rsidRPr="009034AA" w:rsidRDefault="00113E21" w:rsidP="00113E21">
            <w:pPr>
              <w:pBdr>
                <w:bottom w:val="single" w:sz="4" w:space="0" w:color="000000"/>
              </w:pBdr>
              <w:spacing w:before="40"/>
              <w:jc w:val="right"/>
              <w:rPr>
                <w:rFonts w:asciiTheme="majorBidi" w:hAnsiTheme="majorBidi" w:cstheme="majorBidi"/>
                <w:sz w:val="20"/>
              </w:rPr>
            </w:pPr>
            <w:r w:rsidRPr="00A17F95">
              <w:rPr>
                <w:sz w:val="20"/>
              </w:rPr>
              <w:t>(24,665)</w:t>
            </w:r>
          </w:p>
        </w:tc>
      </w:tr>
      <w:tr w:rsidR="00113E21" w:rsidRPr="00866299" w14:paraId="19E763E4" w14:textId="77777777" w:rsidTr="006909F2">
        <w:trPr>
          <w:trHeight w:val="283"/>
        </w:trPr>
        <w:tc>
          <w:tcPr>
            <w:tcW w:w="5626" w:type="dxa"/>
            <w:shd w:val="clear" w:color="auto" w:fill="auto"/>
            <w:vAlign w:val="bottom"/>
            <w:hideMark/>
          </w:tcPr>
          <w:p w14:paraId="14A29E57" w14:textId="39C2FA36" w:rsidR="00113E21" w:rsidRPr="00866299" w:rsidRDefault="00113E21" w:rsidP="00113E21">
            <w:pPr>
              <w:spacing w:before="40"/>
              <w:rPr>
                <w:rFonts w:asciiTheme="majorBidi" w:hAnsiTheme="majorBidi" w:cstheme="majorBidi"/>
                <w:b/>
                <w:bCs/>
                <w:sz w:val="20"/>
              </w:rPr>
            </w:pPr>
            <w:r w:rsidRPr="00866299">
              <w:rPr>
                <w:rFonts w:asciiTheme="majorBidi" w:hAnsiTheme="majorBidi" w:cstheme="majorBidi"/>
                <w:b/>
                <w:bCs/>
                <w:color w:val="000000"/>
                <w:sz w:val="20"/>
              </w:rPr>
              <w:t>Profit</w:t>
            </w:r>
            <w:r>
              <w:rPr>
                <w:rFonts w:asciiTheme="majorBidi" w:hAnsiTheme="majorBidi" w:cstheme="majorBidi"/>
                <w:b/>
                <w:bCs/>
                <w:color w:val="000000"/>
                <w:sz w:val="20"/>
              </w:rPr>
              <w:t xml:space="preserve"> for the year</w:t>
            </w:r>
          </w:p>
        </w:tc>
        <w:tc>
          <w:tcPr>
            <w:tcW w:w="880" w:type="dxa"/>
            <w:shd w:val="clear" w:color="auto" w:fill="auto"/>
            <w:noWrap/>
            <w:vAlign w:val="bottom"/>
            <w:hideMark/>
          </w:tcPr>
          <w:p w14:paraId="3DA13CEF" w14:textId="77777777" w:rsidR="00113E21" w:rsidRPr="00617EA7" w:rsidRDefault="00113E21" w:rsidP="00113E21">
            <w:pPr>
              <w:spacing w:before="40"/>
              <w:jc w:val="right"/>
              <w:rPr>
                <w:rFonts w:asciiTheme="majorBidi" w:hAnsiTheme="majorBidi" w:cstheme="majorBidi"/>
                <w:sz w:val="20"/>
                <w:highlight w:val="yellow"/>
              </w:rPr>
            </w:pPr>
          </w:p>
        </w:tc>
        <w:tc>
          <w:tcPr>
            <w:tcW w:w="1210" w:type="dxa"/>
            <w:shd w:val="clear" w:color="auto" w:fill="auto"/>
            <w:noWrap/>
            <w:vAlign w:val="bottom"/>
          </w:tcPr>
          <w:p w14:paraId="6DAB61AE" w14:textId="3C98E2B3" w:rsidR="00113E21" w:rsidRPr="00113E21" w:rsidRDefault="00113E21" w:rsidP="00516397">
            <w:pPr>
              <w:pBdr>
                <w:bottom w:val="double" w:sz="4" w:space="0" w:color="000000"/>
              </w:pBdr>
              <w:spacing w:before="40"/>
              <w:jc w:val="right"/>
              <w:rPr>
                <w:sz w:val="20"/>
              </w:rPr>
            </w:pPr>
            <w:r w:rsidRPr="00113E21">
              <w:rPr>
                <w:sz w:val="20"/>
              </w:rPr>
              <w:t>108,254</w:t>
            </w:r>
          </w:p>
        </w:tc>
        <w:tc>
          <w:tcPr>
            <w:tcW w:w="1211" w:type="dxa"/>
            <w:shd w:val="clear" w:color="auto" w:fill="auto"/>
            <w:noWrap/>
            <w:vAlign w:val="bottom"/>
          </w:tcPr>
          <w:p w14:paraId="62CF4DA4" w14:textId="1A43D576" w:rsidR="00113E21" w:rsidRPr="00A17F95" w:rsidRDefault="00113E21" w:rsidP="00113E21">
            <w:pPr>
              <w:pBdr>
                <w:bottom w:val="double" w:sz="4" w:space="0" w:color="000000"/>
              </w:pBdr>
              <w:spacing w:before="40"/>
              <w:jc w:val="right"/>
              <w:rPr>
                <w:rFonts w:asciiTheme="majorBidi" w:hAnsiTheme="majorBidi" w:cstheme="majorBidi"/>
                <w:sz w:val="20"/>
              </w:rPr>
            </w:pPr>
            <w:r w:rsidRPr="003A3CFD">
              <w:rPr>
                <w:sz w:val="20"/>
              </w:rPr>
              <w:t xml:space="preserve">11,835 </w:t>
            </w:r>
          </w:p>
        </w:tc>
        <w:tc>
          <w:tcPr>
            <w:tcW w:w="1211" w:type="dxa"/>
            <w:shd w:val="clear" w:color="auto" w:fill="auto"/>
            <w:noWrap/>
            <w:vAlign w:val="bottom"/>
          </w:tcPr>
          <w:p w14:paraId="45E2691D" w14:textId="177D69C5" w:rsidR="00113E21" w:rsidRPr="009034AA" w:rsidRDefault="00113E21" w:rsidP="00113E21">
            <w:pPr>
              <w:pBdr>
                <w:bottom w:val="double" w:sz="4" w:space="0" w:color="000000"/>
              </w:pBdr>
              <w:spacing w:before="40"/>
              <w:jc w:val="right"/>
              <w:rPr>
                <w:rFonts w:asciiTheme="majorBidi" w:hAnsiTheme="majorBidi" w:cstheme="majorBidi"/>
                <w:sz w:val="20"/>
              </w:rPr>
            </w:pPr>
            <w:r w:rsidRPr="00A17F95">
              <w:rPr>
                <w:sz w:val="20"/>
              </w:rPr>
              <w:t>78,020</w:t>
            </w:r>
          </w:p>
        </w:tc>
      </w:tr>
      <w:tr w:rsidR="003B2B96" w:rsidRPr="00866299" w14:paraId="4818544E" w14:textId="77777777" w:rsidTr="006909F2">
        <w:trPr>
          <w:trHeight w:val="283"/>
        </w:trPr>
        <w:tc>
          <w:tcPr>
            <w:tcW w:w="5626" w:type="dxa"/>
            <w:shd w:val="clear" w:color="auto" w:fill="auto"/>
            <w:vAlign w:val="bottom"/>
            <w:hideMark/>
          </w:tcPr>
          <w:p w14:paraId="1AC6D9B1" w14:textId="77777777" w:rsidR="003B2B96" w:rsidRDefault="003B2B96" w:rsidP="003B2B96">
            <w:pPr>
              <w:spacing w:before="40"/>
              <w:rPr>
                <w:rFonts w:asciiTheme="majorBidi" w:hAnsiTheme="majorBidi" w:cstheme="majorBidi"/>
                <w:b/>
                <w:bCs/>
                <w:color w:val="000000"/>
                <w:sz w:val="20"/>
              </w:rPr>
            </w:pPr>
          </w:p>
          <w:p w14:paraId="5CEFD9F3" w14:textId="629F77E1" w:rsidR="003B2B96" w:rsidRPr="00866299" w:rsidRDefault="003B2B96" w:rsidP="003B2B96">
            <w:pPr>
              <w:spacing w:before="40"/>
              <w:rPr>
                <w:rFonts w:asciiTheme="majorBidi" w:hAnsiTheme="majorBidi" w:cstheme="majorBidi"/>
                <w:b/>
                <w:bCs/>
                <w:sz w:val="20"/>
                <w:lang w:bidi="he-IL"/>
              </w:rPr>
            </w:pPr>
            <w:r w:rsidRPr="00866299">
              <w:rPr>
                <w:rFonts w:asciiTheme="majorBidi" w:hAnsiTheme="majorBidi" w:cstheme="majorBidi"/>
                <w:b/>
                <w:bCs/>
                <w:color w:val="000000"/>
                <w:sz w:val="20"/>
              </w:rPr>
              <w:t>Attributable to:</w:t>
            </w:r>
          </w:p>
        </w:tc>
        <w:tc>
          <w:tcPr>
            <w:tcW w:w="880" w:type="dxa"/>
            <w:shd w:val="clear" w:color="auto" w:fill="auto"/>
            <w:noWrap/>
            <w:vAlign w:val="bottom"/>
            <w:hideMark/>
          </w:tcPr>
          <w:p w14:paraId="78891AFD" w14:textId="77777777" w:rsidR="003B2B96" w:rsidRPr="00866299" w:rsidRDefault="003B2B96" w:rsidP="003B2B96">
            <w:pPr>
              <w:spacing w:before="40"/>
              <w:jc w:val="right"/>
              <w:rPr>
                <w:rFonts w:asciiTheme="majorBidi" w:hAnsiTheme="majorBidi" w:cstheme="majorBidi"/>
                <w:sz w:val="20"/>
                <w:highlight w:val="yellow"/>
              </w:rPr>
            </w:pPr>
          </w:p>
        </w:tc>
        <w:tc>
          <w:tcPr>
            <w:tcW w:w="1210" w:type="dxa"/>
            <w:shd w:val="clear" w:color="auto" w:fill="auto"/>
            <w:noWrap/>
            <w:vAlign w:val="bottom"/>
          </w:tcPr>
          <w:p w14:paraId="3EDD4256" w14:textId="77777777" w:rsidR="003B2B96" w:rsidRPr="00113E21" w:rsidRDefault="003B2B96" w:rsidP="00516397">
            <w:pPr>
              <w:spacing w:before="40"/>
              <w:jc w:val="right"/>
              <w:rPr>
                <w:sz w:val="20"/>
              </w:rPr>
            </w:pPr>
          </w:p>
        </w:tc>
        <w:tc>
          <w:tcPr>
            <w:tcW w:w="1211" w:type="dxa"/>
            <w:shd w:val="clear" w:color="auto" w:fill="auto"/>
            <w:noWrap/>
            <w:vAlign w:val="bottom"/>
          </w:tcPr>
          <w:p w14:paraId="4946C2C5" w14:textId="77777777" w:rsidR="003B2B96" w:rsidRPr="00A17F95" w:rsidRDefault="003B2B96" w:rsidP="003B2B96">
            <w:pPr>
              <w:spacing w:before="40"/>
              <w:jc w:val="right"/>
              <w:rPr>
                <w:rFonts w:asciiTheme="majorBidi" w:eastAsia="Calibri" w:hAnsiTheme="majorBidi" w:cstheme="majorBidi"/>
                <w:sz w:val="20"/>
              </w:rPr>
            </w:pPr>
          </w:p>
        </w:tc>
        <w:tc>
          <w:tcPr>
            <w:tcW w:w="1211" w:type="dxa"/>
            <w:shd w:val="clear" w:color="auto" w:fill="auto"/>
            <w:noWrap/>
            <w:vAlign w:val="bottom"/>
          </w:tcPr>
          <w:p w14:paraId="3AAADE20" w14:textId="77777777" w:rsidR="003B2B96" w:rsidRPr="009034AA" w:rsidRDefault="003B2B96" w:rsidP="003B2B96">
            <w:pPr>
              <w:spacing w:before="40"/>
              <w:jc w:val="right"/>
              <w:rPr>
                <w:rFonts w:asciiTheme="majorBidi" w:eastAsia="Calibri" w:hAnsiTheme="majorBidi" w:cstheme="majorBidi"/>
                <w:b/>
                <w:bCs/>
                <w:sz w:val="20"/>
              </w:rPr>
            </w:pPr>
          </w:p>
        </w:tc>
      </w:tr>
      <w:tr w:rsidR="00113E21" w:rsidRPr="00866299" w14:paraId="37E6A918" w14:textId="77777777" w:rsidTr="006909F2">
        <w:trPr>
          <w:trHeight w:val="283"/>
        </w:trPr>
        <w:tc>
          <w:tcPr>
            <w:tcW w:w="5626" w:type="dxa"/>
            <w:shd w:val="clear" w:color="auto" w:fill="auto"/>
            <w:vAlign w:val="bottom"/>
            <w:hideMark/>
          </w:tcPr>
          <w:p w14:paraId="686716A4" w14:textId="77777777" w:rsidR="00113E21" w:rsidRPr="00866299" w:rsidRDefault="00113E21" w:rsidP="00113E21">
            <w:pPr>
              <w:spacing w:before="40"/>
              <w:ind w:left="170"/>
              <w:rPr>
                <w:rFonts w:asciiTheme="majorBidi" w:hAnsiTheme="majorBidi" w:cstheme="majorBidi"/>
                <w:sz w:val="20"/>
              </w:rPr>
            </w:pPr>
            <w:r w:rsidRPr="00866299">
              <w:rPr>
                <w:rFonts w:asciiTheme="majorBidi" w:hAnsiTheme="majorBidi" w:cstheme="majorBidi"/>
                <w:color w:val="000000"/>
                <w:sz w:val="20"/>
              </w:rPr>
              <w:t>Equity holders of the parent</w:t>
            </w:r>
          </w:p>
        </w:tc>
        <w:tc>
          <w:tcPr>
            <w:tcW w:w="880" w:type="dxa"/>
            <w:shd w:val="clear" w:color="auto" w:fill="auto"/>
            <w:noWrap/>
            <w:vAlign w:val="bottom"/>
            <w:hideMark/>
          </w:tcPr>
          <w:p w14:paraId="55DC7768" w14:textId="77777777" w:rsidR="00113E21" w:rsidRPr="00866299" w:rsidRDefault="00113E21" w:rsidP="00113E21">
            <w:pPr>
              <w:spacing w:before="40"/>
              <w:jc w:val="right"/>
              <w:rPr>
                <w:rFonts w:asciiTheme="majorBidi" w:hAnsiTheme="majorBidi" w:cstheme="majorBidi"/>
                <w:sz w:val="20"/>
                <w:highlight w:val="yellow"/>
              </w:rPr>
            </w:pPr>
          </w:p>
        </w:tc>
        <w:tc>
          <w:tcPr>
            <w:tcW w:w="1210" w:type="dxa"/>
            <w:shd w:val="clear" w:color="auto" w:fill="auto"/>
            <w:noWrap/>
            <w:vAlign w:val="bottom"/>
          </w:tcPr>
          <w:p w14:paraId="05DDA4DB" w14:textId="6E81531E" w:rsidR="00113E21" w:rsidRPr="00113E21" w:rsidRDefault="00113E21" w:rsidP="00516397">
            <w:pPr>
              <w:spacing w:before="40"/>
              <w:jc w:val="right"/>
              <w:rPr>
                <w:sz w:val="20"/>
              </w:rPr>
            </w:pPr>
            <w:r w:rsidRPr="00113E21">
              <w:rPr>
                <w:sz w:val="20"/>
              </w:rPr>
              <w:t>106,608</w:t>
            </w:r>
          </w:p>
        </w:tc>
        <w:tc>
          <w:tcPr>
            <w:tcW w:w="1211" w:type="dxa"/>
            <w:shd w:val="clear" w:color="auto" w:fill="auto"/>
            <w:noWrap/>
            <w:vAlign w:val="bottom"/>
          </w:tcPr>
          <w:p w14:paraId="230A1165" w14:textId="414F7665" w:rsidR="00113E21" w:rsidRPr="00A17F95" w:rsidRDefault="00113E21" w:rsidP="00113E21">
            <w:pPr>
              <w:spacing w:before="40"/>
              <w:jc w:val="right"/>
              <w:rPr>
                <w:rFonts w:asciiTheme="majorBidi" w:hAnsiTheme="majorBidi" w:cstheme="majorBidi"/>
                <w:sz w:val="20"/>
              </w:rPr>
            </w:pPr>
            <w:r w:rsidRPr="009645F5">
              <w:rPr>
                <w:sz w:val="20"/>
              </w:rPr>
              <w:t xml:space="preserve">11,362 </w:t>
            </w:r>
          </w:p>
        </w:tc>
        <w:tc>
          <w:tcPr>
            <w:tcW w:w="1211" w:type="dxa"/>
            <w:shd w:val="clear" w:color="auto" w:fill="auto"/>
            <w:noWrap/>
            <w:vAlign w:val="bottom"/>
          </w:tcPr>
          <w:p w14:paraId="544A0D22" w14:textId="162CF0FB" w:rsidR="00113E21" w:rsidRPr="009034AA" w:rsidRDefault="00113E21" w:rsidP="00113E21">
            <w:pPr>
              <w:spacing w:before="40"/>
              <w:jc w:val="right"/>
              <w:rPr>
                <w:rFonts w:asciiTheme="majorBidi" w:hAnsiTheme="majorBidi" w:cstheme="majorBidi"/>
                <w:sz w:val="20"/>
              </w:rPr>
            </w:pPr>
            <w:r w:rsidRPr="00A17F95">
              <w:rPr>
                <w:sz w:val="20"/>
              </w:rPr>
              <w:t>77,398</w:t>
            </w:r>
          </w:p>
        </w:tc>
      </w:tr>
      <w:tr w:rsidR="00113E21" w:rsidRPr="00866299" w14:paraId="12A18BDC" w14:textId="77777777" w:rsidTr="006909F2">
        <w:trPr>
          <w:trHeight w:val="283"/>
        </w:trPr>
        <w:tc>
          <w:tcPr>
            <w:tcW w:w="5626" w:type="dxa"/>
            <w:shd w:val="clear" w:color="auto" w:fill="auto"/>
            <w:vAlign w:val="bottom"/>
            <w:hideMark/>
          </w:tcPr>
          <w:p w14:paraId="26F1CC18" w14:textId="77777777" w:rsidR="00113E21" w:rsidRPr="00866299" w:rsidRDefault="00113E21" w:rsidP="00113E21">
            <w:pPr>
              <w:spacing w:before="40"/>
              <w:ind w:left="170"/>
              <w:rPr>
                <w:rFonts w:asciiTheme="majorBidi" w:hAnsiTheme="majorBidi" w:cstheme="majorBidi"/>
                <w:sz w:val="20"/>
                <w:lang w:bidi="he-IL"/>
              </w:rPr>
            </w:pPr>
            <w:r w:rsidRPr="00866299">
              <w:rPr>
                <w:rFonts w:asciiTheme="majorBidi" w:hAnsiTheme="majorBidi" w:cstheme="majorBidi"/>
                <w:color w:val="000000"/>
                <w:sz w:val="20"/>
              </w:rPr>
              <w:t>Non-controlling interest</w:t>
            </w:r>
          </w:p>
        </w:tc>
        <w:tc>
          <w:tcPr>
            <w:tcW w:w="880" w:type="dxa"/>
            <w:shd w:val="clear" w:color="auto" w:fill="auto"/>
            <w:noWrap/>
            <w:vAlign w:val="bottom"/>
            <w:hideMark/>
          </w:tcPr>
          <w:p w14:paraId="252F8E69" w14:textId="77777777" w:rsidR="00113E21" w:rsidRPr="00866299" w:rsidRDefault="00113E21" w:rsidP="00113E21">
            <w:pPr>
              <w:spacing w:before="40"/>
              <w:jc w:val="right"/>
              <w:rPr>
                <w:rFonts w:asciiTheme="majorBidi" w:hAnsiTheme="majorBidi" w:cstheme="majorBidi"/>
                <w:sz w:val="20"/>
                <w:highlight w:val="yellow"/>
              </w:rPr>
            </w:pPr>
          </w:p>
        </w:tc>
        <w:tc>
          <w:tcPr>
            <w:tcW w:w="1210" w:type="dxa"/>
            <w:shd w:val="clear" w:color="auto" w:fill="auto"/>
            <w:noWrap/>
            <w:vAlign w:val="bottom"/>
          </w:tcPr>
          <w:p w14:paraId="2C7715E2" w14:textId="325F390E" w:rsidR="00113E21" w:rsidRPr="00113E21" w:rsidRDefault="00113E21" w:rsidP="00516397">
            <w:pPr>
              <w:pBdr>
                <w:bottom w:val="single" w:sz="4" w:space="0" w:color="000000"/>
              </w:pBdr>
              <w:spacing w:before="40"/>
              <w:jc w:val="right"/>
              <w:rPr>
                <w:sz w:val="20"/>
              </w:rPr>
            </w:pPr>
            <w:r w:rsidRPr="00113E21">
              <w:rPr>
                <w:sz w:val="20"/>
              </w:rPr>
              <w:t>1,646</w:t>
            </w:r>
          </w:p>
        </w:tc>
        <w:tc>
          <w:tcPr>
            <w:tcW w:w="1211" w:type="dxa"/>
            <w:shd w:val="clear" w:color="auto" w:fill="auto"/>
            <w:noWrap/>
            <w:vAlign w:val="bottom"/>
          </w:tcPr>
          <w:p w14:paraId="6F8F3A5E" w14:textId="55257BB7" w:rsidR="00113E21" w:rsidRPr="00A17F95" w:rsidRDefault="00113E21" w:rsidP="00113E21">
            <w:pPr>
              <w:pBdr>
                <w:bottom w:val="single" w:sz="4" w:space="0" w:color="000000"/>
              </w:pBdr>
              <w:spacing w:before="40"/>
              <w:jc w:val="right"/>
              <w:rPr>
                <w:rFonts w:asciiTheme="majorBidi" w:hAnsiTheme="majorBidi" w:cstheme="majorBidi"/>
                <w:sz w:val="20"/>
              </w:rPr>
            </w:pPr>
            <w:r w:rsidRPr="009645F5">
              <w:rPr>
                <w:sz w:val="20"/>
              </w:rPr>
              <w:t xml:space="preserve">473 </w:t>
            </w:r>
          </w:p>
        </w:tc>
        <w:tc>
          <w:tcPr>
            <w:tcW w:w="1211" w:type="dxa"/>
            <w:shd w:val="clear" w:color="auto" w:fill="auto"/>
            <w:noWrap/>
            <w:vAlign w:val="bottom"/>
          </w:tcPr>
          <w:p w14:paraId="64BF1BFC" w14:textId="3D3309C8" w:rsidR="00113E21" w:rsidRPr="009034AA" w:rsidRDefault="00113E21" w:rsidP="00113E21">
            <w:pPr>
              <w:pBdr>
                <w:bottom w:val="single" w:sz="4" w:space="0" w:color="000000"/>
              </w:pBdr>
              <w:spacing w:before="40"/>
              <w:jc w:val="right"/>
              <w:rPr>
                <w:rFonts w:asciiTheme="majorBidi" w:hAnsiTheme="majorBidi" w:cstheme="majorBidi"/>
                <w:sz w:val="20"/>
              </w:rPr>
            </w:pPr>
            <w:r w:rsidRPr="00A17F95">
              <w:rPr>
                <w:sz w:val="20"/>
              </w:rPr>
              <w:t>622</w:t>
            </w:r>
          </w:p>
        </w:tc>
      </w:tr>
      <w:tr w:rsidR="00113E21" w:rsidRPr="00866299" w14:paraId="47214EC9" w14:textId="77777777" w:rsidTr="006909F2">
        <w:trPr>
          <w:trHeight w:val="283"/>
        </w:trPr>
        <w:tc>
          <w:tcPr>
            <w:tcW w:w="5626" w:type="dxa"/>
            <w:shd w:val="clear" w:color="auto" w:fill="auto"/>
            <w:vAlign w:val="bottom"/>
            <w:hideMark/>
          </w:tcPr>
          <w:p w14:paraId="5A7F2D52" w14:textId="7D875748" w:rsidR="00113E21" w:rsidRPr="00866299" w:rsidRDefault="00113E21" w:rsidP="00113E21">
            <w:pPr>
              <w:spacing w:before="40"/>
              <w:rPr>
                <w:rFonts w:asciiTheme="majorBidi" w:hAnsiTheme="majorBidi" w:cstheme="majorBidi"/>
                <w:b/>
                <w:bCs/>
                <w:sz w:val="20"/>
              </w:rPr>
            </w:pPr>
            <w:r w:rsidRPr="00866299">
              <w:rPr>
                <w:rFonts w:asciiTheme="majorBidi" w:hAnsiTheme="majorBidi" w:cstheme="majorBidi"/>
                <w:b/>
                <w:bCs/>
                <w:color w:val="000000"/>
                <w:sz w:val="20"/>
              </w:rPr>
              <w:t>Profit</w:t>
            </w:r>
            <w:r>
              <w:rPr>
                <w:rFonts w:asciiTheme="majorBidi" w:hAnsiTheme="majorBidi" w:cstheme="majorBidi"/>
                <w:b/>
                <w:bCs/>
                <w:color w:val="000000"/>
                <w:sz w:val="20"/>
              </w:rPr>
              <w:t xml:space="preserve"> </w:t>
            </w:r>
            <w:r w:rsidRPr="00866299">
              <w:rPr>
                <w:rFonts w:asciiTheme="majorBidi" w:hAnsiTheme="majorBidi" w:cstheme="majorBidi"/>
                <w:b/>
                <w:bCs/>
                <w:color w:val="000000"/>
                <w:sz w:val="20"/>
              </w:rPr>
              <w:t>for the year</w:t>
            </w:r>
          </w:p>
        </w:tc>
        <w:tc>
          <w:tcPr>
            <w:tcW w:w="880" w:type="dxa"/>
            <w:shd w:val="clear" w:color="auto" w:fill="auto"/>
            <w:noWrap/>
            <w:vAlign w:val="bottom"/>
            <w:hideMark/>
          </w:tcPr>
          <w:p w14:paraId="5BFA77AE" w14:textId="77777777" w:rsidR="00113E21" w:rsidRPr="00866299" w:rsidRDefault="00113E21" w:rsidP="00113E21">
            <w:pPr>
              <w:spacing w:before="40"/>
              <w:jc w:val="right"/>
              <w:rPr>
                <w:rFonts w:asciiTheme="majorBidi" w:hAnsiTheme="majorBidi" w:cstheme="majorBidi"/>
                <w:sz w:val="20"/>
                <w:highlight w:val="yellow"/>
              </w:rPr>
            </w:pPr>
          </w:p>
        </w:tc>
        <w:tc>
          <w:tcPr>
            <w:tcW w:w="1210" w:type="dxa"/>
            <w:shd w:val="clear" w:color="auto" w:fill="auto"/>
            <w:noWrap/>
            <w:vAlign w:val="bottom"/>
          </w:tcPr>
          <w:p w14:paraId="32CE46B2" w14:textId="072C8EBE" w:rsidR="00113E21" w:rsidRPr="009645F5" w:rsidRDefault="00113E21" w:rsidP="00516397">
            <w:pPr>
              <w:pBdr>
                <w:bottom w:val="double" w:sz="4" w:space="0" w:color="000000"/>
              </w:pBdr>
              <w:spacing w:before="40"/>
              <w:jc w:val="right"/>
              <w:rPr>
                <w:sz w:val="20"/>
                <w:szCs w:val="16"/>
                <w:highlight w:val="yellow"/>
              </w:rPr>
            </w:pPr>
            <w:r w:rsidRPr="00113E21">
              <w:rPr>
                <w:sz w:val="20"/>
              </w:rPr>
              <w:t>108,254</w:t>
            </w:r>
          </w:p>
        </w:tc>
        <w:tc>
          <w:tcPr>
            <w:tcW w:w="1211" w:type="dxa"/>
            <w:shd w:val="clear" w:color="auto" w:fill="auto"/>
            <w:noWrap/>
            <w:vAlign w:val="bottom"/>
          </w:tcPr>
          <w:p w14:paraId="2E7AF780" w14:textId="6A0B1984" w:rsidR="00113E21" w:rsidRPr="00A17F95" w:rsidRDefault="00113E21" w:rsidP="00113E21">
            <w:pPr>
              <w:pBdr>
                <w:bottom w:val="double" w:sz="4" w:space="0" w:color="000000"/>
              </w:pBdr>
              <w:spacing w:before="40"/>
              <w:jc w:val="right"/>
              <w:rPr>
                <w:rFonts w:asciiTheme="majorBidi" w:hAnsiTheme="majorBidi" w:cstheme="majorBidi"/>
                <w:sz w:val="20"/>
              </w:rPr>
            </w:pPr>
            <w:r w:rsidRPr="003A3CFD">
              <w:rPr>
                <w:sz w:val="20"/>
              </w:rPr>
              <w:t xml:space="preserve">11,835 </w:t>
            </w:r>
          </w:p>
        </w:tc>
        <w:tc>
          <w:tcPr>
            <w:tcW w:w="1211" w:type="dxa"/>
            <w:shd w:val="clear" w:color="auto" w:fill="auto"/>
            <w:noWrap/>
            <w:vAlign w:val="bottom"/>
          </w:tcPr>
          <w:p w14:paraId="3E75C55D" w14:textId="6D10EDA2" w:rsidR="00113E21" w:rsidRPr="009034AA" w:rsidRDefault="00113E21" w:rsidP="00113E21">
            <w:pPr>
              <w:pBdr>
                <w:bottom w:val="double" w:sz="4" w:space="0" w:color="000000"/>
              </w:pBdr>
              <w:spacing w:before="40"/>
              <w:jc w:val="right"/>
              <w:rPr>
                <w:rFonts w:asciiTheme="majorBidi" w:hAnsiTheme="majorBidi" w:cstheme="majorBidi"/>
                <w:sz w:val="20"/>
              </w:rPr>
            </w:pPr>
            <w:r w:rsidRPr="00A17F95">
              <w:rPr>
                <w:sz w:val="20"/>
              </w:rPr>
              <w:t>78,020</w:t>
            </w:r>
          </w:p>
        </w:tc>
      </w:tr>
    </w:tbl>
    <w:p w14:paraId="63D8523A" w14:textId="6C5D2202" w:rsidR="00C35D07" w:rsidRDefault="00C35D07" w:rsidP="004A3C21">
      <w:pPr>
        <w:widowControl w:val="0"/>
        <w:overflowPunct w:val="0"/>
        <w:autoSpaceDE w:val="0"/>
        <w:autoSpaceDN w:val="0"/>
        <w:adjustRightInd w:val="0"/>
        <w:rPr>
          <w:sz w:val="22"/>
          <w:szCs w:val="22"/>
        </w:rPr>
      </w:pPr>
    </w:p>
    <w:p w14:paraId="4BEEA308" w14:textId="1CF150EF" w:rsidR="00DB70C3" w:rsidRDefault="00DB70C3" w:rsidP="004A3C21">
      <w:pPr>
        <w:widowControl w:val="0"/>
        <w:overflowPunct w:val="0"/>
        <w:autoSpaceDE w:val="0"/>
        <w:autoSpaceDN w:val="0"/>
        <w:adjustRightInd w:val="0"/>
        <w:rPr>
          <w:sz w:val="22"/>
          <w:szCs w:val="22"/>
        </w:rPr>
      </w:pPr>
    </w:p>
    <w:p w14:paraId="70BAB14B" w14:textId="45308D98" w:rsidR="00DB70C3" w:rsidRDefault="00DB70C3" w:rsidP="004A3C21">
      <w:pPr>
        <w:widowControl w:val="0"/>
        <w:overflowPunct w:val="0"/>
        <w:autoSpaceDE w:val="0"/>
        <w:autoSpaceDN w:val="0"/>
        <w:adjustRightInd w:val="0"/>
        <w:rPr>
          <w:sz w:val="22"/>
          <w:szCs w:val="22"/>
        </w:rPr>
      </w:pPr>
    </w:p>
    <w:p w14:paraId="72B4EA17" w14:textId="77777777" w:rsidR="00DB70C3" w:rsidRPr="00F02921" w:rsidRDefault="00DB70C3" w:rsidP="004A3C21">
      <w:pPr>
        <w:widowControl w:val="0"/>
        <w:overflowPunct w:val="0"/>
        <w:autoSpaceDE w:val="0"/>
        <w:autoSpaceDN w:val="0"/>
        <w:adjustRightInd w:val="0"/>
        <w:rPr>
          <w:sz w:val="22"/>
          <w:szCs w:val="22"/>
        </w:rPr>
      </w:pPr>
    </w:p>
    <w:p w14:paraId="7CD779C5" w14:textId="2BC95403" w:rsidR="009F3F1C" w:rsidRPr="00FE36F8" w:rsidRDefault="00C35D07">
      <w:pPr>
        <w:rPr>
          <w:sz w:val="20"/>
          <w:lang w:bidi="he-IL"/>
        </w:rPr>
        <w:sectPr w:rsidR="009F3F1C" w:rsidRPr="00FE36F8" w:rsidSect="00593E8F">
          <w:headerReference w:type="default" r:id="rId19"/>
          <w:endnotePr>
            <w:numFmt w:val="lowerLetter"/>
          </w:endnotePr>
          <w:type w:val="nextColumn"/>
          <w:pgSz w:w="11906" w:h="16838"/>
          <w:pgMar w:top="1134" w:right="1134" w:bottom="1134" w:left="1134" w:header="567" w:footer="567" w:gutter="0"/>
          <w:paperSrc w:first="15" w:other="15"/>
          <w:cols w:space="720"/>
          <w:bidi/>
          <w:docGrid w:linePitch="326"/>
        </w:sectPr>
      </w:pPr>
      <w:r w:rsidRPr="00FE36F8">
        <w:rPr>
          <w:sz w:val="20"/>
        </w:rPr>
        <w:t>The accompanying notes</w:t>
      </w:r>
      <w:r w:rsidR="00B55465" w:rsidRPr="00FE36F8">
        <w:rPr>
          <w:sz w:val="20"/>
        </w:rPr>
        <w:t xml:space="preserve"> are</w:t>
      </w:r>
      <w:r w:rsidR="00802D81">
        <w:rPr>
          <w:sz w:val="20"/>
        </w:rPr>
        <w:t xml:space="preserve"> an</w:t>
      </w:r>
      <w:r w:rsidRPr="00FE36F8">
        <w:rPr>
          <w:sz w:val="20"/>
        </w:rPr>
        <w:t xml:space="preserve"> integral part of these consolidated financial statements.</w:t>
      </w:r>
    </w:p>
    <w:p w14:paraId="0C1071FB" w14:textId="77777777" w:rsidR="002E76E0" w:rsidRPr="00897811" w:rsidRDefault="002E76E0" w:rsidP="008D6B13">
      <w:pPr>
        <w:outlineLvl w:val="2"/>
        <w:rPr>
          <w:color w:val="FFFFFF" w:themeColor="background1"/>
          <w:sz w:val="20"/>
        </w:rPr>
      </w:pPr>
      <w:bookmarkStart w:id="11" w:name="H2_Consolidated_statement_of_other_compr"/>
      <w:r w:rsidRPr="00897811">
        <w:rPr>
          <w:b/>
          <w:bCs/>
          <w:color w:val="FFFFFF" w:themeColor="background1"/>
          <w:sz w:val="20"/>
          <w:szCs w:val="22"/>
        </w:rPr>
        <w:lastRenderedPageBreak/>
        <w:t>Consolidated statement of other comprehensive income for the year ended December 31,</w:t>
      </w:r>
    </w:p>
    <w:bookmarkEnd w:id="11"/>
    <w:p w14:paraId="7DC2A143" w14:textId="77777777" w:rsidR="00AF043D" w:rsidRDefault="00AF043D" w:rsidP="002334A3">
      <w:pPr>
        <w:rPr>
          <w:rStyle w:val="Koteret"/>
          <w:b w:val="0"/>
          <w:bCs/>
          <w:i/>
          <w:iCs/>
          <w:lang w:bidi="he-IL"/>
        </w:rPr>
      </w:pPr>
    </w:p>
    <w:p w14:paraId="0205EA36" w14:textId="77777777" w:rsidR="00C35D07" w:rsidRPr="002334A3" w:rsidRDefault="00C35D07" w:rsidP="002334A3">
      <w:pPr>
        <w:rPr>
          <w:bCs/>
          <w:i/>
          <w:iCs/>
          <w:sz w:val="18"/>
        </w:rPr>
      </w:pPr>
      <w:r w:rsidRPr="00F02921">
        <w:rPr>
          <w:rStyle w:val="Koteret"/>
          <w:b w:val="0"/>
          <w:bCs/>
          <w:i/>
          <w:iCs/>
        </w:rPr>
        <w:t>In thousands of Euros</w:t>
      </w:r>
    </w:p>
    <w:tbl>
      <w:tblPr>
        <w:tblW w:w="0" w:type="auto"/>
        <w:tblLayout w:type="fixed"/>
        <w:tblCellMar>
          <w:left w:w="0" w:type="dxa"/>
          <w:right w:w="0" w:type="dxa"/>
        </w:tblCellMar>
        <w:tblLook w:val="06E0" w:firstRow="1" w:lastRow="1" w:firstColumn="1" w:lastColumn="0" w:noHBand="1" w:noVBand="1"/>
        <w:tblCaption w:val="AHR01"/>
        <w:tblDescription w:val="Consolidated statement of other comprehensive income "/>
      </w:tblPr>
      <w:tblGrid>
        <w:gridCol w:w="6237"/>
        <w:gridCol w:w="1080"/>
        <w:gridCol w:w="1080"/>
        <w:gridCol w:w="1080"/>
      </w:tblGrid>
      <w:tr w:rsidR="003B2B96" w:rsidRPr="00985EAD" w14:paraId="2A60D0AA" w14:textId="77777777" w:rsidTr="006909F2">
        <w:trPr>
          <w:trHeight w:val="283"/>
          <w:tblHeader/>
        </w:trPr>
        <w:tc>
          <w:tcPr>
            <w:tcW w:w="6237" w:type="dxa"/>
            <w:shd w:val="clear" w:color="auto" w:fill="auto"/>
            <w:vAlign w:val="bottom"/>
            <w:hideMark/>
          </w:tcPr>
          <w:p w14:paraId="37F6BE42" w14:textId="77777777" w:rsidR="003B2B96" w:rsidRPr="00985EAD" w:rsidRDefault="003B2B96" w:rsidP="003B2B96">
            <w:pPr>
              <w:spacing w:before="40"/>
              <w:rPr>
                <w:rFonts w:asciiTheme="majorBidi" w:eastAsia="Arial" w:hAnsiTheme="majorBidi" w:cstheme="majorBidi"/>
                <w:sz w:val="20"/>
              </w:rPr>
            </w:pPr>
            <w:bookmarkStart w:id="12" w:name="Title_5" w:colFirst="0" w:colLast="0"/>
          </w:p>
        </w:tc>
        <w:tc>
          <w:tcPr>
            <w:tcW w:w="1080" w:type="dxa"/>
            <w:shd w:val="clear" w:color="auto" w:fill="auto"/>
            <w:vAlign w:val="bottom"/>
            <w:hideMark/>
          </w:tcPr>
          <w:p w14:paraId="0FEDBD01" w14:textId="414FADE7" w:rsidR="003B2B96" w:rsidRPr="00F17A8B" w:rsidRDefault="003B2B96" w:rsidP="003B2B96">
            <w:pPr>
              <w:pBdr>
                <w:bottom w:val="single" w:sz="4" w:space="0" w:color="000000"/>
              </w:pBdr>
              <w:bidi/>
              <w:spacing w:before="40"/>
              <w:ind w:left="57"/>
              <w:jc w:val="center"/>
              <w:rPr>
                <w:rFonts w:asciiTheme="majorBidi" w:hAnsiTheme="majorBidi" w:cstheme="majorBidi"/>
                <w:b/>
                <w:bCs/>
                <w:color w:val="000000"/>
                <w:sz w:val="20"/>
              </w:rPr>
            </w:pPr>
            <w:r>
              <w:rPr>
                <w:rFonts w:asciiTheme="majorBidi" w:hAnsiTheme="majorBidi" w:cstheme="majorBidi"/>
                <w:b/>
                <w:bCs/>
                <w:color w:val="000000"/>
                <w:sz w:val="20"/>
              </w:rPr>
              <w:t>2024</w:t>
            </w:r>
          </w:p>
        </w:tc>
        <w:tc>
          <w:tcPr>
            <w:tcW w:w="1080" w:type="dxa"/>
            <w:shd w:val="clear" w:color="auto" w:fill="auto"/>
            <w:vAlign w:val="bottom"/>
            <w:hideMark/>
          </w:tcPr>
          <w:p w14:paraId="2E787D5F" w14:textId="07CE546E" w:rsidR="003B2B96" w:rsidRPr="00F17A8B" w:rsidRDefault="003B2B96" w:rsidP="003B2B96">
            <w:pPr>
              <w:pBdr>
                <w:bottom w:val="single" w:sz="4" w:space="0" w:color="000000"/>
              </w:pBdr>
              <w:bidi/>
              <w:spacing w:before="40"/>
              <w:ind w:left="57"/>
              <w:jc w:val="center"/>
              <w:rPr>
                <w:rFonts w:asciiTheme="majorBidi" w:hAnsiTheme="majorBidi" w:cstheme="majorBidi"/>
                <w:b/>
                <w:bCs/>
                <w:sz w:val="20"/>
              </w:rPr>
            </w:pPr>
            <w:r>
              <w:rPr>
                <w:rFonts w:asciiTheme="majorBidi" w:hAnsiTheme="majorBidi" w:cstheme="majorBidi"/>
                <w:b/>
                <w:bCs/>
                <w:color w:val="000000"/>
                <w:sz w:val="20"/>
              </w:rPr>
              <w:t>2023</w:t>
            </w:r>
          </w:p>
        </w:tc>
        <w:tc>
          <w:tcPr>
            <w:tcW w:w="1080" w:type="dxa"/>
            <w:shd w:val="clear" w:color="auto" w:fill="auto"/>
            <w:hideMark/>
          </w:tcPr>
          <w:p w14:paraId="5F6E6D37" w14:textId="685CDC63" w:rsidR="003B2B96" w:rsidRPr="00F17A8B" w:rsidRDefault="003B2B96" w:rsidP="003B2B96">
            <w:pPr>
              <w:pBdr>
                <w:bottom w:val="single" w:sz="4" w:space="0" w:color="000000"/>
              </w:pBdr>
              <w:bidi/>
              <w:spacing w:before="40"/>
              <w:ind w:left="57"/>
              <w:jc w:val="center"/>
              <w:rPr>
                <w:rFonts w:asciiTheme="majorBidi" w:hAnsiTheme="majorBidi" w:cstheme="majorBidi"/>
                <w:b/>
                <w:bCs/>
                <w:sz w:val="20"/>
              </w:rPr>
            </w:pPr>
            <w:r>
              <w:rPr>
                <w:b/>
                <w:bCs/>
                <w:sz w:val="20"/>
              </w:rPr>
              <w:t>2022</w:t>
            </w:r>
          </w:p>
        </w:tc>
      </w:tr>
      <w:bookmarkEnd w:id="12"/>
      <w:tr w:rsidR="003B2B96" w:rsidRPr="00985EAD" w14:paraId="3511EA95" w14:textId="77777777" w:rsidTr="006909F2">
        <w:trPr>
          <w:trHeight w:val="283"/>
        </w:trPr>
        <w:tc>
          <w:tcPr>
            <w:tcW w:w="6237" w:type="dxa"/>
            <w:shd w:val="clear" w:color="auto" w:fill="auto"/>
            <w:vAlign w:val="bottom"/>
          </w:tcPr>
          <w:p w14:paraId="246C5CBC" w14:textId="77777777" w:rsidR="003B2B96" w:rsidRDefault="003B2B96" w:rsidP="003B2B96">
            <w:pPr>
              <w:spacing w:before="40"/>
              <w:rPr>
                <w:rFonts w:asciiTheme="majorBidi" w:hAnsiTheme="majorBidi" w:cstheme="majorBidi"/>
                <w:color w:val="000000"/>
                <w:sz w:val="20"/>
              </w:rPr>
            </w:pPr>
          </w:p>
          <w:p w14:paraId="697BEE65" w14:textId="4F5F8B8D" w:rsidR="003B2B96" w:rsidRPr="00985EAD" w:rsidRDefault="003B2B96" w:rsidP="003B2B96">
            <w:pPr>
              <w:spacing w:before="40"/>
              <w:rPr>
                <w:rFonts w:asciiTheme="majorBidi" w:hAnsiTheme="majorBidi" w:cstheme="majorBidi"/>
                <w:color w:val="000000"/>
                <w:sz w:val="20"/>
              </w:rPr>
            </w:pPr>
            <w:r w:rsidRPr="00985EAD">
              <w:rPr>
                <w:rFonts w:asciiTheme="majorBidi" w:hAnsiTheme="majorBidi" w:cstheme="majorBidi"/>
                <w:color w:val="000000"/>
                <w:sz w:val="20"/>
              </w:rPr>
              <w:t>Profit for the year</w:t>
            </w:r>
          </w:p>
        </w:tc>
        <w:tc>
          <w:tcPr>
            <w:tcW w:w="1080" w:type="dxa"/>
            <w:shd w:val="clear" w:color="auto" w:fill="auto"/>
            <w:noWrap/>
            <w:vAlign w:val="bottom"/>
          </w:tcPr>
          <w:p w14:paraId="527590F3" w14:textId="16CE5484" w:rsidR="003B2B96" w:rsidRPr="00D54434" w:rsidRDefault="00D54434" w:rsidP="00516397">
            <w:pPr>
              <w:tabs>
                <w:tab w:val="decimal" w:pos="1020"/>
              </w:tabs>
              <w:spacing w:before="40"/>
              <w:jc w:val="right"/>
              <w:rPr>
                <w:sz w:val="20"/>
              </w:rPr>
            </w:pPr>
            <w:r w:rsidRPr="00D54434">
              <w:rPr>
                <w:sz w:val="20"/>
              </w:rPr>
              <w:t>108,254</w:t>
            </w:r>
          </w:p>
        </w:tc>
        <w:tc>
          <w:tcPr>
            <w:tcW w:w="1080" w:type="dxa"/>
            <w:shd w:val="clear" w:color="auto" w:fill="auto"/>
            <w:noWrap/>
            <w:vAlign w:val="bottom"/>
          </w:tcPr>
          <w:p w14:paraId="0346A893" w14:textId="24E89200" w:rsidR="003B2B96" w:rsidRPr="001A3741" w:rsidRDefault="003B2B96" w:rsidP="003B2B96">
            <w:pPr>
              <w:tabs>
                <w:tab w:val="decimal" w:pos="1020"/>
              </w:tabs>
              <w:spacing w:before="40"/>
              <w:rPr>
                <w:rFonts w:asciiTheme="majorBidi" w:hAnsiTheme="majorBidi" w:cstheme="majorBidi"/>
                <w:sz w:val="20"/>
              </w:rPr>
            </w:pPr>
            <w:r w:rsidRPr="009645F5">
              <w:rPr>
                <w:sz w:val="20"/>
              </w:rPr>
              <w:t>11,835</w:t>
            </w:r>
          </w:p>
        </w:tc>
        <w:tc>
          <w:tcPr>
            <w:tcW w:w="1080" w:type="dxa"/>
            <w:shd w:val="clear" w:color="auto" w:fill="auto"/>
            <w:noWrap/>
            <w:vAlign w:val="bottom"/>
          </w:tcPr>
          <w:p w14:paraId="48BDD144" w14:textId="6F08D39A" w:rsidR="003B2B96" w:rsidRPr="00985EAD" w:rsidRDefault="003B2B96" w:rsidP="003B2B96">
            <w:pPr>
              <w:tabs>
                <w:tab w:val="decimal" w:pos="1020"/>
              </w:tabs>
              <w:spacing w:before="40"/>
              <w:rPr>
                <w:rFonts w:asciiTheme="majorBidi" w:hAnsiTheme="majorBidi" w:cstheme="majorBidi"/>
                <w:sz w:val="20"/>
              </w:rPr>
            </w:pPr>
            <w:r w:rsidRPr="001A3741">
              <w:rPr>
                <w:sz w:val="20"/>
              </w:rPr>
              <w:t>78,020</w:t>
            </w:r>
          </w:p>
        </w:tc>
      </w:tr>
      <w:tr w:rsidR="003B2B96" w:rsidRPr="00985EAD" w14:paraId="401280AF" w14:textId="77777777" w:rsidTr="006909F2">
        <w:trPr>
          <w:trHeight w:val="283"/>
        </w:trPr>
        <w:tc>
          <w:tcPr>
            <w:tcW w:w="6237" w:type="dxa"/>
            <w:shd w:val="clear" w:color="auto" w:fill="auto"/>
            <w:vAlign w:val="bottom"/>
          </w:tcPr>
          <w:p w14:paraId="63FB33E8" w14:textId="77777777" w:rsidR="003B2B96" w:rsidRDefault="003B2B96" w:rsidP="003B2B96">
            <w:pPr>
              <w:spacing w:before="40"/>
              <w:rPr>
                <w:rFonts w:asciiTheme="majorBidi" w:hAnsiTheme="majorBidi" w:cstheme="majorBidi"/>
                <w:b/>
                <w:bCs/>
                <w:color w:val="000000"/>
                <w:sz w:val="20"/>
                <w:lang w:bidi="he-IL"/>
              </w:rPr>
            </w:pPr>
          </w:p>
          <w:p w14:paraId="788B663E" w14:textId="3B41BCF7" w:rsidR="003B2B96" w:rsidRPr="00985EAD" w:rsidRDefault="003B2B96" w:rsidP="003B2B96">
            <w:pPr>
              <w:spacing w:before="40"/>
              <w:rPr>
                <w:rFonts w:asciiTheme="majorBidi" w:hAnsiTheme="majorBidi" w:cstheme="majorBidi"/>
                <w:b/>
                <w:bCs/>
                <w:color w:val="000000"/>
                <w:sz w:val="20"/>
                <w:lang w:bidi="he-IL"/>
              </w:rPr>
            </w:pPr>
            <w:r w:rsidRPr="00985EAD">
              <w:rPr>
                <w:rFonts w:asciiTheme="majorBidi" w:hAnsiTheme="majorBidi" w:cstheme="majorBidi"/>
                <w:b/>
                <w:bCs/>
                <w:color w:val="000000"/>
                <w:sz w:val="20"/>
                <w:lang w:bidi="he-IL"/>
              </w:rPr>
              <w:t>Other comprehensive income items that after initial recognition in comprehensive income were or will be transferred to profit or loss</w:t>
            </w:r>
          </w:p>
        </w:tc>
        <w:tc>
          <w:tcPr>
            <w:tcW w:w="1080" w:type="dxa"/>
            <w:shd w:val="clear" w:color="auto" w:fill="auto"/>
            <w:noWrap/>
            <w:vAlign w:val="bottom"/>
          </w:tcPr>
          <w:p w14:paraId="16DE5E6C" w14:textId="77777777" w:rsidR="003B2B96" w:rsidRPr="00D54434" w:rsidRDefault="003B2B96" w:rsidP="00516397">
            <w:pPr>
              <w:tabs>
                <w:tab w:val="decimal" w:pos="1020"/>
              </w:tabs>
              <w:spacing w:before="40"/>
              <w:jc w:val="right"/>
              <w:rPr>
                <w:sz w:val="20"/>
              </w:rPr>
            </w:pPr>
          </w:p>
        </w:tc>
        <w:tc>
          <w:tcPr>
            <w:tcW w:w="1080" w:type="dxa"/>
            <w:shd w:val="clear" w:color="auto" w:fill="auto"/>
            <w:noWrap/>
            <w:vAlign w:val="bottom"/>
          </w:tcPr>
          <w:p w14:paraId="6BD91F7C" w14:textId="77777777" w:rsidR="003B2B96" w:rsidRPr="001A3741" w:rsidRDefault="003B2B96" w:rsidP="003B2B96">
            <w:pPr>
              <w:tabs>
                <w:tab w:val="decimal" w:pos="1020"/>
              </w:tabs>
              <w:spacing w:before="40"/>
              <w:rPr>
                <w:rFonts w:asciiTheme="majorBidi" w:hAnsiTheme="majorBidi" w:cstheme="majorBidi"/>
                <w:color w:val="000000"/>
                <w:sz w:val="20"/>
              </w:rPr>
            </w:pPr>
          </w:p>
        </w:tc>
        <w:tc>
          <w:tcPr>
            <w:tcW w:w="1080" w:type="dxa"/>
            <w:shd w:val="clear" w:color="auto" w:fill="auto"/>
            <w:noWrap/>
            <w:vAlign w:val="bottom"/>
          </w:tcPr>
          <w:p w14:paraId="0399D87A" w14:textId="77777777" w:rsidR="003B2B96" w:rsidRPr="00985EAD" w:rsidRDefault="003B2B96" w:rsidP="003B2B96">
            <w:pPr>
              <w:tabs>
                <w:tab w:val="decimal" w:pos="1020"/>
              </w:tabs>
              <w:spacing w:before="40"/>
              <w:rPr>
                <w:rFonts w:asciiTheme="majorBidi" w:hAnsiTheme="majorBidi" w:cstheme="majorBidi"/>
                <w:color w:val="000000"/>
                <w:sz w:val="20"/>
              </w:rPr>
            </w:pPr>
          </w:p>
        </w:tc>
      </w:tr>
      <w:tr w:rsidR="00D54434" w:rsidRPr="00985EAD" w14:paraId="60D7ECC5" w14:textId="77777777" w:rsidTr="006909F2">
        <w:trPr>
          <w:trHeight w:val="283"/>
        </w:trPr>
        <w:tc>
          <w:tcPr>
            <w:tcW w:w="6237" w:type="dxa"/>
            <w:shd w:val="clear" w:color="auto" w:fill="auto"/>
            <w:vAlign w:val="bottom"/>
            <w:hideMark/>
          </w:tcPr>
          <w:p w14:paraId="20DF948A" w14:textId="77777777" w:rsidR="00D54434" w:rsidRPr="00985EAD" w:rsidRDefault="00D54434" w:rsidP="00D54434">
            <w:pPr>
              <w:spacing w:before="40"/>
              <w:rPr>
                <w:rFonts w:asciiTheme="majorBidi" w:hAnsiTheme="majorBidi" w:cstheme="majorBidi"/>
                <w:sz w:val="20"/>
              </w:rPr>
            </w:pPr>
            <w:r w:rsidRPr="00985EAD">
              <w:rPr>
                <w:rFonts w:asciiTheme="majorBidi" w:hAnsiTheme="majorBidi" w:cstheme="majorBidi"/>
                <w:color w:val="000000"/>
                <w:sz w:val="20"/>
              </w:rPr>
              <w:t>Foreign exchange translation differences from foreign operations</w:t>
            </w:r>
          </w:p>
        </w:tc>
        <w:tc>
          <w:tcPr>
            <w:tcW w:w="1080" w:type="dxa"/>
            <w:shd w:val="clear" w:color="auto" w:fill="auto"/>
            <w:noWrap/>
            <w:vAlign w:val="bottom"/>
          </w:tcPr>
          <w:p w14:paraId="3C52393E" w14:textId="31D70054" w:rsidR="00D54434" w:rsidRPr="00D54434" w:rsidRDefault="00D54434" w:rsidP="00516397">
            <w:pPr>
              <w:tabs>
                <w:tab w:val="decimal" w:pos="1020"/>
              </w:tabs>
              <w:spacing w:before="40"/>
              <w:jc w:val="right"/>
              <w:rPr>
                <w:sz w:val="20"/>
              </w:rPr>
            </w:pPr>
            <w:r w:rsidRPr="00D54434">
              <w:rPr>
                <w:sz w:val="20"/>
              </w:rPr>
              <w:t>4,074</w:t>
            </w:r>
          </w:p>
        </w:tc>
        <w:tc>
          <w:tcPr>
            <w:tcW w:w="1080" w:type="dxa"/>
            <w:shd w:val="clear" w:color="auto" w:fill="auto"/>
            <w:noWrap/>
            <w:vAlign w:val="bottom"/>
          </w:tcPr>
          <w:p w14:paraId="396AC176" w14:textId="40AA9CA7" w:rsidR="00D54434" w:rsidRPr="001A3741" w:rsidRDefault="00D54434" w:rsidP="00D54434">
            <w:pPr>
              <w:tabs>
                <w:tab w:val="decimal" w:pos="1020"/>
              </w:tabs>
              <w:spacing w:before="40"/>
              <w:rPr>
                <w:rFonts w:asciiTheme="majorBidi" w:hAnsiTheme="majorBidi" w:cstheme="majorBidi"/>
                <w:sz w:val="20"/>
              </w:rPr>
            </w:pPr>
            <w:r w:rsidRPr="009645F5">
              <w:rPr>
                <w:sz w:val="20"/>
              </w:rPr>
              <w:t>20,894</w:t>
            </w:r>
          </w:p>
        </w:tc>
        <w:tc>
          <w:tcPr>
            <w:tcW w:w="1080" w:type="dxa"/>
            <w:shd w:val="clear" w:color="auto" w:fill="auto"/>
            <w:noWrap/>
            <w:vAlign w:val="bottom"/>
          </w:tcPr>
          <w:p w14:paraId="4F8C9FB6" w14:textId="35743236" w:rsidR="00D54434" w:rsidRPr="00985EAD" w:rsidRDefault="00D54434" w:rsidP="00D54434">
            <w:pPr>
              <w:tabs>
                <w:tab w:val="decimal" w:pos="1020"/>
              </w:tabs>
              <w:spacing w:before="40"/>
              <w:rPr>
                <w:rFonts w:asciiTheme="majorBidi" w:hAnsiTheme="majorBidi" w:cstheme="majorBidi"/>
                <w:sz w:val="20"/>
              </w:rPr>
            </w:pPr>
            <w:r w:rsidRPr="001A3741">
              <w:rPr>
                <w:sz w:val="20"/>
              </w:rPr>
              <w:t>151</w:t>
            </w:r>
          </w:p>
        </w:tc>
      </w:tr>
      <w:tr w:rsidR="00D54434" w:rsidRPr="00985EAD" w14:paraId="755C7C20" w14:textId="77777777" w:rsidTr="006909F2">
        <w:trPr>
          <w:trHeight w:val="283"/>
        </w:trPr>
        <w:tc>
          <w:tcPr>
            <w:tcW w:w="6237" w:type="dxa"/>
            <w:shd w:val="clear" w:color="auto" w:fill="auto"/>
            <w:vAlign w:val="bottom"/>
            <w:hideMark/>
          </w:tcPr>
          <w:p w14:paraId="2A369668" w14:textId="5B33E9A5" w:rsidR="00D54434" w:rsidRPr="00985EAD" w:rsidRDefault="00D54434" w:rsidP="00D54434">
            <w:pPr>
              <w:spacing w:before="40"/>
              <w:rPr>
                <w:rFonts w:asciiTheme="majorBidi" w:hAnsiTheme="majorBidi" w:cstheme="majorBidi"/>
                <w:sz w:val="20"/>
              </w:rPr>
            </w:pPr>
            <w:r w:rsidRPr="00985EAD">
              <w:rPr>
                <w:rFonts w:asciiTheme="majorBidi" w:hAnsiTheme="majorBidi" w:cstheme="majorBidi"/>
                <w:color w:val="000000"/>
                <w:sz w:val="20"/>
              </w:rPr>
              <w:t>Net realization of translation reserves transferred to profit or loss</w:t>
            </w:r>
          </w:p>
        </w:tc>
        <w:tc>
          <w:tcPr>
            <w:tcW w:w="1080" w:type="dxa"/>
            <w:shd w:val="clear" w:color="auto" w:fill="auto"/>
            <w:noWrap/>
            <w:vAlign w:val="bottom"/>
          </w:tcPr>
          <w:p w14:paraId="0B34E36F" w14:textId="16D58416" w:rsidR="00D54434" w:rsidRPr="00D54434" w:rsidRDefault="00D54434" w:rsidP="00516397">
            <w:pPr>
              <w:tabs>
                <w:tab w:val="decimal" w:pos="1020"/>
              </w:tabs>
              <w:spacing w:before="40"/>
              <w:jc w:val="right"/>
              <w:rPr>
                <w:sz w:val="20"/>
              </w:rPr>
            </w:pPr>
            <w:r w:rsidRPr="00D54434">
              <w:rPr>
                <w:sz w:val="20"/>
              </w:rPr>
              <w:t>-</w:t>
            </w:r>
          </w:p>
        </w:tc>
        <w:tc>
          <w:tcPr>
            <w:tcW w:w="1080" w:type="dxa"/>
            <w:shd w:val="clear" w:color="auto" w:fill="auto"/>
            <w:noWrap/>
            <w:vAlign w:val="bottom"/>
          </w:tcPr>
          <w:p w14:paraId="0705D007" w14:textId="45B710F7" w:rsidR="00D54434" w:rsidRPr="001A3741" w:rsidRDefault="00D54434" w:rsidP="00D54434">
            <w:pPr>
              <w:tabs>
                <w:tab w:val="decimal" w:pos="1020"/>
              </w:tabs>
              <w:spacing w:before="40"/>
              <w:rPr>
                <w:rFonts w:asciiTheme="majorBidi" w:hAnsiTheme="majorBidi" w:cstheme="majorBidi"/>
                <w:sz w:val="20"/>
              </w:rPr>
            </w:pPr>
            <w:r w:rsidRPr="0095659A">
              <w:rPr>
                <w:sz w:val="20"/>
              </w:rPr>
              <w:t>-</w:t>
            </w:r>
          </w:p>
        </w:tc>
        <w:tc>
          <w:tcPr>
            <w:tcW w:w="1080" w:type="dxa"/>
            <w:shd w:val="clear" w:color="auto" w:fill="auto"/>
            <w:noWrap/>
            <w:vAlign w:val="bottom"/>
          </w:tcPr>
          <w:p w14:paraId="050A4096" w14:textId="38A7940C" w:rsidR="00D54434" w:rsidRPr="00985EAD" w:rsidRDefault="00D54434" w:rsidP="00D54434">
            <w:pPr>
              <w:tabs>
                <w:tab w:val="decimal" w:pos="1020"/>
              </w:tabs>
              <w:spacing w:before="40"/>
              <w:rPr>
                <w:rFonts w:asciiTheme="majorBidi" w:hAnsiTheme="majorBidi" w:cstheme="majorBidi"/>
                <w:sz w:val="20"/>
              </w:rPr>
            </w:pPr>
            <w:r w:rsidRPr="001A3741">
              <w:rPr>
                <w:sz w:val="20"/>
              </w:rPr>
              <w:t>744</w:t>
            </w:r>
          </w:p>
        </w:tc>
      </w:tr>
      <w:tr w:rsidR="00D54434" w:rsidRPr="00985EAD" w14:paraId="00520303" w14:textId="77777777" w:rsidTr="006909F2">
        <w:trPr>
          <w:trHeight w:val="283"/>
        </w:trPr>
        <w:tc>
          <w:tcPr>
            <w:tcW w:w="6237" w:type="dxa"/>
            <w:shd w:val="clear" w:color="auto" w:fill="auto"/>
            <w:vAlign w:val="bottom"/>
            <w:hideMark/>
          </w:tcPr>
          <w:p w14:paraId="7812DC52" w14:textId="7D948D18" w:rsidR="00D54434" w:rsidRPr="00985EAD" w:rsidRDefault="00D54434" w:rsidP="00D54434">
            <w:pPr>
              <w:spacing w:before="40"/>
              <w:rPr>
                <w:rFonts w:asciiTheme="majorBidi" w:hAnsiTheme="majorBidi" w:cstheme="majorBidi"/>
                <w:sz w:val="20"/>
              </w:rPr>
            </w:pPr>
            <w:r w:rsidRPr="00985EAD">
              <w:rPr>
                <w:rFonts w:asciiTheme="majorBidi" w:hAnsiTheme="majorBidi" w:cstheme="majorBidi"/>
                <w:color w:val="000000"/>
                <w:sz w:val="20"/>
              </w:rPr>
              <w:t>Reserves from hedge accounting</w:t>
            </w:r>
            <w:r>
              <w:rPr>
                <w:rFonts w:asciiTheme="majorBidi" w:hAnsiTheme="majorBidi" w:cstheme="majorBidi"/>
                <w:color w:val="000000"/>
                <w:sz w:val="20"/>
              </w:rPr>
              <w:t>, net</w:t>
            </w:r>
          </w:p>
        </w:tc>
        <w:tc>
          <w:tcPr>
            <w:tcW w:w="1080" w:type="dxa"/>
            <w:shd w:val="clear" w:color="auto" w:fill="auto"/>
            <w:noWrap/>
            <w:vAlign w:val="bottom"/>
          </w:tcPr>
          <w:p w14:paraId="069B2A02" w14:textId="183904C7" w:rsidR="00D54434" w:rsidRPr="00D54434" w:rsidRDefault="00D54434" w:rsidP="00516397">
            <w:pPr>
              <w:pBdr>
                <w:bottom w:val="single" w:sz="4" w:space="1" w:color="auto"/>
              </w:pBdr>
              <w:tabs>
                <w:tab w:val="decimal" w:pos="1020"/>
              </w:tabs>
              <w:spacing w:before="40"/>
              <w:jc w:val="right"/>
              <w:rPr>
                <w:sz w:val="20"/>
              </w:rPr>
            </w:pPr>
            <w:r w:rsidRPr="00D54434">
              <w:rPr>
                <w:sz w:val="20"/>
              </w:rPr>
              <w:t>(11,709)</w:t>
            </w:r>
          </w:p>
        </w:tc>
        <w:tc>
          <w:tcPr>
            <w:tcW w:w="1080" w:type="dxa"/>
            <w:shd w:val="clear" w:color="auto" w:fill="auto"/>
            <w:noWrap/>
            <w:vAlign w:val="bottom"/>
          </w:tcPr>
          <w:p w14:paraId="09A737B7" w14:textId="0FE75080" w:rsidR="00D54434" w:rsidRPr="001A3741" w:rsidRDefault="00D54434" w:rsidP="00D54434">
            <w:pPr>
              <w:pBdr>
                <w:bottom w:val="single" w:sz="4" w:space="1" w:color="auto"/>
              </w:pBdr>
              <w:tabs>
                <w:tab w:val="decimal" w:pos="1020"/>
              </w:tabs>
              <w:spacing w:before="40"/>
              <w:rPr>
                <w:rFonts w:asciiTheme="majorBidi" w:hAnsiTheme="majorBidi" w:cstheme="majorBidi"/>
                <w:sz w:val="20"/>
              </w:rPr>
            </w:pPr>
            <w:r w:rsidRPr="0095659A">
              <w:rPr>
                <w:sz w:val="20"/>
              </w:rPr>
              <w:t>(15,515)</w:t>
            </w:r>
          </w:p>
        </w:tc>
        <w:tc>
          <w:tcPr>
            <w:tcW w:w="1080" w:type="dxa"/>
            <w:shd w:val="clear" w:color="auto" w:fill="auto"/>
            <w:noWrap/>
            <w:vAlign w:val="bottom"/>
          </w:tcPr>
          <w:p w14:paraId="6F1128AA" w14:textId="26A3B56C" w:rsidR="00D54434" w:rsidRPr="00985EAD" w:rsidRDefault="00D54434" w:rsidP="00D54434">
            <w:pPr>
              <w:pBdr>
                <w:bottom w:val="single" w:sz="4" w:space="1" w:color="auto"/>
              </w:pBdr>
              <w:tabs>
                <w:tab w:val="decimal" w:pos="1020"/>
              </w:tabs>
              <w:spacing w:before="40"/>
              <w:rPr>
                <w:rFonts w:asciiTheme="majorBidi" w:hAnsiTheme="majorBidi" w:cstheme="majorBidi"/>
                <w:sz w:val="20"/>
              </w:rPr>
            </w:pPr>
            <w:r w:rsidRPr="001A3741">
              <w:rPr>
                <w:sz w:val="20"/>
              </w:rPr>
              <w:t>28,804</w:t>
            </w:r>
          </w:p>
        </w:tc>
      </w:tr>
      <w:tr w:rsidR="00D54434" w:rsidRPr="00985EAD" w14:paraId="5EF738AF" w14:textId="77777777" w:rsidTr="006909F2">
        <w:trPr>
          <w:trHeight w:val="283"/>
        </w:trPr>
        <w:tc>
          <w:tcPr>
            <w:tcW w:w="6237" w:type="dxa"/>
            <w:shd w:val="clear" w:color="auto" w:fill="auto"/>
            <w:vAlign w:val="bottom"/>
            <w:hideMark/>
          </w:tcPr>
          <w:p w14:paraId="654A4A4D" w14:textId="02E79D66" w:rsidR="00D54434" w:rsidRPr="00985EAD" w:rsidRDefault="00D54434" w:rsidP="00D54434">
            <w:pPr>
              <w:spacing w:before="40"/>
              <w:rPr>
                <w:rFonts w:asciiTheme="majorBidi" w:hAnsiTheme="majorBidi" w:cstheme="majorBidi"/>
                <w:b/>
                <w:bCs/>
                <w:sz w:val="20"/>
                <w:lang w:bidi="he-IL"/>
              </w:rPr>
            </w:pPr>
            <w:r w:rsidRPr="00985EAD">
              <w:rPr>
                <w:rFonts w:asciiTheme="majorBidi" w:hAnsiTheme="majorBidi" w:cstheme="majorBidi"/>
                <w:b/>
                <w:bCs/>
                <w:color w:val="000000"/>
                <w:sz w:val="20"/>
              </w:rPr>
              <w:t>Other comprehensive income</w:t>
            </w:r>
            <w:r>
              <w:rPr>
                <w:rFonts w:asciiTheme="majorBidi" w:hAnsiTheme="majorBidi" w:cstheme="majorBidi"/>
                <w:b/>
                <w:bCs/>
                <w:color w:val="000000"/>
                <w:sz w:val="20"/>
              </w:rPr>
              <w:t xml:space="preserve"> </w:t>
            </w:r>
            <w:r w:rsidRPr="00985EAD">
              <w:rPr>
                <w:rFonts w:asciiTheme="majorBidi" w:hAnsiTheme="majorBidi" w:cstheme="majorBidi"/>
                <w:b/>
                <w:bCs/>
                <w:color w:val="000000"/>
                <w:sz w:val="20"/>
              </w:rPr>
              <w:t>for the year, net of tax</w:t>
            </w:r>
          </w:p>
        </w:tc>
        <w:tc>
          <w:tcPr>
            <w:tcW w:w="1080" w:type="dxa"/>
            <w:shd w:val="clear" w:color="auto" w:fill="auto"/>
            <w:noWrap/>
            <w:vAlign w:val="bottom"/>
          </w:tcPr>
          <w:p w14:paraId="6E115F5C" w14:textId="5E791664" w:rsidR="00D54434" w:rsidRPr="00D54434" w:rsidRDefault="00D54434" w:rsidP="00516397">
            <w:pPr>
              <w:pBdr>
                <w:bottom w:val="single" w:sz="4" w:space="1" w:color="auto"/>
              </w:pBdr>
              <w:tabs>
                <w:tab w:val="decimal" w:pos="1020"/>
              </w:tabs>
              <w:spacing w:before="40"/>
              <w:jc w:val="right"/>
              <w:rPr>
                <w:sz w:val="20"/>
              </w:rPr>
            </w:pPr>
            <w:r w:rsidRPr="00D54434">
              <w:rPr>
                <w:sz w:val="20"/>
              </w:rPr>
              <w:t>(7,635)</w:t>
            </w:r>
          </w:p>
        </w:tc>
        <w:tc>
          <w:tcPr>
            <w:tcW w:w="1080" w:type="dxa"/>
            <w:shd w:val="clear" w:color="auto" w:fill="auto"/>
            <w:noWrap/>
            <w:vAlign w:val="bottom"/>
          </w:tcPr>
          <w:p w14:paraId="2B845086" w14:textId="7173B10B" w:rsidR="00D54434" w:rsidRPr="001A3741" w:rsidRDefault="00D54434" w:rsidP="00D54434">
            <w:pPr>
              <w:pBdr>
                <w:bottom w:val="single" w:sz="4" w:space="1" w:color="auto"/>
              </w:pBdr>
              <w:tabs>
                <w:tab w:val="decimal" w:pos="1020"/>
              </w:tabs>
              <w:spacing w:before="40"/>
              <w:rPr>
                <w:rFonts w:asciiTheme="majorBidi" w:hAnsiTheme="majorBidi" w:cstheme="majorBidi"/>
                <w:sz w:val="20"/>
              </w:rPr>
            </w:pPr>
            <w:r w:rsidRPr="009645F5">
              <w:rPr>
                <w:sz w:val="20"/>
              </w:rPr>
              <w:t>5,379</w:t>
            </w:r>
          </w:p>
        </w:tc>
        <w:tc>
          <w:tcPr>
            <w:tcW w:w="1080" w:type="dxa"/>
            <w:shd w:val="clear" w:color="auto" w:fill="auto"/>
            <w:noWrap/>
            <w:vAlign w:val="bottom"/>
          </w:tcPr>
          <w:p w14:paraId="0E11E126" w14:textId="293D1550" w:rsidR="00D54434" w:rsidRPr="00985EAD" w:rsidRDefault="00D54434" w:rsidP="00D54434">
            <w:pPr>
              <w:pBdr>
                <w:bottom w:val="single" w:sz="4" w:space="1" w:color="auto"/>
              </w:pBdr>
              <w:tabs>
                <w:tab w:val="decimal" w:pos="1020"/>
              </w:tabs>
              <w:spacing w:before="40"/>
              <w:rPr>
                <w:rFonts w:asciiTheme="majorBidi" w:hAnsiTheme="majorBidi" w:cstheme="majorBidi"/>
                <w:sz w:val="20"/>
              </w:rPr>
            </w:pPr>
            <w:r w:rsidRPr="001A3741">
              <w:rPr>
                <w:sz w:val="20"/>
              </w:rPr>
              <w:t>29,699</w:t>
            </w:r>
          </w:p>
        </w:tc>
      </w:tr>
      <w:tr w:rsidR="003B2B96" w:rsidRPr="00985EAD" w14:paraId="69B3B6AF" w14:textId="77777777" w:rsidTr="006909F2">
        <w:trPr>
          <w:trHeight w:val="283"/>
        </w:trPr>
        <w:tc>
          <w:tcPr>
            <w:tcW w:w="6237" w:type="dxa"/>
            <w:shd w:val="clear" w:color="auto" w:fill="auto"/>
            <w:vAlign w:val="bottom"/>
            <w:hideMark/>
          </w:tcPr>
          <w:p w14:paraId="4D466F29" w14:textId="6B2291A6" w:rsidR="003B2B96" w:rsidRPr="00985EAD" w:rsidRDefault="003B2B96" w:rsidP="003B2B96">
            <w:pPr>
              <w:spacing w:before="40"/>
              <w:rPr>
                <w:rFonts w:asciiTheme="majorBidi" w:hAnsiTheme="majorBidi" w:cstheme="majorBidi"/>
                <w:b/>
                <w:bCs/>
                <w:sz w:val="20"/>
              </w:rPr>
            </w:pPr>
            <w:r w:rsidRPr="00985EAD">
              <w:rPr>
                <w:rFonts w:asciiTheme="majorBidi" w:hAnsiTheme="majorBidi" w:cstheme="majorBidi"/>
                <w:b/>
                <w:bCs/>
                <w:color w:val="000000"/>
                <w:sz w:val="20"/>
              </w:rPr>
              <w:t>Total comprehensive income for the year</w:t>
            </w:r>
          </w:p>
        </w:tc>
        <w:tc>
          <w:tcPr>
            <w:tcW w:w="1080" w:type="dxa"/>
            <w:shd w:val="clear" w:color="auto" w:fill="auto"/>
            <w:noWrap/>
            <w:vAlign w:val="bottom"/>
          </w:tcPr>
          <w:p w14:paraId="22234CB7" w14:textId="3300B649" w:rsidR="003B2B96" w:rsidRPr="00D54434" w:rsidRDefault="00D54434" w:rsidP="00516397">
            <w:pPr>
              <w:pBdr>
                <w:bottom w:val="double" w:sz="4" w:space="0" w:color="000000"/>
              </w:pBdr>
              <w:tabs>
                <w:tab w:val="decimal" w:pos="1020"/>
              </w:tabs>
              <w:spacing w:before="40"/>
              <w:jc w:val="right"/>
              <w:rPr>
                <w:sz w:val="20"/>
              </w:rPr>
            </w:pPr>
            <w:r w:rsidRPr="00D54434">
              <w:rPr>
                <w:sz w:val="20"/>
              </w:rPr>
              <w:t>100,619</w:t>
            </w:r>
          </w:p>
        </w:tc>
        <w:tc>
          <w:tcPr>
            <w:tcW w:w="1080" w:type="dxa"/>
            <w:shd w:val="clear" w:color="auto" w:fill="auto"/>
            <w:noWrap/>
            <w:vAlign w:val="bottom"/>
          </w:tcPr>
          <w:p w14:paraId="3F42D3A2" w14:textId="27676253" w:rsidR="003B2B96" w:rsidRPr="001A3741" w:rsidRDefault="003B2B96" w:rsidP="003B2B96">
            <w:pPr>
              <w:pBdr>
                <w:bottom w:val="double" w:sz="4" w:space="0" w:color="000000"/>
              </w:pBdr>
              <w:tabs>
                <w:tab w:val="decimal" w:pos="1020"/>
              </w:tabs>
              <w:spacing w:before="40"/>
              <w:rPr>
                <w:rFonts w:asciiTheme="majorBidi" w:hAnsiTheme="majorBidi" w:cstheme="majorBidi"/>
                <w:sz w:val="20"/>
              </w:rPr>
            </w:pPr>
            <w:r w:rsidRPr="0020502A">
              <w:rPr>
                <w:sz w:val="20"/>
              </w:rPr>
              <w:t>17,214</w:t>
            </w:r>
          </w:p>
        </w:tc>
        <w:tc>
          <w:tcPr>
            <w:tcW w:w="1080" w:type="dxa"/>
            <w:shd w:val="clear" w:color="auto" w:fill="auto"/>
            <w:noWrap/>
            <w:vAlign w:val="bottom"/>
          </w:tcPr>
          <w:p w14:paraId="01BDCED0" w14:textId="12B91BBD" w:rsidR="003B2B96" w:rsidRPr="00985EAD" w:rsidRDefault="003B2B96" w:rsidP="003B2B96">
            <w:pPr>
              <w:pBdr>
                <w:bottom w:val="double" w:sz="4" w:space="0" w:color="000000"/>
              </w:pBdr>
              <w:tabs>
                <w:tab w:val="decimal" w:pos="1020"/>
              </w:tabs>
              <w:spacing w:before="40"/>
              <w:rPr>
                <w:rFonts w:asciiTheme="majorBidi" w:hAnsiTheme="majorBidi" w:cstheme="majorBidi"/>
                <w:sz w:val="20"/>
              </w:rPr>
            </w:pPr>
            <w:r w:rsidRPr="001A3741">
              <w:rPr>
                <w:sz w:val="20"/>
              </w:rPr>
              <w:t>107,719</w:t>
            </w:r>
          </w:p>
        </w:tc>
      </w:tr>
      <w:tr w:rsidR="003B2B96" w:rsidRPr="00985EAD" w14:paraId="75C7D573" w14:textId="77777777" w:rsidTr="006909F2">
        <w:trPr>
          <w:trHeight w:val="283"/>
        </w:trPr>
        <w:tc>
          <w:tcPr>
            <w:tcW w:w="6237" w:type="dxa"/>
            <w:shd w:val="clear" w:color="auto" w:fill="auto"/>
            <w:vAlign w:val="bottom"/>
            <w:hideMark/>
          </w:tcPr>
          <w:p w14:paraId="34684EBD" w14:textId="77777777" w:rsidR="003B2B96" w:rsidRDefault="003B2B96" w:rsidP="003B2B96">
            <w:pPr>
              <w:spacing w:before="40"/>
              <w:rPr>
                <w:rFonts w:asciiTheme="majorBidi" w:hAnsiTheme="majorBidi" w:cstheme="majorBidi"/>
                <w:b/>
                <w:bCs/>
                <w:color w:val="000000"/>
                <w:sz w:val="20"/>
              </w:rPr>
            </w:pPr>
          </w:p>
          <w:p w14:paraId="2E744F77" w14:textId="1DBE9BB6" w:rsidR="003B2B96" w:rsidRPr="00985EAD" w:rsidRDefault="003B2B96" w:rsidP="003B2B96">
            <w:pPr>
              <w:spacing w:before="40"/>
              <w:rPr>
                <w:rFonts w:asciiTheme="majorBidi" w:hAnsiTheme="majorBidi" w:cstheme="majorBidi"/>
                <w:b/>
                <w:bCs/>
                <w:sz w:val="20"/>
              </w:rPr>
            </w:pPr>
            <w:r w:rsidRPr="00985EAD">
              <w:rPr>
                <w:rFonts w:asciiTheme="majorBidi" w:hAnsiTheme="majorBidi" w:cstheme="majorBidi"/>
                <w:b/>
                <w:bCs/>
                <w:color w:val="000000"/>
                <w:sz w:val="20"/>
              </w:rPr>
              <w:t>Attributed to:</w:t>
            </w:r>
          </w:p>
        </w:tc>
        <w:tc>
          <w:tcPr>
            <w:tcW w:w="1080" w:type="dxa"/>
            <w:shd w:val="clear" w:color="auto" w:fill="auto"/>
            <w:noWrap/>
            <w:vAlign w:val="bottom"/>
          </w:tcPr>
          <w:p w14:paraId="3F194453" w14:textId="77777777" w:rsidR="003B2B96" w:rsidRPr="00D54434" w:rsidRDefault="003B2B96" w:rsidP="00516397">
            <w:pPr>
              <w:tabs>
                <w:tab w:val="decimal" w:pos="1020"/>
              </w:tabs>
              <w:spacing w:before="40"/>
              <w:jc w:val="right"/>
              <w:rPr>
                <w:sz w:val="20"/>
              </w:rPr>
            </w:pPr>
          </w:p>
        </w:tc>
        <w:tc>
          <w:tcPr>
            <w:tcW w:w="1080" w:type="dxa"/>
            <w:shd w:val="clear" w:color="auto" w:fill="auto"/>
            <w:noWrap/>
            <w:vAlign w:val="bottom"/>
          </w:tcPr>
          <w:p w14:paraId="475EF18E" w14:textId="77777777" w:rsidR="003B2B96" w:rsidRPr="001A3741" w:rsidRDefault="003B2B96" w:rsidP="003B2B96">
            <w:pPr>
              <w:tabs>
                <w:tab w:val="decimal" w:pos="1020"/>
              </w:tabs>
              <w:spacing w:before="40"/>
              <w:rPr>
                <w:rFonts w:asciiTheme="majorBidi" w:hAnsiTheme="majorBidi" w:cstheme="majorBidi"/>
                <w:sz w:val="20"/>
              </w:rPr>
            </w:pPr>
          </w:p>
        </w:tc>
        <w:tc>
          <w:tcPr>
            <w:tcW w:w="1080" w:type="dxa"/>
            <w:shd w:val="clear" w:color="auto" w:fill="auto"/>
            <w:noWrap/>
            <w:vAlign w:val="bottom"/>
          </w:tcPr>
          <w:p w14:paraId="2065A06A" w14:textId="77777777" w:rsidR="003B2B96" w:rsidRPr="00985EAD" w:rsidRDefault="003B2B96" w:rsidP="003B2B96">
            <w:pPr>
              <w:tabs>
                <w:tab w:val="decimal" w:pos="1020"/>
              </w:tabs>
              <w:spacing w:before="40"/>
              <w:rPr>
                <w:rFonts w:asciiTheme="majorBidi" w:hAnsiTheme="majorBidi" w:cstheme="majorBidi"/>
                <w:sz w:val="20"/>
              </w:rPr>
            </w:pPr>
          </w:p>
        </w:tc>
      </w:tr>
      <w:tr w:rsidR="00D54434" w:rsidRPr="00985EAD" w14:paraId="0C8AE46A" w14:textId="77777777" w:rsidTr="006909F2">
        <w:trPr>
          <w:trHeight w:val="283"/>
        </w:trPr>
        <w:tc>
          <w:tcPr>
            <w:tcW w:w="6237" w:type="dxa"/>
            <w:shd w:val="clear" w:color="auto" w:fill="auto"/>
            <w:vAlign w:val="bottom"/>
            <w:hideMark/>
          </w:tcPr>
          <w:p w14:paraId="0E549FE8" w14:textId="77777777" w:rsidR="00D54434" w:rsidRPr="00985EAD" w:rsidRDefault="00D54434" w:rsidP="00D54434">
            <w:pPr>
              <w:spacing w:before="40"/>
              <w:ind w:left="170"/>
              <w:rPr>
                <w:rFonts w:asciiTheme="majorBidi" w:hAnsiTheme="majorBidi" w:cstheme="majorBidi"/>
                <w:sz w:val="20"/>
                <w:lang w:bidi="he-IL"/>
              </w:rPr>
            </w:pPr>
            <w:r w:rsidRPr="00985EAD">
              <w:rPr>
                <w:rFonts w:asciiTheme="majorBidi" w:hAnsiTheme="majorBidi" w:cstheme="majorBidi"/>
                <w:color w:val="000000"/>
                <w:sz w:val="20"/>
              </w:rPr>
              <w:t>Equity holders of the parent</w:t>
            </w:r>
          </w:p>
        </w:tc>
        <w:tc>
          <w:tcPr>
            <w:tcW w:w="1080" w:type="dxa"/>
            <w:shd w:val="clear" w:color="auto" w:fill="auto"/>
            <w:noWrap/>
            <w:vAlign w:val="bottom"/>
          </w:tcPr>
          <w:p w14:paraId="5F8735F6" w14:textId="13441BC9" w:rsidR="00D54434" w:rsidRPr="00D54434" w:rsidRDefault="00D54434" w:rsidP="00516397">
            <w:pPr>
              <w:tabs>
                <w:tab w:val="decimal" w:pos="1020"/>
              </w:tabs>
              <w:spacing w:before="40"/>
              <w:jc w:val="right"/>
              <w:rPr>
                <w:sz w:val="20"/>
              </w:rPr>
            </w:pPr>
            <w:r w:rsidRPr="00D54434">
              <w:rPr>
                <w:sz w:val="20"/>
              </w:rPr>
              <w:t>98,964</w:t>
            </w:r>
          </w:p>
        </w:tc>
        <w:tc>
          <w:tcPr>
            <w:tcW w:w="1080" w:type="dxa"/>
            <w:shd w:val="clear" w:color="auto" w:fill="auto"/>
            <w:noWrap/>
            <w:vAlign w:val="bottom"/>
          </w:tcPr>
          <w:p w14:paraId="612DFE6C" w14:textId="6269D0B7" w:rsidR="00D54434" w:rsidRPr="001A3741" w:rsidRDefault="00D54434" w:rsidP="00D54434">
            <w:pPr>
              <w:tabs>
                <w:tab w:val="decimal" w:pos="1020"/>
              </w:tabs>
              <w:spacing w:before="40"/>
              <w:rPr>
                <w:rFonts w:asciiTheme="majorBidi" w:hAnsiTheme="majorBidi" w:cstheme="majorBidi"/>
                <w:sz w:val="20"/>
              </w:rPr>
            </w:pPr>
            <w:r w:rsidRPr="0095659A">
              <w:rPr>
                <w:sz w:val="20"/>
              </w:rPr>
              <w:t>16,806</w:t>
            </w:r>
          </w:p>
        </w:tc>
        <w:tc>
          <w:tcPr>
            <w:tcW w:w="1080" w:type="dxa"/>
            <w:shd w:val="clear" w:color="auto" w:fill="auto"/>
            <w:noWrap/>
            <w:vAlign w:val="bottom"/>
          </w:tcPr>
          <w:p w14:paraId="3C867031" w14:textId="072A54CF" w:rsidR="00D54434" w:rsidRPr="00985EAD" w:rsidRDefault="00D54434" w:rsidP="00D54434">
            <w:pPr>
              <w:tabs>
                <w:tab w:val="decimal" w:pos="1020"/>
              </w:tabs>
              <w:spacing w:before="40"/>
              <w:rPr>
                <w:rFonts w:asciiTheme="majorBidi" w:hAnsiTheme="majorBidi" w:cstheme="majorBidi"/>
                <w:sz w:val="20"/>
              </w:rPr>
            </w:pPr>
            <w:r w:rsidRPr="001A3741">
              <w:rPr>
                <w:sz w:val="20"/>
              </w:rPr>
              <w:t>107,097</w:t>
            </w:r>
          </w:p>
        </w:tc>
      </w:tr>
      <w:tr w:rsidR="00D54434" w:rsidRPr="00985EAD" w14:paraId="6FE2F55E" w14:textId="77777777" w:rsidTr="006909F2">
        <w:trPr>
          <w:trHeight w:val="283"/>
        </w:trPr>
        <w:tc>
          <w:tcPr>
            <w:tcW w:w="6237" w:type="dxa"/>
            <w:shd w:val="clear" w:color="auto" w:fill="auto"/>
            <w:vAlign w:val="bottom"/>
            <w:hideMark/>
          </w:tcPr>
          <w:p w14:paraId="47697D77" w14:textId="77777777" w:rsidR="00D54434" w:rsidRPr="00985EAD" w:rsidRDefault="00D54434" w:rsidP="00D54434">
            <w:pPr>
              <w:spacing w:before="40"/>
              <w:ind w:left="170"/>
              <w:rPr>
                <w:rFonts w:asciiTheme="majorBidi" w:hAnsiTheme="majorBidi" w:cstheme="majorBidi"/>
                <w:sz w:val="20"/>
              </w:rPr>
            </w:pPr>
            <w:r w:rsidRPr="00985EAD">
              <w:rPr>
                <w:rFonts w:asciiTheme="majorBidi" w:hAnsiTheme="majorBidi" w:cstheme="majorBidi"/>
                <w:color w:val="000000"/>
                <w:sz w:val="20"/>
              </w:rPr>
              <w:t>Non-controlling interest</w:t>
            </w:r>
          </w:p>
        </w:tc>
        <w:tc>
          <w:tcPr>
            <w:tcW w:w="1080" w:type="dxa"/>
            <w:shd w:val="clear" w:color="auto" w:fill="auto"/>
            <w:noWrap/>
            <w:vAlign w:val="bottom"/>
          </w:tcPr>
          <w:p w14:paraId="34FF1898" w14:textId="64B7DA7C" w:rsidR="00D54434" w:rsidRPr="00D54434" w:rsidRDefault="00D54434" w:rsidP="00516397">
            <w:pPr>
              <w:pBdr>
                <w:bottom w:val="double" w:sz="4" w:space="0" w:color="000000"/>
              </w:pBdr>
              <w:tabs>
                <w:tab w:val="decimal" w:pos="1020"/>
              </w:tabs>
              <w:spacing w:before="40"/>
              <w:jc w:val="right"/>
              <w:rPr>
                <w:sz w:val="20"/>
              </w:rPr>
            </w:pPr>
            <w:r w:rsidRPr="00D54434">
              <w:rPr>
                <w:sz w:val="20"/>
              </w:rPr>
              <w:t>1,655</w:t>
            </w:r>
          </w:p>
        </w:tc>
        <w:tc>
          <w:tcPr>
            <w:tcW w:w="1080" w:type="dxa"/>
            <w:shd w:val="clear" w:color="auto" w:fill="auto"/>
            <w:noWrap/>
            <w:vAlign w:val="bottom"/>
          </w:tcPr>
          <w:p w14:paraId="395F5B4E" w14:textId="7E044151" w:rsidR="00D54434" w:rsidRPr="001A3741" w:rsidRDefault="00D54434" w:rsidP="00D54434">
            <w:pPr>
              <w:pBdr>
                <w:bottom w:val="double" w:sz="4" w:space="0" w:color="000000"/>
              </w:pBdr>
              <w:tabs>
                <w:tab w:val="decimal" w:pos="1020"/>
              </w:tabs>
              <w:spacing w:before="40"/>
              <w:rPr>
                <w:rFonts w:asciiTheme="majorBidi" w:hAnsiTheme="majorBidi" w:cstheme="majorBidi"/>
                <w:sz w:val="20"/>
              </w:rPr>
            </w:pPr>
            <w:r w:rsidRPr="0095659A">
              <w:rPr>
                <w:sz w:val="20"/>
              </w:rPr>
              <w:t>408</w:t>
            </w:r>
          </w:p>
        </w:tc>
        <w:tc>
          <w:tcPr>
            <w:tcW w:w="1080" w:type="dxa"/>
            <w:shd w:val="clear" w:color="auto" w:fill="auto"/>
            <w:noWrap/>
            <w:vAlign w:val="bottom"/>
          </w:tcPr>
          <w:p w14:paraId="1A3EA23E" w14:textId="43148EED" w:rsidR="00D54434" w:rsidRPr="00985EAD" w:rsidRDefault="00D54434" w:rsidP="00D54434">
            <w:pPr>
              <w:pBdr>
                <w:bottom w:val="double" w:sz="4" w:space="0" w:color="000000"/>
              </w:pBdr>
              <w:tabs>
                <w:tab w:val="decimal" w:pos="1020"/>
              </w:tabs>
              <w:spacing w:before="40"/>
              <w:rPr>
                <w:rFonts w:asciiTheme="majorBidi" w:hAnsiTheme="majorBidi" w:cstheme="majorBidi"/>
                <w:sz w:val="20"/>
              </w:rPr>
            </w:pPr>
            <w:r w:rsidRPr="001A3741">
              <w:rPr>
                <w:sz w:val="20"/>
              </w:rPr>
              <w:t>622</w:t>
            </w:r>
          </w:p>
        </w:tc>
      </w:tr>
      <w:tr w:rsidR="00D54434" w:rsidRPr="00985EAD" w14:paraId="2A736AA1" w14:textId="77777777" w:rsidTr="006909F2">
        <w:trPr>
          <w:trHeight w:val="283"/>
        </w:trPr>
        <w:tc>
          <w:tcPr>
            <w:tcW w:w="6237" w:type="dxa"/>
            <w:shd w:val="clear" w:color="auto" w:fill="auto"/>
            <w:vAlign w:val="bottom"/>
            <w:hideMark/>
          </w:tcPr>
          <w:p w14:paraId="70EC16F9" w14:textId="6AEB991D" w:rsidR="00D54434" w:rsidRPr="00985EAD" w:rsidRDefault="00D54434" w:rsidP="00D54434">
            <w:pPr>
              <w:spacing w:before="40"/>
              <w:rPr>
                <w:rFonts w:asciiTheme="majorBidi" w:hAnsiTheme="majorBidi" w:cstheme="majorBidi"/>
                <w:b/>
                <w:bCs/>
                <w:sz w:val="20"/>
              </w:rPr>
            </w:pPr>
            <w:r w:rsidRPr="00985EAD">
              <w:rPr>
                <w:rFonts w:asciiTheme="majorBidi" w:hAnsiTheme="majorBidi" w:cstheme="majorBidi"/>
                <w:b/>
                <w:bCs/>
                <w:color w:val="000000"/>
                <w:sz w:val="20"/>
              </w:rPr>
              <w:t>Total comprehensive income</w:t>
            </w:r>
            <w:r>
              <w:rPr>
                <w:rFonts w:asciiTheme="majorBidi" w:hAnsiTheme="majorBidi" w:cstheme="majorBidi"/>
                <w:b/>
                <w:bCs/>
                <w:color w:val="000000"/>
                <w:sz w:val="20"/>
              </w:rPr>
              <w:t xml:space="preserve"> </w:t>
            </w:r>
            <w:r w:rsidRPr="00985EAD">
              <w:rPr>
                <w:rFonts w:asciiTheme="majorBidi" w:hAnsiTheme="majorBidi" w:cstheme="majorBidi"/>
                <w:b/>
                <w:bCs/>
                <w:color w:val="000000"/>
                <w:sz w:val="20"/>
              </w:rPr>
              <w:t>for the year</w:t>
            </w:r>
          </w:p>
        </w:tc>
        <w:tc>
          <w:tcPr>
            <w:tcW w:w="1080" w:type="dxa"/>
            <w:shd w:val="clear" w:color="auto" w:fill="auto"/>
            <w:noWrap/>
            <w:vAlign w:val="bottom"/>
          </w:tcPr>
          <w:p w14:paraId="2C3A4A2A" w14:textId="18E3377D" w:rsidR="00D54434" w:rsidRPr="00D54434" w:rsidRDefault="00D54434" w:rsidP="00516397">
            <w:pPr>
              <w:pBdr>
                <w:bottom w:val="double" w:sz="4" w:space="0" w:color="000000"/>
              </w:pBdr>
              <w:tabs>
                <w:tab w:val="decimal" w:pos="1020"/>
              </w:tabs>
              <w:spacing w:before="40"/>
              <w:jc w:val="right"/>
              <w:rPr>
                <w:sz w:val="20"/>
              </w:rPr>
            </w:pPr>
            <w:r w:rsidRPr="00D54434">
              <w:rPr>
                <w:sz w:val="20"/>
              </w:rPr>
              <w:t>100,619</w:t>
            </w:r>
          </w:p>
        </w:tc>
        <w:tc>
          <w:tcPr>
            <w:tcW w:w="1080" w:type="dxa"/>
            <w:shd w:val="clear" w:color="auto" w:fill="auto"/>
            <w:noWrap/>
            <w:vAlign w:val="bottom"/>
          </w:tcPr>
          <w:p w14:paraId="533C02E6" w14:textId="06BBFF8E" w:rsidR="00D54434" w:rsidRPr="001A3741" w:rsidRDefault="00D54434" w:rsidP="00D54434">
            <w:pPr>
              <w:pBdr>
                <w:bottom w:val="double" w:sz="4" w:space="0" w:color="000000"/>
              </w:pBdr>
              <w:tabs>
                <w:tab w:val="decimal" w:pos="1020"/>
              </w:tabs>
              <w:spacing w:before="40"/>
              <w:rPr>
                <w:rFonts w:asciiTheme="majorBidi" w:hAnsiTheme="majorBidi" w:cstheme="majorBidi"/>
                <w:sz w:val="20"/>
              </w:rPr>
            </w:pPr>
            <w:r w:rsidRPr="0020502A">
              <w:rPr>
                <w:sz w:val="20"/>
              </w:rPr>
              <w:t>17,214</w:t>
            </w:r>
          </w:p>
        </w:tc>
        <w:tc>
          <w:tcPr>
            <w:tcW w:w="1080" w:type="dxa"/>
            <w:shd w:val="clear" w:color="auto" w:fill="auto"/>
            <w:noWrap/>
            <w:vAlign w:val="bottom"/>
          </w:tcPr>
          <w:p w14:paraId="404822FF" w14:textId="5731615D" w:rsidR="00D54434" w:rsidRPr="00985EAD" w:rsidRDefault="00D54434" w:rsidP="00D54434">
            <w:pPr>
              <w:pBdr>
                <w:bottom w:val="double" w:sz="4" w:space="0" w:color="000000"/>
              </w:pBdr>
              <w:tabs>
                <w:tab w:val="decimal" w:pos="1020"/>
              </w:tabs>
              <w:spacing w:before="40"/>
              <w:rPr>
                <w:rFonts w:asciiTheme="majorBidi" w:hAnsiTheme="majorBidi" w:cstheme="majorBidi"/>
                <w:sz w:val="20"/>
              </w:rPr>
            </w:pPr>
            <w:r w:rsidRPr="001A3741">
              <w:rPr>
                <w:sz w:val="20"/>
              </w:rPr>
              <w:t>107,719</w:t>
            </w:r>
          </w:p>
        </w:tc>
      </w:tr>
    </w:tbl>
    <w:p w14:paraId="28CE5BBC" w14:textId="77777777" w:rsidR="00C35D07" w:rsidRPr="00F17A8B" w:rsidRDefault="00C35D07" w:rsidP="004A3C21">
      <w:pPr>
        <w:rPr>
          <w:sz w:val="20"/>
        </w:rPr>
      </w:pPr>
    </w:p>
    <w:p w14:paraId="0FA20C73" w14:textId="77777777" w:rsidR="00C35D07" w:rsidRDefault="00C35D07" w:rsidP="004A3C21">
      <w:pPr>
        <w:ind w:left="426" w:hanging="426"/>
        <w:rPr>
          <w:sz w:val="22"/>
          <w:szCs w:val="22"/>
        </w:rPr>
      </w:pPr>
    </w:p>
    <w:p w14:paraId="4D98EBCB" w14:textId="77777777" w:rsidR="001A3741" w:rsidRDefault="001A3741" w:rsidP="004A3C21">
      <w:pPr>
        <w:ind w:left="426" w:hanging="426"/>
        <w:rPr>
          <w:sz w:val="22"/>
          <w:szCs w:val="22"/>
        </w:rPr>
      </w:pPr>
    </w:p>
    <w:p w14:paraId="0F216F3A" w14:textId="77777777" w:rsidR="001A3741" w:rsidRPr="00F02921" w:rsidRDefault="001A3741" w:rsidP="004A3C21">
      <w:pPr>
        <w:ind w:left="426" w:hanging="426"/>
        <w:rPr>
          <w:sz w:val="22"/>
          <w:szCs w:val="22"/>
        </w:rPr>
      </w:pPr>
    </w:p>
    <w:p w14:paraId="56C44063" w14:textId="1845473D" w:rsidR="00C35D07" w:rsidRPr="007340BB" w:rsidRDefault="00513FAC">
      <w:pPr>
        <w:rPr>
          <w:sz w:val="20"/>
        </w:rPr>
      </w:pPr>
      <w:r>
        <w:rPr>
          <w:sz w:val="20"/>
        </w:rPr>
        <w:t>The accompanying notes are an integral part of these consolidated financial statements.</w:t>
      </w:r>
    </w:p>
    <w:p w14:paraId="41E7010A" w14:textId="215A9AE0" w:rsidR="00C35D07" w:rsidRDefault="00C35D07" w:rsidP="004A3C21">
      <w:pPr>
        <w:tabs>
          <w:tab w:val="decimal" w:pos="8352"/>
        </w:tabs>
        <w:jc w:val="right"/>
        <w:rPr>
          <w:sz w:val="22"/>
          <w:szCs w:val="22"/>
        </w:rPr>
      </w:pPr>
    </w:p>
    <w:p w14:paraId="2BF459D8" w14:textId="77777777" w:rsidR="002B7377" w:rsidRDefault="002B7377" w:rsidP="004A3C21">
      <w:pPr>
        <w:tabs>
          <w:tab w:val="decimal" w:pos="8352"/>
        </w:tabs>
        <w:jc w:val="right"/>
        <w:rPr>
          <w:sz w:val="22"/>
          <w:szCs w:val="22"/>
        </w:rPr>
      </w:pPr>
    </w:p>
    <w:p w14:paraId="561FA5C3" w14:textId="77777777" w:rsidR="0019029E" w:rsidRPr="00F02921" w:rsidRDefault="0019029E" w:rsidP="0019029E">
      <w:pPr>
        <w:tabs>
          <w:tab w:val="decimal" w:pos="8352"/>
        </w:tabs>
        <w:jc w:val="both"/>
        <w:rPr>
          <w:sz w:val="22"/>
          <w:szCs w:val="22"/>
        </w:rPr>
        <w:sectPr w:rsidR="0019029E" w:rsidRPr="00F02921" w:rsidSect="00593E8F">
          <w:headerReference w:type="default" r:id="rId20"/>
          <w:endnotePr>
            <w:numFmt w:val="lowerLetter"/>
          </w:endnotePr>
          <w:type w:val="nextColumn"/>
          <w:pgSz w:w="11906" w:h="16838"/>
          <w:pgMar w:top="1134" w:right="1134" w:bottom="1134" w:left="1134" w:header="567" w:footer="567" w:gutter="0"/>
          <w:paperSrc w:first="15" w:other="15"/>
          <w:cols w:space="720"/>
          <w:bidi/>
          <w:docGrid w:linePitch="326"/>
        </w:sectPr>
      </w:pPr>
    </w:p>
    <w:p w14:paraId="20A037AC" w14:textId="0CD264AB" w:rsidR="004467A7" w:rsidRDefault="002E76E0" w:rsidP="008D6B13">
      <w:pPr>
        <w:outlineLvl w:val="2"/>
        <w:rPr>
          <w:b/>
          <w:bCs/>
          <w:color w:val="FFFFFF" w:themeColor="background1"/>
          <w:sz w:val="20"/>
          <w:szCs w:val="22"/>
        </w:rPr>
      </w:pPr>
      <w:bookmarkStart w:id="14" w:name="H2_Consolidated_statement_of_changes_in_"/>
      <w:r w:rsidRPr="00897811">
        <w:rPr>
          <w:b/>
          <w:bCs/>
          <w:color w:val="FFFFFF" w:themeColor="background1"/>
          <w:sz w:val="20"/>
          <w:szCs w:val="22"/>
        </w:rPr>
        <w:lastRenderedPageBreak/>
        <w:t>Consolidated statement of changes in equity for the year ended December 31,</w:t>
      </w:r>
      <w:bookmarkEnd w:id="14"/>
    </w:p>
    <w:p w14:paraId="6FE0564B" w14:textId="251785ED" w:rsidR="002E76E0" w:rsidRPr="0003291C" w:rsidRDefault="002E76E0" w:rsidP="0020502A">
      <w:pPr>
        <w:rPr>
          <w:b/>
          <w:bCs/>
          <w:color w:val="FFFFFF" w:themeColor="background1"/>
          <w:sz w:val="20"/>
          <w:szCs w:val="22"/>
        </w:rPr>
      </w:pPr>
      <w:r w:rsidRPr="00F02921">
        <w:rPr>
          <w:rStyle w:val="Koteret"/>
          <w:b w:val="0"/>
          <w:bCs/>
          <w:i/>
          <w:iCs/>
        </w:rPr>
        <w:t>In thousands of Euros</w:t>
      </w:r>
    </w:p>
    <w:tbl>
      <w:tblPr>
        <w:tblW w:w="14912" w:type="dxa"/>
        <w:tblLayout w:type="fixed"/>
        <w:tblCellMar>
          <w:left w:w="0" w:type="dxa"/>
          <w:right w:w="0" w:type="dxa"/>
        </w:tblCellMar>
        <w:tblLook w:val="07E0" w:firstRow="1" w:lastRow="1" w:firstColumn="1" w:lastColumn="1" w:noHBand="1" w:noVBand="1"/>
        <w:tblCaption w:val="AHR01"/>
        <w:tblDescription w:val="Consolidated statement of changes in equity "/>
      </w:tblPr>
      <w:tblGrid>
        <w:gridCol w:w="3233"/>
        <w:gridCol w:w="1134"/>
        <w:gridCol w:w="1134"/>
        <w:gridCol w:w="1134"/>
        <w:gridCol w:w="1303"/>
        <w:gridCol w:w="1815"/>
        <w:gridCol w:w="1134"/>
        <w:gridCol w:w="1757"/>
        <w:gridCol w:w="1134"/>
        <w:gridCol w:w="1134"/>
      </w:tblGrid>
      <w:tr w:rsidR="00F26B01" w:rsidRPr="00866299" w14:paraId="0AAC84B0" w14:textId="77777777" w:rsidTr="006909F2">
        <w:trPr>
          <w:cantSplit/>
          <w:trHeight w:val="770"/>
          <w:tblHeader/>
        </w:trPr>
        <w:tc>
          <w:tcPr>
            <w:tcW w:w="3233" w:type="dxa"/>
            <w:shd w:val="clear" w:color="auto" w:fill="auto"/>
            <w:vAlign w:val="bottom"/>
            <w:hideMark/>
          </w:tcPr>
          <w:p w14:paraId="45098169" w14:textId="77777777" w:rsidR="002B7377" w:rsidRPr="00866299" w:rsidRDefault="002B7377" w:rsidP="00611EBB">
            <w:pPr>
              <w:spacing w:before="40"/>
              <w:rPr>
                <w:rFonts w:asciiTheme="majorBidi" w:eastAsia="Arial" w:hAnsiTheme="majorBidi" w:cstheme="majorBidi"/>
                <w:sz w:val="20"/>
              </w:rPr>
            </w:pPr>
            <w:bookmarkStart w:id="15" w:name="Title_6" w:colFirst="0" w:colLast="0"/>
          </w:p>
        </w:tc>
        <w:tc>
          <w:tcPr>
            <w:tcW w:w="1134" w:type="dxa"/>
            <w:shd w:val="clear" w:color="auto" w:fill="auto"/>
            <w:vAlign w:val="bottom"/>
            <w:hideMark/>
          </w:tcPr>
          <w:p w14:paraId="18B6723D" w14:textId="77777777" w:rsidR="002B7377" w:rsidRPr="00866299" w:rsidRDefault="002B7377" w:rsidP="00611EBB">
            <w:pPr>
              <w:pBdr>
                <w:bottom w:val="single" w:sz="4" w:space="0" w:color="000000"/>
              </w:pBdr>
              <w:spacing w:before="40"/>
              <w:jc w:val="center"/>
              <w:rPr>
                <w:rFonts w:asciiTheme="majorBidi" w:hAnsiTheme="majorBidi" w:cstheme="majorBidi"/>
                <w:b/>
                <w:bCs/>
                <w:sz w:val="18"/>
                <w:szCs w:val="18"/>
              </w:rPr>
            </w:pPr>
            <w:r w:rsidRPr="00866299">
              <w:rPr>
                <w:rFonts w:asciiTheme="majorBidi" w:hAnsiTheme="majorBidi" w:cstheme="majorBidi"/>
                <w:b/>
                <w:bCs/>
                <w:color w:val="000000"/>
                <w:sz w:val="18"/>
                <w:szCs w:val="18"/>
              </w:rPr>
              <w:t>Issued capital</w:t>
            </w:r>
          </w:p>
        </w:tc>
        <w:tc>
          <w:tcPr>
            <w:tcW w:w="1134" w:type="dxa"/>
            <w:shd w:val="clear" w:color="auto" w:fill="auto"/>
            <w:vAlign w:val="bottom"/>
            <w:hideMark/>
          </w:tcPr>
          <w:p w14:paraId="2A495784" w14:textId="77777777" w:rsidR="002B7377" w:rsidRPr="00866299" w:rsidRDefault="002B7377" w:rsidP="00611EBB">
            <w:pPr>
              <w:pBdr>
                <w:bottom w:val="single" w:sz="4" w:space="0" w:color="000000"/>
              </w:pBdr>
              <w:spacing w:before="40"/>
              <w:jc w:val="center"/>
              <w:rPr>
                <w:rFonts w:asciiTheme="majorBidi" w:hAnsiTheme="majorBidi" w:cstheme="majorBidi"/>
                <w:b/>
                <w:bCs/>
                <w:sz w:val="18"/>
                <w:szCs w:val="18"/>
                <w:rtl/>
                <w:lang w:bidi="he-IL"/>
              </w:rPr>
            </w:pPr>
            <w:r w:rsidRPr="00866299">
              <w:rPr>
                <w:rFonts w:asciiTheme="majorBidi" w:hAnsiTheme="majorBidi" w:cstheme="majorBidi"/>
                <w:b/>
                <w:bCs/>
                <w:color w:val="000000"/>
                <w:sz w:val="18"/>
                <w:szCs w:val="18"/>
              </w:rPr>
              <w:t>Share premium</w:t>
            </w:r>
          </w:p>
        </w:tc>
        <w:tc>
          <w:tcPr>
            <w:tcW w:w="1134" w:type="dxa"/>
            <w:shd w:val="clear" w:color="auto" w:fill="auto"/>
            <w:vAlign w:val="bottom"/>
            <w:hideMark/>
          </w:tcPr>
          <w:p w14:paraId="5AAF361F" w14:textId="77777777" w:rsidR="002B7377" w:rsidRPr="00866299" w:rsidRDefault="002B7377" w:rsidP="00611EBB">
            <w:pPr>
              <w:pBdr>
                <w:bottom w:val="single" w:sz="4" w:space="0" w:color="000000"/>
              </w:pBdr>
              <w:spacing w:before="40"/>
              <w:jc w:val="center"/>
              <w:rPr>
                <w:rFonts w:asciiTheme="majorBidi" w:hAnsiTheme="majorBidi" w:cstheme="majorBidi"/>
                <w:b/>
                <w:bCs/>
                <w:sz w:val="18"/>
                <w:szCs w:val="18"/>
              </w:rPr>
            </w:pPr>
            <w:r w:rsidRPr="00866299">
              <w:rPr>
                <w:rFonts w:asciiTheme="majorBidi" w:hAnsiTheme="majorBidi" w:cstheme="majorBidi"/>
                <w:b/>
                <w:bCs/>
                <w:color w:val="000000"/>
                <w:sz w:val="18"/>
                <w:szCs w:val="18"/>
              </w:rPr>
              <w:t>Translation reserve</w:t>
            </w:r>
          </w:p>
        </w:tc>
        <w:tc>
          <w:tcPr>
            <w:tcW w:w="1303" w:type="dxa"/>
            <w:shd w:val="clear" w:color="auto" w:fill="auto"/>
            <w:vAlign w:val="bottom"/>
            <w:hideMark/>
          </w:tcPr>
          <w:p w14:paraId="0EBC34EE" w14:textId="77777777" w:rsidR="002B7377" w:rsidRPr="00866299" w:rsidRDefault="002B7377" w:rsidP="00611EBB">
            <w:pPr>
              <w:pBdr>
                <w:bottom w:val="single" w:sz="4" w:space="0" w:color="000000"/>
              </w:pBdr>
              <w:spacing w:before="40"/>
              <w:jc w:val="center"/>
              <w:rPr>
                <w:rFonts w:asciiTheme="majorBidi" w:hAnsiTheme="majorBidi" w:cstheme="majorBidi"/>
                <w:b/>
                <w:bCs/>
                <w:sz w:val="18"/>
                <w:szCs w:val="18"/>
              </w:rPr>
            </w:pPr>
            <w:r w:rsidRPr="00866299">
              <w:rPr>
                <w:rFonts w:asciiTheme="majorBidi" w:hAnsiTheme="majorBidi" w:cstheme="majorBidi"/>
                <w:b/>
                <w:bCs/>
                <w:color w:val="000000"/>
                <w:sz w:val="18"/>
                <w:szCs w:val="18"/>
              </w:rPr>
              <w:t>Hedging reserve</w:t>
            </w:r>
          </w:p>
        </w:tc>
        <w:tc>
          <w:tcPr>
            <w:tcW w:w="1815" w:type="dxa"/>
            <w:shd w:val="clear" w:color="auto" w:fill="auto"/>
            <w:vAlign w:val="bottom"/>
            <w:hideMark/>
          </w:tcPr>
          <w:p w14:paraId="654756FD" w14:textId="77777777" w:rsidR="002B7377" w:rsidRPr="00866299" w:rsidRDefault="002B7377" w:rsidP="00611EBB">
            <w:pPr>
              <w:pBdr>
                <w:bottom w:val="single" w:sz="4" w:space="0" w:color="000000"/>
              </w:pBdr>
              <w:spacing w:before="40"/>
              <w:jc w:val="center"/>
              <w:rPr>
                <w:rFonts w:asciiTheme="majorBidi" w:hAnsiTheme="majorBidi" w:cstheme="majorBidi"/>
                <w:b/>
                <w:bCs/>
                <w:sz w:val="18"/>
                <w:szCs w:val="18"/>
              </w:rPr>
            </w:pPr>
            <w:r w:rsidRPr="00866299">
              <w:rPr>
                <w:rFonts w:asciiTheme="majorBidi" w:hAnsiTheme="majorBidi" w:cstheme="majorBidi"/>
                <w:b/>
                <w:bCs/>
                <w:color w:val="000000"/>
                <w:sz w:val="18"/>
                <w:szCs w:val="18"/>
              </w:rPr>
              <w:t>Capital reserve from transactions with non-controlling interest</w:t>
            </w:r>
          </w:p>
        </w:tc>
        <w:tc>
          <w:tcPr>
            <w:tcW w:w="1134" w:type="dxa"/>
            <w:shd w:val="clear" w:color="auto" w:fill="auto"/>
            <w:vAlign w:val="bottom"/>
            <w:hideMark/>
          </w:tcPr>
          <w:p w14:paraId="7CE12184" w14:textId="77777777" w:rsidR="002B7377" w:rsidRPr="00866299" w:rsidRDefault="002B7377" w:rsidP="00611EBB">
            <w:pPr>
              <w:pBdr>
                <w:bottom w:val="single" w:sz="4" w:space="0" w:color="000000"/>
              </w:pBdr>
              <w:spacing w:before="40"/>
              <w:jc w:val="center"/>
              <w:rPr>
                <w:rFonts w:asciiTheme="majorBidi" w:hAnsiTheme="majorBidi" w:cstheme="majorBidi"/>
                <w:b/>
                <w:bCs/>
                <w:sz w:val="18"/>
                <w:szCs w:val="18"/>
              </w:rPr>
            </w:pPr>
            <w:r w:rsidRPr="00866299">
              <w:rPr>
                <w:rFonts w:asciiTheme="majorBidi" w:hAnsiTheme="majorBidi" w:cstheme="majorBidi"/>
                <w:b/>
                <w:bCs/>
                <w:color w:val="000000"/>
                <w:sz w:val="18"/>
                <w:szCs w:val="18"/>
              </w:rPr>
              <w:t>Retained earnings</w:t>
            </w:r>
          </w:p>
        </w:tc>
        <w:tc>
          <w:tcPr>
            <w:tcW w:w="1757" w:type="dxa"/>
            <w:shd w:val="clear" w:color="auto" w:fill="auto"/>
            <w:vAlign w:val="bottom"/>
            <w:hideMark/>
          </w:tcPr>
          <w:p w14:paraId="63CFBD96" w14:textId="77777777" w:rsidR="002B7377" w:rsidRPr="00186A38" w:rsidRDefault="002B7377" w:rsidP="00611EBB">
            <w:pPr>
              <w:pBdr>
                <w:bottom w:val="single" w:sz="4" w:space="0" w:color="000000"/>
              </w:pBdr>
              <w:spacing w:before="40"/>
              <w:jc w:val="center"/>
              <w:rPr>
                <w:rFonts w:asciiTheme="majorBidi" w:hAnsiTheme="majorBidi" w:cstheme="majorBidi"/>
                <w:b/>
                <w:bCs/>
                <w:sz w:val="18"/>
                <w:szCs w:val="18"/>
              </w:rPr>
            </w:pPr>
            <w:r w:rsidRPr="00186A38">
              <w:rPr>
                <w:rFonts w:asciiTheme="majorBidi" w:hAnsiTheme="majorBidi" w:cstheme="majorBidi"/>
                <w:b/>
                <w:bCs/>
                <w:color w:val="000000"/>
                <w:sz w:val="18"/>
                <w:szCs w:val="18"/>
              </w:rPr>
              <w:t>Equity attributable to owners of the Company</w:t>
            </w:r>
          </w:p>
        </w:tc>
        <w:tc>
          <w:tcPr>
            <w:tcW w:w="1134" w:type="dxa"/>
            <w:shd w:val="clear" w:color="auto" w:fill="auto"/>
            <w:vAlign w:val="bottom"/>
            <w:hideMark/>
          </w:tcPr>
          <w:p w14:paraId="33A90E6A" w14:textId="77777777" w:rsidR="002B7377" w:rsidRPr="00866299" w:rsidRDefault="002B7377" w:rsidP="00611EBB">
            <w:pPr>
              <w:pBdr>
                <w:bottom w:val="single" w:sz="4" w:space="0" w:color="000000"/>
              </w:pBdr>
              <w:spacing w:before="40"/>
              <w:jc w:val="center"/>
              <w:rPr>
                <w:rFonts w:asciiTheme="majorBidi" w:hAnsiTheme="majorBidi" w:cstheme="majorBidi"/>
                <w:b/>
                <w:bCs/>
                <w:sz w:val="18"/>
                <w:szCs w:val="18"/>
              </w:rPr>
            </w:pPr>
            <w:r w:rsidRPr="00866299">
              <w:rPr>
                <w:rFonts w:asciiTheme="majorBidi" w:hAnsiTheme="majorBidi" w:cstheme="majorBidi"/>
                <w:b/>
                <w:bCs/>
                <w:color w:val="000000"/>
                <w:sz w:val="18"/>
                <w:szCs w:val="18"/>
              </w:rPr>
              <w:t>Non-controlling interest</w:t>
            </w:r>
          </w:p>
        </w:tc>
        <w:tc>
          <w:tcPr>
            <w:tcW w:w="1134" w:type="dxa"/>
            <w:shd w:val="clear" w:color="auto" w:fill="auto"/>
            <w:vAlign w:val="bottom"/>
            <w:hideMark/>
          </w:tcPr>
          <w:p w14:paraId="779ADA10" w14:textId="77777777" w:rsidR="002B7377" w:rsidRPr="00866299" w:rsidRDefault="002B7377" w:rsidP="00611EBB">
            <w:pPr>
              <w:pBdr>
                <w:bottom w:val="single" w:sz="4" w:space="0" w:color="000000"/>
              </w:pBdr>
              <w:spacing w:before="40"/>
              <w:jc w:val="center"/>
              <w:rPr>
                <w:rFonts w:asciiTheme="majorBidi" w:hAnsiTheme="majorBidi" w:cstheme="majorBidi"/>
                <w:b/>
                <w:bCs/>
                <w:sz w:val="18"/>
                <w:szCs w:val="18"/>
              </w:rPr>
            </w:pPr>
            <w:r w:rsidRPr="00866299">
              <w:rPr>
                <w:rFonts w:asciiTheme="majorBidi" w:hAnsiTheme="majorBidi" w:cstheme="majorBidi"/>
                <w:b/>
                <w:bCs/>
                <w:color w:val="000000"/>
                <w:sz w:val="18"/>
                <w:szCs w:val="18"/>
              </w:rPr>
              <w:t>Total equity</w:t>
            </w:r>
          </w:p>
        </w:tc>
      </w:tr>
      <w:bookmarkEnd w:id="15"/>
      <w:tr w:rsidR="003B2B96" w:rsidRPr="00866299" w14:paraId="1CF8C655" w14:textId="77777777" w:rsidTr="006909F2">
        <w:trPr>
          <w:trHeight w:val="236"/>
        </w:trPr>
        <w:tc>
          <w:tcPr>
            <w:tcW w:w="3233" w:type="dxa"/>
            <w:shd w:val="clear" w:color="auto" w:fill="auto"/>
            <w:vAlign w:val="bottom"/>
          </w:tcPr>
          <w:p w14:paraId="3FE86743" w14:textId="28B592BB" w:rsidR="003B2B96" w:rsidRPr="00440C55" w:rsidRDefault="003B2B96" w:rsidP="003B2B96">
            <w:pPr>
              <w:spacing w:before="40"/>
              <w:rPr>
                <w:rFonts w:asciiTheme="majorBidi" w:hAnsiTheme="majorBidi" w:cstheme="majorBidi"/>
                <w:sz w:val="12"/>
                <w:szCs w:val="12"/>
              </w:rPr>
            </w:pPr>
            <w:r w:rsidRPr="00866299">
              <w:rPr>
                <w:rFonts w:asciiTheme="majorBidi" w:hAnsiTheme="majorBidi" w:cstheme="majorBidi"/>
                <w:color w:val="000000"/>
                <w:sz w:val="20"/>
              </w:rPr>
              <w:t xml:space="preserve">Balance </w:t>
            </w:r>
            <w:proofErr w:type="gramStart"/>
            <w:r w:rsidRPr="00866299">
              <w:rPr>
                <w:rFonts w:asciiTheme="majorBidi" w:hAnsiTheme="majorBidi" w:cstheme="majorBidi"/>
                <w:color w:val="000000"/>
                <w:sz w:val="20"/>
              </w:rPr>
              <w:t>at</w:t>
            </w:r>
            <w:proofErr w:type="gramEnd"/>
            <w:r w:rsidRPr="00866299">
              <w:rPr>
                <w:rFonts w:asciiTheme="majorBidi" w:hAnsiTheme="majorBidi" w:cstheme="majorBidi"/>
                <w:color w:val="000000"/>
                <w:sz w:val="20"/>
              </w:rPr>
              <w:t xml:space="preserve"> January 1, </w:t>
            </w:r>
            <w:r>
              <w:rPr>
                <w:rFonts w:asciiTheme="majorBidi" w:hAnsiTheme="majorBidi" w:cstheme="majorBidi"/>
                <w:color w:val="000000"/>
                <w:sz w:val="20"/>
              </w:rPr>
              <w:t xml:space="preserve">2022 </w:t>
            </w:r>
          </w:p>
        </w:tc>
        <w:tc>
          <w:tcPr>
            <w:tcW w:w="1134" w:type="dxa"/>
            <w:shd w:val="clear" w:color="auto" w:fill="auto"/>
            <w:noWrap/>
            <w:vAlign w:val="bottom"/>
          </w:tcPr>
          <w:p w14:paraId="51CE510D" w14:textId="5A61A56A" w:rsidR="003B2B96" w:rsidRPr="00A04466" w:rsidRDefault="003B2B96" w:rsidP="00502C08">
            <w:pPr>
              <w:spacing w:before="40"/>
              <w:jc w:val="right"/>
              <w:rPr>
                <w:rFonts w:asciiTheme="majorBidi" w:hAnsiTheme="majorBidi" w:cstheme="majorBidi"/>
                <w:sz w:val="20"/>
              </w:rPr>
            </w:pPr>
            <w:r w:rsidRPr="001A3741">
              <w:rPr>
                <w:sz w:val="20"/>
              </w:rPr>
              <w:t>930</w:t>
            </w:r>
          </w:p>
        </w:tc>
        <w:tc>
          <w:tcPr>
            <w:tcW w:w="1134" w:type="dxa"/>
            <w:shd w:val="clear" w:color="auto" w:fill="auto"/>
            <w:noWrap/>
            <w:vAlign w:val="bottom"/>
          </w:tcPr>
          <w:p w14:paraId="73084626" w14:textId="61F0B55D" w:rsidR="003B2B96" w:rsidRPr="00A04466" w:rsidRDefault="003B2B96" w:rsidP="00502C08">
            <w:pPr>
              <w:spacing w:before="40"/>
              <w:jc w:val="right"/>
              <w:rPr>
                <w:rFonts w:asciiTheme="majorBidi" w:hAnsiTheme="majorBidi" w:cstheme="majorBidi"/>
                <w:sz w:val="20"/>
              </w:rPr>
            </w:pPr>
            <w:r w:rsidRPr="001A3741">
              <w:rPr>
                <w:sz w:val="20"/>
              </w:rPr>
              <w:t>411,797</w:t>
            </w:r>
          </w:p>
        </w:tc>
        <w:tc>
          <w:tcPr>
            <w:tcW w:w="1134" w:type="dxa"/>
            <w:shd w:val="clear" w:color="auto" w:fill="auto"/>
            <w:noWrap/>
            <w:vAlign w:val="bottom"/>
          </w:tcPr>
          <w:p w14:paraId="1F780543" w14:textId="162C5897" w:rsidR="003B2B96" w:rsidRPr="00A04466" w:rsidRDefault="003B2B96" w:rsidP="00502C08">
            <w:pPr>
              <w:spacing w:before="40"/>
              <w:jc w:val="right"/>
              <w:rPr>
                <w:rFonts w:asciiTheme="majorBidi" w:hAnsiTheme="majorBidi" w:cstheme="majorBidi"/>
                <w:sz w:val="20"/>
              </w:rPr>
            </w:pPr>
            <w:r w:rsidRPr="001A3741">
              <w:rPr>
                <w:sz w:val="20"/>
                <w:szCs w:val="16"/>
              </w:rPr>
              <w:t>(3,908)</w:t>
            </w:r>
          </w:p>
        </w:tc>
        <w:tc>
          <w:tcPr>
            <w:tcW w:w="1303" w:type="dxa"/>
            <w:shd w:val="clear" w:color="auto" w:fill="auto"/>
            <w:noWrap/>
            <w:vAlign w:val="bottom"/>
          </w:tcPr>
          <w:p w14:paraId="5A6E8CB7" w14:textId="055251FC" w:rsidR="003B2B96" w:rsidRPr="00A04466" w:rsidRDefault="003B2B96" w:rsidP="00502C08">
            <w:pPr>
              <w:spacing w:before="40"/>
              <w:jc w:val="right"/>
              <w:rPr>
                <w:rFonts w:asciiTheme="majorBidi" w:hAnsiTheme="majorBidi" w:cstheme="majorBidi"/>
                <w:sz w:val="20"/>
              </w:rPr>
            </w:pPr>
            <w:r w:rsidRPr="001A3741">
              <w:rPr>
                <w:sz w:val="20"/>
                <w:szCs w:val="16"/>
              </w:rPr>
              <w:t>587</w:t>
            </w:r>
          </w:p>
        </w:tc>
        <w:tc>
          <w:tcPr>
            <w:tcW w:w="1815" w:type="dxa"/>
            <w:shd w:val="clear" w:color="auto" w:fill="auto"/>
            <w:noWrap/>
            <w:vAlign w:val="bottom"/>
          </w:tcPr>
          <w:p w14:paraId="5E193D38" w14:textId="5A0EA7C9" w:rsidR="003B2B96" w:rsidRPr="00A04466" w:rsidRDefault="003B2B96" w:rsidP="00502C08">
            <w:pPr>
              <w:spacing w:before="40"/>
              <w:jc w:val="right"/>
              <w:rPr>
                <w:rFonts w:asciiTheme="majorBidi" w:hAnsiTheme="majorBidi" w:cstheme="majorBidi"/>
                <w:sz w:val="20"/>
              </w:rPr>
            </w:pPr>
            <w:r w:rsidRPr="001A3741">
              <w:rPr>
                <w:sz w:val="20"/>
                <w:szCs w:val="16"/>
              </w:rPr>
              <w:t>(6,696)</w:t>
            </w:r>
          </w:p>
        </w:tc>
        <w:tc>
          <w:tcPr>
            <w:tcW w:w="1134" w:type="dxa"/>
            <w:shd w:val="clear" w:color="auto" w:fill="auto"/>
            <w:noWrap/>
            <w:vAlign w:val="bottom"/>
          </w:tcPr>
          <w:p w14:paraId="094E6709" w14:textId="7B7FB3EB" w:rsidR="003B2B96" w:rsidRPr="00A04466" w:rsidRDefault="003B2B96" w:rsidP="00502C08">
            <w:pPr>
              <w:spacing w:before="40"/>
              <w:jc w:val="right"/>
              <w:rPr>
                <w:rFonts w:asciiTheme="majorBidi" w:hAnsiTheme="majorBidi" w:cstheme="majorBidi"/>
                <w:sz w:val="20"/>
              </w:rPr>
            </w:pPr>
            <w:r w:rsidRPr="001A3741">
              <w:rPr>
                <w:sz w:val="20"/>
                <w:szCs w:val="16"/>
              </w:rPr>
              <w:t>427,874</w:t>
            </w:r>
          </w:p>
        </w:tc>
        <w:tc>
          <w:tcPr>
            <w:tcW w:w="1757" w:type="dxa"/>
            <w:shd w:val="clear" w:color="auto" w:fill="auto"/>
            <w:noWrap/>
            <w:vAlign w:val="bottom"/>
          </w:tcPr>
          <w:p w14:paraId="1FD38802" w14:textId="6C2202D7" w:rsidR="003B2B96" w:rsidRPr="00A04466" w:rsidRDefault="003B2B96" w:rsidP="00502C08">
            <w:pPr>
              <w:spacing w:before="40"/>
              <w:jc w:val="right"/>
              <w:rPr>
                <w:rFonts w:asciiTheme="majorBidi" w:hAnsiTheme="majorBidi" w:cstheme="majorBidi"/>
                <w:sz w:val="20"/>
              </w:rPr>
            </w:pPr>
            <w:r w:rsidRPr="001A3741">
              <w:rPr>
                <w:sz w:val="20"/>
                <w:szCs w:val="16"/>
              </w:rPr>
              <w:t>830,584</w:t>
            </w:r>
          </w:p>
        </w:tc>
        <w:tc>
          <w:tcPr>
            <w:tcW w:w="1134" w:type="dxa"/>
            <w:shd w:val="clear" w:color="auto" w:fill="auto"/>
            <w:noWrap/>
            <w:vAlign w:val="bottom"/>
          </w:tcPr>
          <w:p w14:paraId="11156FFF" w14:textId="2FFB1E58" w:rsidR="003B2B96" w:rsidRPr="00A04466" w:rsidRDefault="003B2B96" w:rsidP="00502C08">
            <w:pPr>
              <w:spacing w:before="40"/>
              <w:jc w:val="right"/>
              <w:rPr>
                <w:rFonts w:asciiTheme="majorBidi" w:hAnsiTheme="majorBidi" w:cstheme="majorBidi"/>
                <w:sz w:val="20"/>
              </w:rPr>
            </w:pPr>
            <w:r w:rsidRPr="001A3741">
              <w:rPr>
                <w:sz w:val="20"/>
                <w:szCs w:val="16"/>
              </w:rPr>
              <w:t>5,285</w:t>
            </w:r>
          </w:p>
        </w:tc>
        <w:tc>
          <w:tcPr>
            <w:tcW w:w="1134" w:type="dxa"/>
            <w:shd w:val="clear" w:color="auto" w:fill="auto"/>
            <w:noWrap/>
            <w:vAlign w:val="bottom"/>
          </w:tcPr>
          <w:p w14:paraId="7E76571C" w14:textId="44982640" w:rsidR="003B2B96" w:rsidRPr="00A04466" w:rsidRDefault="003B2B96" w:rsidP="00502C08">
            <w:pPr>
              <w:spacing w:before="40"/>
              <w:jc w:val="right"/>
              <w:rPr>
                <w:rFonts w:asciiTheme="majorBidi" w:hAnsiTheme="majorBidi" w:cstheme="majorBidi"/>
                <w:sz w:val="20"/>
              </w:rPr>
            </w:pPr>
            <w:r w:rsidRPr="001A3741">
              <w:rPr>
                <w:sz w:val="20"/>
                <w:szCs w:val="16"/>
              </w:rPr>
              <w:t>835,869</w:t>
            </w:r>
          </w:p>
        </w:tc>
      </w:tr>
      <w:tr w:rsidR="003B2B96" w:rsidRPr="00866299" w14:paraId="26063960" w14:textId="77777777" w:rsidTr="006909F2">
        <w:trPr>
          <w:trHeight w:val="283"/>
        </w:trPr>
        <w:tc>
          <w:tcPr>
            <w:tcW w:w="3233" w:type="dxa"/>
            <w:shd w:val="clear" w:color="auto" w:fill="auto"/>
            <w:vAlign w:val="bottom"/>
          </w:tcPr>
          <w:p w14:paraId="0EDD79C8" w14:textId="229A6ECC" w:rsidR="003B2B96" w:rsidRPr="00570E2C" w:rsidRDefault="003B2B96" w:rsidP="003B2B96">
            <w:pPr>
              <w:spacing w:before="40"/>
              <w:rPr>
                <w:rFonts w:asciiTheme="majorBidi" w:hAnsiTheme="majorBidi" w:cstheme="majorBidi"/>
                <w:sz w:val="20"/>
              </w:rPr>
            </w:pPr>
            <w:r>
              <w:rPr>
                <w:rFonts w:asciiTheme="majorBidi" w:hAnsiTheme="majorBidi" w:cstheme="majorBidi"/>
                <w:color w:val="000000"/>
                <w:sz w:val="20"/>
              </w:rPr>
              <w:t>Profit</w:t>
            </w:r>
            <w:r w:rsidRPr="00866299">
              <w:rPr>
                <w:rFonts w:asciiTheme="majorBidi" w:hAnsiTheme="majorBidi" w:cstheme="majorBidi"/>
                <w:color w:val="000000"/>
                <w:sz w:val="20"/>
              </w:rPr>
              <w:t xml:space="preserve"> for the year </w:t>
            </w:r>
          </w:p>
        </w:tc>
        <w:tc>
          <w:tcPr>
            <w:tcW w:w="1134" w:type="dxa"/>
            <w:shd w:val="clear" w:color="auto" w:fill="auto"/>
            <w:noWrap/>
            <w:vAlign w:val="bottom"/>
          </w:tcPr>
          <w:p w14:paraId="6195AB65" w14:textId="50646852" w:rsidR="003B2B96" w:rsidRPr="00A04466" w:rsidRDefault="003B2B96" w:rsidP="00502C08">
            <w:pPr>
              <w:spacing w:before="40"/>
              <w:jc w:val="right"/>
              <w:rPr>
                <w:rFonts w:asciiTheme="majorBidi" w:hAnsiTheme="majorBidi" w:cstheme="majorBidi"/>
                <w:sz w:val="20"/>
              </w:rPr>
            </w:pPr>
            <w:r w:rsidRPr="001A3741">
              <w:rPr>
                <w:rFonts w:asciiTheme="majorBidi" w:hAnsiTheme="majorBidi" w:cstheme="majorBidi"/>
                <w:color w:val="000000"/>
                <w:sz w:val="20"/>
              </w:rPr>
              <w:t>-</w:t>
            </w:r>
          </w:p>
        </w:tc>
        <w:tc>
          <w:tcPr>
            <w:tcW w:w="1134" w:type="dxa"/>
            <w:shd w:val="clear" w:color="auto" w:fill="auto"/>
            <w:noWrap/>
            <w:vAlign w:val="bottom"/>
          </w:tcPr>
          <w:p w14:paraId="45DD354E" w14:textId="06724D07" w:rsidR="003B2B96" w:rsidRPr="00A04466" w:rsidRDefault="003B2B96" w:rsidP="00502C08">
            <w:pPr>
              <w:spacing w:before="40"/>
              <w:jc w:val="right"/>
              <w:rPr>
                <w:rFonts w:asciiTheme="majorBidi" w:hAnsiTheme="majorBidi" w:cstheme="majorBidi"/>
                <w:sz w:val="20"/>
              </w:rPr>
            </w:pPr>
            <w:r w:rsidRPr="001A3741">
              <w:rPr>
                <w:rFonts w:asciiTheme="majorBidi" w:hAnsiTheme="majorBidi" w:cstheme="majorBidi"/>
                <w:color w:val="000000"/>
                <w:sz w:val="20"/>
              </w:rPr>
              <w:t>-</w:t>
            </w:r>
          </w:p>
        </w:tc>
        <w:tc>
          <w:tcPr>
            <w:tcW w:w="1134" w:type="dxa"/>
            <w:shd w:val="clear" w:color="auto" w:fill="auto"/>
            <w:noWrap/>
            <w:vAlign w:val="bottom"/>
          </w:tcPr>
          <w:p w14:paraId="5252D597" w14:textId="5C8EA43B" w:rsidR="003B2B96" w:rsidRPr="00A04466" w:rsidRDefault="003B2B96" w:rsidP="00502C08">
            <w:pPr>
              <w:spacing w:before="40"/>
              <w:jc w:val="right"/>
              <w:rPr>
                <w:rFonts w:asciiTheme="majorBidi" w:hAnsiTheme="majorBidi" w:cstheme="majorBidi"/>
                <w:sz w:val="20"/>
              </w:rPr>
            </w:pPr>
            <w:r w:rsidRPr="001A3741">
              <w:rPr>
                <w:rFonts w:asciiTheme="majorBidi" w:hAnsiTheme="majorBidi" w:cstheme="majorBidi"/>
                <w:color w:val="000000"/>
                <w:sz w:val="20"/>
              </w:rPr>
              <w:t>-</w:t>
            </w:r>
          </w:p>
        </w:tc>
        <w:tc>
          <w:tcPr>
            <w:tcW w:w="1303" w:type="dxa"/>
            <w:shd w:val="clear" w:color="auto" w:fill="auto"/>
            <w:noWrap/>
            <w:vAlign w:val="bottom"/>
          </w:tcPr>
          <w:p w14:paraId="4ED8DD0B" w14:textId="0550B211" w:rsidR="003B2B96" w:rsidRPr="00A04466" w:rsidRDefault="003B2B96" w:rsidP="00502C08">
            <w:pPr>
              <w:spacing w:before="40"/>
              <w:jc w:val="right"/>
              <w:rPr>
                <w:rFonts w:asciiTheme="majorBidi" w:hAnsiTheme="majorBidi" w:cstheme="majorBidi"/>
                <w:sz w:val="20"/>
              </w:rPr>
            </w:pPr>
            <w:r w:rsidRPr="001A3741">
              <w:rPr>
                <w:rFonts w:asciiTheme="majorBidi" w:hAnsiTheme="majorBidi" w:cstheme="majorBidi"/>
                <w:color w:val="000000"/>
                <w:sz w:val="20"/>
              </w:rPr>
              <w:t>-</w:t>
            </w:r>
          </w:p>
        </w:tc>
        <w:tc>
          <w:tcPr>
            <w:tcW w:w="1815" w:type="dxa"/>
            <w:shd w:val="clear" w:color="auto" w:fill="auto"/>
            <w:noWrap/>
            <w:vAlign w:val="bottom"/>
          </w:tcPr>
          <w:p w14:paraId="70A4CB01" w14:textId="3F59CE27" w:rsidR="003B2B96" w:rsidRPr="00A04466" w:rsidRDefault="003B2B96" w:rsidP="00502C08">
            <w:pPr>
              <w:spacing w:before="40"/>
              <w:jc w:val="right"/>
              <w:rPr>
                <w:rFonts w:asciiTheme="majorBidi" w:hAnsiTheme="majorBidi" w:cstheme="majorBidi"/>
                <w:sz w:val="20"/>
              </w:rPr>
            </w:pPr>
            <w:r w:rsidRPr="001A3741">
              <w:rPr>
                <w:rFonts w:asciiTheme="majorBidi" w:hAnsiTheme="majorBidi" w:cstheme="majorBidi"/>
                <w:color w:val="000000"/>
                <w:sz w:val="20"/>
              </w:rPr>
              <w:t>-</w:t>
            </w:r>
          </w:p>
        </w:tc>
        <w:tc>
          <w:tcPr>
            <w:tcW w:w="1134" w:type="dxa"/>
            <w:shd w:val="clear" w:color="auto" w:fill="auto"/>
            <w:noWrap/>
            <w:vAlign w:val="bottom"/>
          </w:tcPr>
          <w:p w14:paraId="7D0CE7A9" w14:textId="73978980" w:rsidR="003B2B96" w:rsidRPr="00A04466" w:rsidRDefault="003B2B96" w:rsidP="00502C08">
            <w:pPr>
              <w:spacing w:before="40"/>
              <w:jc w:val="right"/>
              <w:rPr>
                <w:rFonts w:asciiTheme="majorBidi" w:hAnsiTheme="majorBidi" w:cstheme="majorBidi"/>
                <w:sz w:val="20"/>
              </w:rPr>
            </w:pPr>
            <w:r w:rsidRPr="001A3741">
              <w:rPr>
                <w:color w:val="000000"/>
                <w:sz w:val="20"/>
              </w:rPr>
              <w:t>77,398</w:t>
            </w:r>
          </w:p>
        </w:tc>
        <w:tc>
          <w:tcPr>
            <w:tcW w:w="1757" w:type="dxa"/>
            <w:shd w:val="clear" w:color="auto" w:fill="auto"/>
            <w:noWrap/>
            <w:vAlign w:val="bottom"/>
          </w:tcPr>
          <w:p w14:paraId="732039CC" w14:textId="1353AE98" w:rsidR="003B2B96" w:rsidRPr="00A04466" w:rsidRDefault="003B2B96" w:rsidP="00502C08">
            <w:pPr>
              <w:spacing w:before="40"/>
              <w:jc w:val="right"/>
              <w:rPr>
                <w:rFonts w:asciiTheme="majorBidi" w:hAnsiTheme="majorBidi" w:cstheme="majorBidi"/>
                <w:sz w:val="20"/>
              </w:rPr>
            </w:pPr>
            <w:r w:rsidRPr="001A3741">
              <w:rPr>
                <w:color w:val="000000"/>
                <w:sz w:val="20"/>
              </w:rPr>
              <w:t>77,398</w:t>
            </w:r>
          </w:p>
        </w:tc>
        <w:tc>
          <w:tcPr>
            <w:tcW w:w="1134" w:type="dxa"/>
            <w:shd w:val="clear" w:color="auto" w:fill="auto"/>
            <w:noWrap/>
            <w:vAlign w:val="bottom"/>
          </w:tcPr>
          <w:p w14:paraId="36564D9B" w14:textId="002E1B67" w:rsidR="003B2B96" w:rsidRPr="00A04466" w:rsidRDefault="003B2B96" w:rsidP="00502C08">
            <w:pPr>
              <w:spacing w:before="40"/>
              <w:jc w:val="right"/>
              <w:rPr>
                <w:rFonts w:asciiTheme="majorBidi" w:hAnsiTheme="majorBidi" w:cstheme="majorBidi"/>
                <w:sz w:val="20"/>
              </w:rPr>
            </w:pPr>
            <w:r w:rsidRPr="001A3741">
              <w:rPr>
                <w:color w:val="000000"/>
                <w:sz w:val="20"/>
              </w:rPr>
              <w:t>622</w:t>
            </w:r>
          </w:p>
        </w:tc>
        <w:tc>
          <w:tcPr>
            <w:tcW w:w="1134" w:type="dxa"/>
            <w:shd w:val="clear" w:color="auto" w:fill="auto"/>
            <w:noWrap/>
            <w:vAlign w:val="bottom"/>
          </w:tcPr>
          <w:p w14:paraId="27EC0EF3" w14:textId="73A71A99" w:rsidR="003B2B96" w:rsidRPr="00A04466" w:rsidRDefault="003B2B96" w:rsidP="00502C08">
            <w:pPr>
              <w:spacing w:before="40"/>
              <w:jc w:val="right"/>
              <w:rPr>
                <w:rFonts w:asciiTheme="majorBidi" w:hAnsiTheme="majorBidi" w:cstheme="majorBidi"/>
                <w:sz w:val="20"/>
              </w:rPr>
            </w:pPr>
            <w:r w:rsidRPr="001A3741">
              <w:rPr>
                <w:color w:val="000000"/>
                <w:sz w:val="20"/>
              </w:rPr>
              <w:t>78,020</w:t>
            </w:r>
          </w:p>
        </w:tc>
      </w:tr>
      <w:tr w:rsidR="003B2B96" w:rsidRPr="00866299" w14:paraId="67AAFF36" w14:textId="77777777" w:rsidTr="006909F2">
        <w:trPr>
          <w:trHeight w:val="283"/>
        </w:trPr>
        <w:tc>
          <w:tcPr>
            <w:tcW w:w="3233" w:type="dxa"/>
            <w:shd w:val="clear" w:color="auto" w:fill="auto"/>
            <w:vAlign w:val="bottom"/>
          </w:tcPr>
          <w:p w14:paraId="57D3DB16" w14:textId="49EE5A80" w:rsidR="003B2B96" w:rsidRPr="00570E2C" w:rsidRDefault="003B2B96" w:rsidP="003B2B96">
            <w:pPr>
              <w:spacing w:before="40"/>
              <w:rPr>
                <w:rFonts w:asciiTheme="majorBidi" w:hAnsiTheme="majorBidi" w:cstheme="majorBidi"/>
                <w:sz w:val="20"/>
              </w:rPr>
            </w:pPr>
            <w:r w:rsidRPr="00723C60">
              <w:rPr>
                <w:rFonts w:asciiTheme="majorBidi" w:hAnsiTheme="majorBidi" w:cstheme="majorBidi"/>
                <w:color w:val="000000"/>
                <w:sz w:val="20"/>
              </w:rPr>
              <w:t>Share based payments</w:t>
            </w:r>
          </w:p>
        </w:tc>
        <w:tc>
          <w:tcPr>
            <w:tcW w:w="1134" w:type="dxa"/>
            <w:shd w:val="clear" w:color="auto" w:fill="auto"/>
            <w:noWrap/>
            <w:vAlign w:val="bottom"/>
          </w:tcPr>
          <w:p w14:paraId="7588B235" w14:textId="5AA6398B" w:rsidR="003B2B96" w:rsidRPr="00A04466" w:rsidRDefault="003B2B96" w:rsidP="00502C08">
            <w:pPr>
              <w:spacing w:before="40"/>
              <w:jc w:val="right"/>
              <w:rPr>
                <w:rFonts w:asciiTheme="majorBidi" w:hAnsiTheme="majorBidi" w:cstheme="majorBidi"/>
                <w:sz w:val="20"/>
              </w:rPr>
            </w:pPr>
            <w:r w:rsidRPr="001A3741">
              <w:rPr>
                <w:rFonts w:asciiTheme="majorBidi" w:hAnsiTheme="majorBidi" w:cstheme="majorBidi"/>
                <w:color w:val="000000"/>
                <w:sz w:val="20"/>
              </w:rPr>
              <w:t>-</w:t>
            </w:r>
          </w:p>
        </w:tc>
        <w:tc>
          <w:tcPr>
            <w:tcW w:w="1134" w:type="dxa"/>
            <w:shd w:val="clear" w:color="auto" w:fill="auto"/>
            <w:noWrap/>
            <w:vAlign w:val="bottom"/>
          </w:tcPr>
          <w:p w14:paraId="18298594" w14:textId="641D50C1" w:rsidR="003B2B96" w:rsidRPr="00A04466" w:rsidRDefault="003B2B96" w:rsidP="00502C08">
            <w:pPr>
              <w:spacing w:before="40"/>
              <w:jc w:val="right"/>
              <w:rPr>
                <w:rFonts w:asciiTheme="majorBidi" w:hAnsiTheme="majorBidi" w:cstheme="majorBidi"/>
                <w:sz w:val="20"/>
              </w:rPr>
            </w:pPr>
            <w:r w:rsidRPr="001A3741">
              <w:rPr>
                <w:rFonts w:asciiTheme="majorBidi" w:hAnsiTheme="majorBidi" w:cstheme="majorBidi"/>
                <w:color w:val="000000"/>
                <w:sz w:val="20"/>
              </w:rPr>
              <w:t>-</w:t>
            </w:r>
          </w:p>
        </w:tc>
        <w:tc>
          <w:tcPr>
            <w:tcW w:w="1134" w:type="dxa"/>
            <w:shd w:val="clear" w:color="auto" w:fill="auto"/>
            <w:noWrap/>
            <w:vAlign w:val="bottom"/>
          </w:tcPr>
          <w:p w14:paraId="0BF64F04" w14:textId="1E2826DD" w:rsidR="003B2B96" w:rsidRPr="00A04466" w:rsidRDefault="003B2B96" w:rsidP="00502C08">
            <w:pPr>
              <w:spacing w:before="40"/>
              <w:jc w:val="right"/>
              <w:rPr>
                <w:rFonts w:asciiTheme="majorBidi" w:hAnsiTheme="majorBidi" w:cstheme="majorBidi"/>
                <w:sz w:val="20"/>
              </w:rPr>
            </w:pPr>
            <w:r w:rsidRPr="001A3741">
              <w:rPr>
                <w:rFonts w:asciiTheme="majorBidi" w:hAnsiTheme="majorBidi" w:cstheme="majorBidi"/>
                <w:color w:val="000000"/>
                <w:sz w:val="20"/>
              </w:rPr>
              <w:t>-</w:t>
            </w:r>
          </w:p>
        </w:tc>
        <w:tc>
          <w:tcPr>
            <w:tcW w:w="1303" w:type="dxa"/>
            <w:shd w:val="clear" w:color="auto" w:fill="auto"/>
            <w:noWrap/>
            <w:vAlign w:val="bottom"/>
          </w:tcPr>
          <w:p w14:paraId="0342148A" w14:textId="7573F5F9" w:rsidR="003B2B96" w:rsidRPr="00A04466" w:rsidRDefault="003B2B96" w:rsidP="00502C08">
            <w:pPr>
              <w:spacing w:before="40"/>
              <w:jc w:val="right"/>
              <w:rPr>
                <w:rFonts w:asciiTheme="majorBidi" w:hAnsiTheme="majorBidi" w:cstheme="majorBidi"/>
                <w:sz w:val="20"/>
              </w:rPr>
            </w:pPr>
            <w:r w:rsidRPr="001A3741">
              <w:rPr>
                <w:rFonts w:asciiTheme="majorBidi" w:hAnsiTheme="majorBidi" w:cstheme="majorBidi"/>
                <w:color w:val="000000"/>
                <w:sz w:val="20"/>
              </w:rPr>
              <w:t>-</w:t>
            </w:r>
          </w:p>
        </w:tc>
        <w:tc>
          <w:tcPr>
            <w:tcW w:w="1815" w:type="dxa"/>
            <w:shd w:val="clear" w:color="auto" w:fill="auto"/>
            <w:noWrap/>
            <w:vAlign w:val="bottom"/>
          </w:tcPr>
          <w:p w14:paraId="191A9B92" w14:textId="0FFDB764" w:rsidR="003B2B96" w:rsidRPr="00A04466" w:rsidRDefault="003B2B96" w:rsidP="00502C08">
            <w:pPr>
              <w:spacing w:before="40"/>
              <w:jc w:val="right"/>
              <w:rPr>
                <w:rFonts w:asciiTheme="majorBidi" w:hAnsiTheme="majorBidi" w:cstheme="majorBidi"/>
                <w:sz w:val="20"/>
              </w:rPr>
            </w:pPr>
            <w:r w:rsidRPr="001A3741">
              <w:rPr>
                <w:rFonts w:asciiTheme="majorBidi" w:hAnsiTheme="majorBidi" w:cstheme="majorBidi"/>
                <w:color w:val="000000"/>
                <w:sz w:val="20"/>
              </w:rPr>
              <w:t>-</w:t>
            </w:r>
          </w:p>
        </w:tc>
        <w:tc>
          <w:tcPr>
            <w:tcW w:w="1134" w:type="dxa"/>
            <w:shd w:val="clear" w:color="auto" w:fill="auto"/>
            <w:noWrap/>
            <w:vAlign w:val="bottom"/>
          </w:tcPr>
          <w:p w14:paraId="2CCEF4AD" w14:textId="7824EB43" w:rsidR="003B2B96" w:rsidRPr="00A04466" w:rsidRDefault="003B2B96" w:rsidP="00502C08">
            <w:pPr>
              <w:spacing w:before="40"/>
              <w:jc w:val="right"/>
              <w:rPr>
                <w:rFonts w:asciiTheme="majorBidi" w:hAnsiTheme="majorBidi" w:cstheme="majorBidi"/>
                <w:sz w:val="20"/>
              </w:rPr>
            </w:pPr>
            <w:r w:rsidRPr="001A3741">
              <w:rPr>
                <w:color w:val="000000"/>
                <w:sz w:val="20"/>
              </w:rPr>
              <w:t>4,005</w:t>
            </w:r>
          </w:p>
        </w:tc>
        <w:tc>
          <w:tcPr>
            <w:tcW w:w="1757" w:type="dxa"/>
            <w:shd w:val="clear" w:color="auto" w:fill="auto"/>
            <w:noWrap/>
            <w:vAlign w:val="bottom"/>
          </w:tcPr>
          <w:p w14:paraId="1A8D6A04" w14:textId="494F8D0E" w:rsidR="003B2B96" w:rsidRPr="00A04466" w:rsidRDefault="003B2B96" w:rsidP="00502C08">
            <w:pPr>
              <w:spacing w:before="40"/>
              <w:jc w:val="right"/>
              <w:rPr>
                <w:rFonts w:asciiTheme="majorBidi" w:hAnsiTheme="majorBidi" w:cstheme="majorBidi"/>
                <w:sz w:val="20"/>
              </w:rPr>
            </w:pPr>
            <w:r w:rsidRPr="001A3741">
              <w:rPr>
                <w:color w:val="000000"/>
                <w:sz w:val="20"/>
              </w:rPr>
              <w:t>4,005</w:t>
            </w:r>
          </w:p>
        </w:tc>
        <w:tc>
          <w:tcPr>
            <w:tcW w:w="1134" w:type="dxa"/>
            <w:shd w:val="clear" w:color="auto" w:fill="auto"/>
            <w:noWrap/>
            <w:vAlign w:val="bottom"/>
          </w:tcPr>
          <w:p w14:paraId="3E28D4C6" w14:textId="2338EA5E" w:rsidR="003B2B96" w:rsidRPr="00A04466" w:rsidRDefault="003B2B96" w:rsidP="00502C08">
            <w:pPr>
              <w:spacing w:before="40"/>
              <w:jc w:val="right"/>
              <w:rPr>
                <w:rFonts w:asciiTheme="majorBidi" w:hAnsiTheme="majorBidi" w:cstheme="majorBidi"/>
                <w:sz w:val="20"/>
              </w:rPr>
            </w:pPr>
            <w:r w:rsidRPr="001A3741">
              <w:rPr>
                <w:rFonts w:asciiTheme="majorBidi" w:hAnsiTheme="majorBidi" w:cstheme="majorBidi"/>
                <w:color w:val="000000"/>
                <w:sz w:val="20"/>
              </w:rPr>
              <w:t>-</w:t>
            </w:r>
          </w:p>
        </w:tc>
        <w:tc>
          <w:tcPr>
            <w:tcW w:w="1134" w:type="dxa"/>
            <w:shd w:val="clear" w:color="auto" w:fill="auto"/>
            <w:noWrap/>
            <w:vAlign w:val="bottom"/>
          </w:tcPr>
          <w:p w14:paraId="3F77880C" w14:textId="357CED5E" w:rsidR="003B2B96" w:rsidRPr="00A04466" w:rsidRDefault="003B2B96" w:rsidP="00502C08">
            <w:pPr>
              <w:spacing w:before="40"/>
              <w:jc w:val="right"/>
              <w:rPr>
                <w:rFonts w:asciiTheme="majorBidi" w:hAnsiTheme="majorBidi" w:cstheme="majorBidi"/>
                <w:sz w:val="20"/>
              </w:rPr>
            </w:pPr>
            <w:r w:rsidRPr="001A3741">
              <w:rPr>
                <w:color w:val="000000"/>
                <w:sz w:val="20"/>
              </w:rPr>
              <w:t>4,005</w:t>
            </w:r>
          </w:p>
        </w:tc>
      </w:tr>
      <w:tr w:rsidR="003B2B96" w:rsidRPr="00866299" w14:paraId="0807237A" w14:textId="77777777" w:rsidTr="006909F2">
        <w:trPr>
          <w:trHeight w:val="283"/>
        </w:trPr>
        <w:tc>
          <w:tcPr>
            <w:tcW w:w="3233" w:type="dxa"/>
            <w:shd w:val="clear" w:color="auto" w:fill="auto"/>
            <w:vAlign w:val="bottom"/>
          </w:tcPr>
          <w:p w14:paraId="5B3B610E" w14:textId="187F2A3C" w:rsidR="003B2B96" w:rsidRPr="000943DD" w:rsidRDefault="003B2B96" w:rsidP="003B2B96">
            <w:pPr>
              <w:spacing w:before="40"/>
              <w:rPr>
                <w:rFonts w:asciiTheme="majorBidi" w:hAnsiTheme="majorBidi" w:cstheme="majorBidi"/>
                <w:color w:val="000000"/>
                <w:sz w:val="20"/>
              </w:rPr>
            </w:pPr>
            <w:r w:rsidRPr="00B96BBF">
              <w:rPr>
                <w:rFonts w:asciiTheme="majorBidi" w:hAnsiTheme="majorBidi" w:cstheme="majorBidi"/>
                <w:color w:val="000000"/>
                <w:sz w:val="20"/>
              </w:rPr>
              <w:t>Realization of translation reserve from liquidation of subsidiary</w:t>
            </w:r>
          </w:p>
        </w:tc>
        <w:tc>
          <w:tcPr>
            <w:tcW w:w="1134" w:type="dxa"/>
            <w:shd w:val="clear" w:color="auto" w:fill="auto"/>
            <w:noWrap/>
            <w:vAlign w:val="bottom"/>
          </w:tcPr>
          <w:p w14:paraId="100733AD" w14:textId="004E060B" w:rsidR="003B2B96" w:rsidRPr="00A04466" w:rsidRDefault="003B2B96" w:rsidP="00502C08">
            <w:pPr>
              <w:spacing w:before="40"/>
              <w:jc w:val="right"/>
              <w:rPr>
                <w:rFonts w:asciiTheme="majorBidi" w:hAnsiTheme="majorBidi" w:cstheme="majorBidi"/>
                <w:color w:val="000000"/>
                <w:sz w:val="20"/>
              </w:rPr>
            </w:pPr>
            <w:r w:rsidRPr="001A3741">
              <w:rPr>
                <w:rFonts w:asciiTheme="majorBidi" w:hAnsiTheme="majorBidi" w:cstheme="majorBidi"/>
                <w:color w:val="000000"/>
                <w:sz w:val="20"/>
              </w:rPr>
              <w:t>-</w:t>
            </w:r>
          </w:p>
        </w:tc>
        <w:tc>
          <w:tcPr>
            <w:tcW w:w="1134" w:type="dxa"/>
            <w:shd w:val="clear" w:color="auto" w:fill="auto"/>
            <w:noWrap/>
            <w:vAlign w:val="bottom"/>
          </w:tcPr>
          <w:p w14:paraId="7F56224D" w14:textId="62671CB0" w:rsidR="003B2B96" w:rsidRPr="00A04466" w:rsidRDefault="003B2B96" w:rsidP="00502C08">
            <w:pPr>
              <w:spacing w:before="40"/>
              <w:jc w:val="right"/>
              <w:rPr>
                <w:rFonts w:asciiTheme="majorBidi" w:hAnsiTheme="majorBidi" w:cstheme="majorBidi"/>
                <w:color w:val="000000"/>
                <w:sz w:val="20"/>
              </w:rPr>
            </w:pPr>
            <w:r w:rsidRPr="001A3741">
              <w:rPr>
                <w:rFonts w:asciiTheme="majorBidi" w:hAnsiTheme="majorBidi" w:cstheme="majorBidi"/>
                <w:color w:val="000000"/>
                <w:sz w:val="20"/>
              </w:rPr>
              <w:t>-</w:t>
            </w:r>
          </w:p>
        </w:tc>
        <w:tc>
          <w:tcPr>
            <w:tcW w:w="1134" w:type="dxa"/>
            <w:shd w:val="clear" w:color="auto" w:fill="auto"/>
            <w:noWrap/>
            <w:vAlign w:val="bottom"/>
          </w:tcPr>
          <w:p w14:paraId="266ED57E" w14:textId="15D4032D" w:rsidR="003B2B96" w:rsidRPr="00A04466" w:rsidRDefault="003B2B96" w:rsidP="00502C08">
            <w:pPr>
              <w:spacing w:before="40"/>
              <w:jc w:val="right"/>
              <w:rPr>
                <w:sz w:val="20"/>
              </w:rPr>
            </w:pPr>
            <w:r w:rsidRPr="001A3741">
              <w:rPr>
                <w:color w:val="000000"/>
                <w:sz w:val="20"/>
              </w:rPr>
              <w:t>744</w:t>
            </w:r>
          </w:p>
        </w:tc>
        <w:tc>
          <w:tcPr>
            <w:tcW w:w="1303" w:type="dxa"/>
            <w:shd w:val="clear" w:color="auto" w:fill="auto"/>
            <w:noWrap/>
            <w:vAlign w:val="bottom"/>
          </w:tcPr>
          <w:p w14:paraId="0500FD72" w14:textId="3E504E8D" w:rsidR="003B2B96" w:rsidRPr="00A04466" w:rsidRDefault="003B2B96" w:rsidP="00502C08">
            <w:pPr>
              <w:spacing w:before="40"/>
              <w:jc w:val="right"/>
              <w:rPr>
                <w:rFonts w:asciiTheme="majorBidi" w:hAnsiTheme="majorBidi" w:cstheme="majorBidi"/>
                <w:color w:val="000000"/>
                <w:sz w:val="20"/>
              </w:rPr>
            </w:pPr>
            <w:r w:rsidRPr="001A3741">
              <w:rPr>
                <w:rFonts w:asciiTheme="majorBidi" w:hAnsiTheme="majorBidi" w:cstheme="majorBidi"/>
                <w:color w:val="000000"/>
                <w:sz w:val="20"/>
              </w:rPr>
              <w:t>-</w:t>
            </w:r>
          </w:p>
        </w:tc>
        <w:tc>
          <w:tcPr>
            <w:tcW w:w="1815" w:type="dxa"/>
            <w:shd w:val="clear" w:color="auto" w:fill="auto"/>
            <w:noWrap/>
            <w:vAlign w:val="bottom"/>
          </w:tcPr>
          <w:p w14:paraId="1207BA82" w14:textId="6BF8FCAD" w:rsidR="003B2B96" w:rsidRPr="00A04466" w:rsidRDefault="003B2B96" w:rsidP="00502C08">
            <w:pPr>
              <w:spacing w:before="40"/>
              <w:jc w:val="right"/>
              <w:rPr>
                <w:rFonts w:asciiTheme="majorBidi" w:hAnsiTheme="majorBidi" w:cstheme="majorBidi"/>
                <w:color w:val="000000"/>
                <w:sz w:val="20"/>
              </w:rPr>
            </w:pPr>
            <w:r w:rsidRPr="001A3741">
              <w:rPr>
                <w:rFonts w:asciiTheme="majorBidi" w:hAnsiTheme="majorBidi" w:cstheme="majorBidi"/>
                <w:color w:val="000000"/>
                <w:sz w:val="20"/>
              </w:rPr>
              <w:t>-</w:t>
            </w:r>
          </w:p>
        </w:tc>
        <w:tc>
          <w:tcPr>
            <w:tcW w:w="1134" w:type="dxa"/>
            <w:shd w:val="clear" w:color="auto" w:fill="auto"/>
            <w:noWrap/>
            <w:vAlign w:val="bottom"/>
          </w:tcPr>
          <w:p w14:paraId="4D8ADAA1" w14:textId="5A9D4878" w:rsidR="003B2B96" w:rsidRPr="00A04466" w:rsidRDefault="003B2B96" w:rsidP="00502C08">
            <w:pPr>
              <w:spacing w:before="40"/>
              <w:jc w:val="right"/>
              <w:rPr>
                <w:rFonts w:asciiTheme="majorBidi" w:hAnsiTheme="majorBidi" w:cstheme="majorBidi"/>
                <w:color w:val="000000"/>
                <w:sz w:val="20"/>
              </w:rPr>
            </w:pPr>
            <w:r w:rsidRPr="001A3741">
              <w:rPr>
                <w:rFonts w:asciiTheme="majorBidi" w:hAnsiTheme="majorBidi" w:cstheme="majorBidi"/>
                <w:color w:val="000000"/>
                <w:sz w:val="20"/>
              </w:rPr>
              <w:t>-</w:t>
            </w:r>
          </w:p>
        </w:tc>
        <w:tc>
          <w:tcPr>
            <w:tcW w:w="1757" w:type="dxa"/>
            <w:shd w:val="clear" w:color="auto" w:fill="auto"/>
            <w:noWrap/>
            <w:vAlign w:val="bottom"/>
          </w:tcPr>
          <w:p w14:paraId="62F21E50" w14:textId="0834D33A" w:rsidR="003B2B96" w:rsidRPr="00A04466" w:rsidRDefault="003B2B96" w:rsidP="00502C08">
            <w:pPr>
              <w:spacing w:before="40"/>
              <w:jc w:val="right"/>
              <w:rPr>
                <w:sz w:val="20"/>
              </w:rPr>
            </w:pPr>
            <w:r w:rsidRPr="001A3741">
              <w:rPr>
                <w:color w:val="000000"/>
                <w:sz w:val="20"/>
              </w:rPr>
              <w:t>744</w:t>
            </w:r>
          </w:p>
        </w:tc>
        <w:tc>
          <w:tcPr>
            <w:tcW w:w="1134" w:type="dxa"/>
            <w:shd w:val="clear" w:color="auto" w:fill="auto"/>
            <w:noWrap/>
            <w:vAlign w:val="bottom"/>
          </w:tcPr>
          <w:p w14:paraId="7D81DC5E" w14:textId="7EAC1842" w:rsidR="003B2B96" w:rsidRPr="00A04466" w:rsidRDefault="003B2B96" w:rsidP="00502C08">
            <w:pPr>
              <w:spacing w:before="40"/>
              <w:jc w:val="right"/>
              <w:rPr>
                <w:rFonts w:asciiTheme="majorBidi" w:hAnsiTheme="majorBidi" w:cstheme="majorBidi"/>
                <w:color w:val="000000"/>
                <w:sz w:val="20"/>
              </w:rPr>
            </w:pPr>
            <w:r w:rsidRPr="001A3741">
              <w:rPr>
                <w:rFonts w:asciiTheme="majorBidi" w:hAnsiTheme="majorBidi" w:cstheme="majorBidi"/>
                <w:color w:val="000000"/>
                <w:sz w:val="20"/>
              </w:rPr>
              <w:t>-</w:t>
            </w:r>
          </w:p>
        </w:tc>
        <w:tc>
          <w:tcPr>
            <w:tcW w:w="1134" w:type="dxa"/>
            <w:shd w:val="clear" w:color="auto" w:fill="auto"/>
            <w:noWrap/>
            <w:vAlign w:val="bottom"/>
          </w:tcPr>
          <w:p w14:paraId="79F00545" w14:textId="42FC637E" w:rsidR="003B2B96" w:rsidRPr="00A04466" w:rsidRDefault="003B2B96" w:rsidP="00502C08">
            <w:pPr>
              <w:spacing w:before="40"/>
              <w:jc w:val="right"/>
              <w:rPr>
                <w:sz w:val="20"/>
              </w:rPr>
            </w:pPr>
            <w:r w:rsidRPr="001A3741">
              <w:rPr>
                <w:color w:val="000000"/>
                <w:sz w:val="20"/>
              </w:rPr>
              <w:t>744</w:t>
            </w:r>
          </w:p>
        </w:tc>
      </w:tr>
      <w:tr w:rsidR="003B2B96" w:rsidRPr="00866299" w14:paraId="275BC9A4" w14:textId="77777777" w:rsidTr="006909F2">
        <w:trPr>
          <w:trHeight w:val="283"/>
        </w:trPr>
        <w:tc>
          <w:tcPr>
            <w:tcW w:w="3233" w:type="dxa"/>
            <w:shd w:val="clear" w:color="auto" w:fill="auto"/>
            <w:vAlign w:val="bottom"/>
          </w:tcPr>
          <w:p w14:paraId="260DA611" w14:textId="1AE3071B" w:rsidR="003B2B96" w:rsidRPr="00570E2C" w:rsidRDefault="003B2B96" w:rsidP="003B2B96">
            <w:pPr>
              <w:spacing w:before="40"/>
              <w:rPr>
                <w:rFonts w:asciiTheme="majorBidi" w:hAnsiTheme="majorBidi" w:cstheme="majorBidi"/>
                <w:sz w:val="20"/>
              </w:rPr>
            </w:pPr>
            <w:r w:rsidRPr="00866299">
              <w:rPr>
                <w:rFonts w:asciiTheme="majorBidi" w:hAnsiTheme="majorBidi" w:cstheme="majorBidi"/>
                <w:color w:val="000000"/>
                <w:sz w:val="20"/>
              </w:rPr>
              <w:t>Adjustments for translation</w:t>
            </w:r>
          </w:p>
        </w:tc>
        <w:tc>
          <w:tcPr>
            <w:tcW w:w="1134" w:type="dxa"/>
            <w:shd w:val="clear" w:color="auto" w:fill="auto"/>
            <w:noWrap/>
            <w:vAlign w:val="bottom"/>
          </w:tcPr>
          <w:p w14:paraId="74A89FC8" w14:textId="75D920C4" w:rsidR="003B2B96" w:rsidRPr="00A04466" w:rsidRDefault="003B2B96" w:rsidP="00502C08">
            <w:pPr>
              <w:spacing w:before="40"/>
              <w:jc w:val="right"/>
              <w:rPr>
                <w:rFonts w:asciiTheme="majorBidi" w:hAnsiTheme="majorBidi" w:cstheme="majorBidi"/>
                <w:sz w:val="20"/>
              </w:rPr>
            </w:pPr>
            <w:r w:rsidRPr="001A3741">
              <w:rPr>
                <w:rFonts w:asciiTheme="majorBidi" w:hAnsiTheme="majorBidi" w:cstheme="majorBidi"/>
                <w:color w:val="000000"/>
                <w:sz w:val="20"/>
              </w:rPr>
              <w:t>-</w:t>
            </w:r>
          </w:p>
        </w:tc>
        <w:tc>
          <w:tcPr>
            <w:tcW w:w="1134" w:type="dxa"/>
            <w:shd w:val="clear" w:color="auto" w:fill="auto"/>
            <w:noWrap/>
            <w:vAlign w:val="bottom"/>
          </w:tcPr>
          <w:p w14:paraId="0406B20C" w14:textId="742013B5" w:rsidR="003B2B96" w:rsidRPr="00A04466" w:rsidRDefault="003B2B96" w:rsidP="00502C08">
            <w:pPr>
              <w:spacing w:before="40"/>
              <w:jc w:val="right"/>
              <w:rPr>
                <w:rFonts w:asciiTheme="majorBidi" w:hAnsiTheme="majorBidi" w:cstheme="majorBidi"/>
                <w:sz w:val="20"/>
              </w:rPr>
            </w:pPr>
            <w:r w:rsidRPr="001A3741">
              <w:rPr>
                <w:rFonts w:asciiTheme="majorBidi" w:hAnsiTheme="majorBidi" w:cstheme="majorBidi"/>
                <w:color w:val="000000"/>
                <w:sz w:val="20"/>
              </w:rPr>
              <w:t>-</w:t>
            </w:r>
          </w:p>
        </w:tc>
        <w:tc>
          <w:tcPr>
            <w:tcW w:w="1134" w:type="dxa"/>
            <w:shd w:val="clear" w:color="auto" w:fill="auto"/>
            <w:noWrap/>
            <w:vAlign w:val="bottom"/>
          </w:tcPr>
          <w:p w14:paraId="0FE9298A" w14:textId="714D8819" w:rsidR="003B2B96" w:rsidRPr="00A04466" w:rsidRDefault="003B2B96" w:rsidP="00502C08">
            <w:pPr>
              <w:spacing w:before="40"/>
              <w:jc w:val="right"/>
              <w:rPr>
                <w:rFonts w:asciiTheme="majorBidi" w:hAnsiTheme="majorBidi" w:cstheme="majorBidi"/>
                <w:sz w:val="20"/>
              </w:rPr>
            </w:pPr>
            <w:r w:rsidRPr="001A3741">
              <w:rPr>
                <w:color w:val="000000"/>
                <w:sz w:val="20"/>
              </w:rPr>
              <w:t>151</w:t>
            </w:r>
          </w:p>
        </w:tc>
        <w:tc>
          <w:tcPr>
            <w:tcW w:w="1303" w:type="dxa"/>
            <w:shd w:val="clear" w:color="auto" w:fill="auto"/>
            <w:noWrap/>
            <w:vAlign w:val="bottom"/>
          </w:tcPr>
          <w:p w14:paraId="7EEB48EE" w14:textId="13AA3D11" w:rsidR="003B2B96" w:rsidRPr="00A04466" w:rsidRDefault="003B2B96" w:rsidP="00502C08">
            <w:pPr>
              <w:spacing w:before="40"/>
              <w:jc w:val="right"/>
              <w:rPr>
                <w:rFonts w:asciiTheme="majorBidi" w:hAnsiTheme="majorBidi" w:cstheme="majorBidi"/>
                <w:sz w:val="20"/>
              </w:rPr>
            </w:pPr>
            <w:r w:rsidRPr="001A3741">
              <w:rPr>
                <w:rFonts w:asciiTheme="majorBidi" w:hAnsiTheme="majorBidi" w:cstheme="majorBidi"/>
                <w:color w:val="000000"/>
                <w:sz w:val="20"/>
              </w:rPr>
              <w:t>-</w:t>
            </w:r>
          </w:p>
        </w:tc>
        <w:tc>
          <w:tcPr>
            <w:tcW w:w="1815" w:type="dxa"/>
            <w:shd w:val="clear" w:color="auto" w:fill="auto"/>
            <w:noWrap/>
            <w:vAlign w:val="bottom"/>
          </w:tcPr>
          <w:p w14:paraId="2359BC56" w14:textId="55AE40FC" w:rsidR="003B2B96" w:rsidRPr="00A04466" w:rsidRDefault="003B2B96" w:rsidP="00502C08">
            <w:pPr>
              <w:spacing w:before="40"/>
              <w:jc w:val="right"/>
              <w:rPr>
                <w:rFonts w:asciiTheme="majorBidi" w:hAnsiTheme="majorBidi" w:cstheme="majorBidi"/>
                <w:sz w:val="20"/>
              </w:rPr>
            </w:pPr>
            <w:r w:rsidRPr="001A3741">
              <w:rPr>
                <w:rFonts w:asciiTheme="majorBidi" w:hAnsiTheme="majorBidi" w:cstheme="majorBidi"/>
                <w:color w:val="000000"/>
                <w:sz w:val="20"/>
              </w:rPr>
              <w:t>-</w:t>
            </w:r>
          </w:p>
        </w:tc>
        <w:tc>
          <w:tcPr>
            <w:tcW w:w="1134" w:type="dxa"/>
            <w:shd w:val="clear" w:color="auto" w:fill="auto"/>
            <w:noWrap/>
            <w:vAlign w:val="bottom"/>
          </w:tcPr>
          <w:p w14:paraId="449AFC0B" w14:textId="2DE22DD9" w:rsidR="003B2B96" w:rsidRPr="00A04466" w:rsidRDefault="003B2B96" w:rsidP="00502C08">
            <w:pPr>
              <w:spacing w:before="40"/>
              <w:jc w:val="right"/>
              <w:rPr>
                <w:rFonts w:asciiTheme="majorBidi" w:hAnsiTheme="majorBidi" w:cstheme="majorBidi"/>
                <w:sz w:val="20"/>
              </w:rPr>
            </w:pPr>
            <w:r w:rsidRPr="001A3741">
              <w:rPr>
                <w:rFonts w:asciiTheme="majorBidi" w:hAnsiTheme="majorBidi" w:cstheme="majorBidi"/>
                <w:color w:val="000000"/>
                <w:sz w:val="20"/>
              </w:rPr>
              <w:t>-</w:t>
            </w:r>
          </w:p>
        </w:tc>
        <w:tc>
          <w:tcPr>
            <w:tcW w:w="1757" w:type="dxa"/>
            <w:shd w:val="clear" w:color="auto" w:fill="auto"/>
            <w:noWrap/>
            <w:vAlign w:val="bottom"/>
          </w:tcPr>
          <w:p w14:paraId="08C412CF" w14:textId="4BEB2D14" w:rsidR="003B2B96" w:rsidRPr="00A04466" w:rsidRDefault="003B2B96" w:rsidP="00502C08">
            <w:pPr>
              <w:spacing w:before="40"/>
              <w:jc w:val="right"/>
              <w:rPr>
                <w:rFonts w:asciiTheme="majorBidi" w:hAnsiTheme="majorBidi" w:cstheme="majorBidi"/>
                <w:sz w:val="20"/>
              </w:rPr>
            </w:pPr>
            <w:r w:rsidRPr="001A3741">
              <w:rPr>
                <w:color w:val="000000"/>
                <w:sz w:val="20"/>
              </w:rPr>
              <w:t>151</w:t>
            </w:r>
          </w:p>
        </w:tc>
        <w:tc>
          <w:tcPr>
            <w:tcW w:w="1134" w:type="dxa"/>
            <w:shd w:val="clear" w:color="auto" w:fill="auto"/>
            <w:noWrap/>
            <w:vAlign w:val="bottom"/>
          </w:tcPr>
          <w:p w14:paraId="65123663" w14:textId="188EEB7E" w:rsidR="003B2B96" w:rsidRPr="00A04466" w:rsidRDefault="003B2B96" w:rsidP="00502C08">
            <w:pPr>
              <w:spacing w:before="40"/>
              <w:jc w:val="right"/>
              <w:rPr>
                <w:rFonts w:asciiTheme="majorBidi" w:hAnsiTheme="majorBidi" w:cstheme="majorBidi"/>
                <w:sz w:val="20"/>
              </w:rPr>
            </w:pPr>
            <w:r w:rsidRPr="001A3741">
              <w:rPr>
                <w:rFonts w:asciiTheme="majorBidi" w:hAnsiTheme="majorBidi" w:cstheme="majorBidi"/>
                <w:color w:val="000000"/>
                <w:sz w:val="20"/>
              </w:rPr>
              <w:t>-</w:t>
            </w:r>
          </w:p>
        </w:tc>
        <w:tc>
          <w:tcPr>
            <w:tcW w:w="1134" w:type="dxa"/>
            <w:shd w:val="clear" w:color="auto" w:fill="auto"/>
            <w:noWrap/>
            <w:vAlign w:val="bottom"/>
          </w:tcPr>
          <w:p w14:paraId="06BD4DBC" w14:textId="483797D7" w:rsidR="003B2B96" w:rsidRPr="00A04466" w:rsidRDefault="003B2B96" w:rsidP="00502C08">
            <w:pPr>
              <w:spacing w:before="40"/>
              <w:jc w:val="right"/>
              <w:rPr>
                <w:rFonts w:asciiTheme="majorBidi" w:hAnsiTheme="majorBidi" w:cstheme="majorBidi"/>
                <w:sz w:val="20"/>
              </w:rPr>
            </w:pPr>
            <w:r w:rsidRPr="001A3741">
              <w:rPr>
                <w:color w:val="000000"/>
                <w:sz w:val="20"/>
              </w:rPr>
              <w:t>151</w:t>
            </w:r>
          </w:p>
        </w:tc>
      </w:tr>
      <w:tr w:rsidR="003B2B96" w:rsidRPr="00866299" w14:paraId="20BB704A" w14:textId="77777777" w:rsidTr="006909F2">
        <w:trPr>
          <w:trHeight w:val="283"/>
        </w:trPr>
        <w:tc>
          <w:tcPr>
            <w:tcW w:w="3233" w:type="dxa"/>
            <w:shd w:val="clear" w:color="auto" w:fill="auto"/>
          </w:tcPr>
          <w:p w14:paraId="07534FBB" w14:textId="75FBEA34" w:rsidR="003B2B96" w:rsidRPr="00570E2C" w:rsidRDefault="003B2B96" w:rsidP="003B2B96">
            <w:pPr>
              <w:spacing w:before="40"/>
              <w:rPr>
                <w:rFonts w:asciiTheme="majorBidi" w:hAnsiTheme="majorBidi" w:cstheme="majorBidi"/>
                <w:sz w:val="20"/>
              </w:rPr>
            </w:pPr>
            <w:r w:rsidRPr="005862F2">
              <w:rPr>
                <w:rFonts w:asciiTheme="majorBidi" w:hAnsiTheme="majorBidi" w:cstheme="majorBidi"/>
                <w:color w:val="000000"/>
                <w:sz w:val="20"/>
              </w:rPr>
              <w:t>Reserve from hedge accounting</w:t>
            </w:r>
          </w:p>
        </w:tc>
        <w:tc>
          <w:tcPr>
            <w:tcW w:w="1134" w:type="dxa"/>
            <w:shd w:val="clear" w:color="auto" w:fill="auto"/>
            <w:noWrap/>
            <w:vAlign w:val="bottom"/>
          </w:tcPr>
          <w:p w14:paraId="2226606C" w14:textId="14F711E7" w:rsidR="003B2B96" w:rsidRPr="00A04466" w:rsidRDefault="003B2B96" w:rsidP="00502C08">
            <w:pPr>
              <w:pBdr>
                <w:bottom w:val="single" w:sz="4" w:space="1" w:color="FFFFFF" w:themeColor="background1"/>
              </w:pBdr>
              <w:spacing w:before="40"/>
              <w:jc w:val="right"/>
              <w:rPr>
                <w:rFonts w:asciiTheme="majorBidi" w:hAnsiTheme="majorBidi" w:cstheme="majorBidi"/>
                <w:sz w:val="20"/>
              </w:rPr>
            </w:pPr>
            <w:r w:rsidRPr="001A3741">
              <w:rPr>
                <w:rFonts w:asciiTheme="majorBidi" w:hAnsiTheme="majorBidi" w:cstheme="majorBidi"/>
                <w:color w:val="000000"/>
                <w:sz w:val="20"/>
              </w:rPr>
              <w:t>-</w:t>
            </w:r>
          </w:p>
        </w:tc>
        <w:tc>
          <w:tcPr>
            <w:tcW w:w="1134" w:type="dxa"/>
            <w:shd w:val="clear" w:color="auto" w:fill="auto"/>
            <w:noWrap/>
            <w:vAlign w:val="bottom"/>
          </w:tcPr>
          <w:p w14:paraId="354DDE82" w14:textId="11B5AE02" w:rsidR="003B2B96" w:rsidRPr="00A04466" w:rsidRDefault="003B2B96" w:rsidP="00502C08">
            <w:pPr>
              <w:pBdr>
                <w:bottom w:val="single" w:sz="4" w:space="1" w:color="FFFFFF" w:themeColor="background1"/>
              </w:pBdr>
              <w:spacing w:before="40"/>
              <w:jc w:val="right"/>
              <w:rPr>
                <w:rFonts w:asciiTheme="majorBidi" w:hAnsiTheme="majorBidi" w:cstheme="majorBidi"/>
                <w:sz w:val="20"/>
              </w:rPr>
            </w:pPr>
            <w:r w:rsidRPr="001A3741">
              <w:rPr>
                <w:rFonts w:asciiTheme="majorBidi" w:hAnsiTheme="majorBidi" w:cstheme="majorBidi"/>
                <w:color w:val="000000"/>
                <w:sz w:val="20"/>
              </w:rPr>
              <w:t>-</w:t>
            </w:r>
          </w:p>
        </w:tc>
        <w:tc>
          <w:tcPr>
            <w:tcW w:w="1134" w:type="dxa"/>
            <w:shd w:val="clear" w:color="auto" w:fill="auto"/>
            <w:noWrap/>
            <w:vAlign w:val="bottom"/>
          </w:tcPr>
          <w:p w14:paraId="075E01D0" w14:textId="38BB111F" w:rsidR="003B2B96" w:rsidRPr="00A04466" w:rsidRDefault="003B2B96" w:rsidP="00502C08">
            <w:pPr>
              <w:pBdr>
                <w:bottom w:val="single" w:sz="4" w:space="1" w:color="FFFFFF" w:themeColor="background1"/>
              </w:pBdr>
              <w:spacing w:before="40"/>
              <w:jc w:val="right"/>
              <w:rPr>
                <w:rFonts w:asciiTheme="majorBidi" w:hAnsiTheme="majorBidi" w:cstheme="majorBidi"/>
                <w:sz w:val="20"/>
              </w:rPr>
            </w:pPr>
            <w:r w:rsidRPr="001A3741">
              <w:rPr>
                <w:rFonts w:asciiTheme="majorBidi" w:hAnsiTheme="majorBidi" w:cstheme="majorBidi"/>
                <w:color w:val="000000"/>
                <w:sz w:val="20"/>
              </w:rPr>
              <w:t>-</w:t>
            </w:r>
          </w:p>
        </w:tc>
        <w:tc>
          <w:tcPr>
            <w:tcW w:w="1303" w:type="dxa"/>
            <w:shd w:val="clear" w:color="auto" w:fill="auto"/>
            <w:noWrap/>
            <w:vAlign w:val="bottom"/>
          </w:tcPr>
          <w:p w14:paraId="3C784135" w14:textId="5F8AE06B" w:rsidR="003B2B96" w:rsidRPr="00A04466" w:rsidRDefault="003B2B96" w:rsidP="00502C08">
            <w:pPr>
              <w:pBdr>
                <w:bottom w:val="single" w:sz="4" w:space="1" w:color="FFFFFF" w:themeColor="background1"/>
              </w:pBdr>
              <w:spacing w:before="40"/>
              <w:jc w:val="right"/>
              <w:rPr>
                <w:rFonts w:asciiTheme="majorBidi" w:hAnsiTheme="majorBidi" w:cstheme="majorBidi"/>
                <w:sz w:val="20"/>
              </w:rPr>
            </w:pPr>
            <w:r w:rsidRPr="001A3741">
              <w:rPr>
                <w:color w:val="000000"/>
                <w:sz w:val="20"/>
              </w:rPr>
              <w:t>28,804</w:t>
            </w:r>
          </w:p>
        </w:tc>
        <w:tc>
          <w:tcPr>
            <w:tcW w:w="1815" w:type="dxa"/>
            <w:shd w:val="clear" w:color="auto" w:fill="auto"/>
            <w:noWrap/>
            <w:vAlign w:val="bottom"/>
          </w:tcPr>
          <w:p w14:paraId="6C6A7461" w14:textId="6D9B63BF" w:rsidR="003B2B96" w:rsidRPr="00A04466" w:rsidRDefault="003B2B96" w:rsidP="00502C08">
            <w:pPr>
              <w:pBdr>
                <w:bottom w:val="single" w:sz="4" w:space="1" w:color="FFFFFF" w:themeColor="background1"/>
              </w:pBdr>
              <w:spacing w:before="40"/>
              <w:jc w:val="right"/>
              <w:rPr>
                <w:rFonts w:asciiTheme="majorBidi" w:hAnsiTheme="majorBidi" w:cstheme="majorBidi"/>
                <w:sz w:val="20"/>
              </w:rPr>
            </w:pPr>
            <w:r w:rsidRPr="001A3741">
              <w:rPr>
                <w:rFonts w:asciiTheme="majorBidi" w:hAnsiTheme="majorBidi" w:cstheme="majorBidi"/>
                <w:color w:val="000000"/>
                <w:sz w:val="20"/>
              </w:rPr>
              <w:t>-</w:t>
            </w:r>
          </w:p>
        </w:tc>
        <w:tc>
          <w:tcPr>
            <w:tcW w:w="1134" w:type="dxa"/>
            <w:shd w:val="clear" w:color="auto" w:fill="auto"/>
            <w:noWrap/>
            <w:vAlign w:val="bottom"/>
          </w:tcPr>
          <w:p w14:paraId="4AFF9D2E" w14:textId="49840128" w:rsidR="003B2B96" w:rsidRPr="00A04466" w:rsidRDefault="003B2B96" w:rsidP="00502C08">
            <w:pPr>
              <w:pBdr>
                <w:bottom w:val="single" w:sz="4" w:space="1" w:color="FFFFFF" w:themeColor="background1"/>
              </w:pBdr>
              <w:spacing w:before="40"/>
              <w:jc w:val="right"/>
              <w:rPr>
                <w:rFonts w:asciiTheme="majorBidi" w:hAnsiTheme="majorBidi" w:cstheme="majorBidi"/>
                <w:sz w:val="20"/>
              </w:rPr>
            </w:pPr>
            <w:r w:rsidRPr="001A3741">
              <w:rPr>
                <w:rFonts w:asciiTheme="majorBidi" w:hAnsiTheme="majorBidi" w:cstheme="majorBidi"/>
                <w:color w:val="000000"/>
                <w:sz w:val="20"/>
              </w:rPr>
              <w:t>-</w:t>
            </w:r>
          </w:p>
        </w:tc>
        <w:tc>
          <w:tcPr>
            <w:tcW w:w="1757" w:type="dxa"/>
            <w:shd w:val="clear" w:color="auto" w:fill="auto"/>
            <w:noWrap/>
            <w:vAlign w:val="bottom"/>
          </w:tcPr>
          <w:p w14:paraId="4B3DD5F0" w14:textId="28F2545C" w:rsidR="003B2B96" w:rsidRPr="00A04466" w:rsidRDefault="003B2B96" w:rsidP="00502C08">
            <w:pPr>
              <w:pBdr>
                <w:bottom w:val="single" w:sz="4" w:space="1" w:color="FFFFFF" w:themeColor="background1"/>
              </w:pBdr>
              <w:spacing w:before="40"/>
              <w:jc w:val="right"/>
              <w:rPr>
                <w:rFonts w:asciiTheme="majorBidi" w:hAnsiTheme="majorBidi" w:cstheme="majorBidi"/>
                <w:sz w:val="20"/>
              </w:rPr>
            </w:pPr>
            <w:r w:rsidRPr="001A3741">
              <w:rPr>
                <w:color w:val="000000"/>
                <w:sz w:val="20"/>
              </w:rPr>
              <w:t>28,804</w:t>
            </w:r>
          </w:p>
        </w:tc>
        <w:tc>
          <w:tcPr>
            <w:tcW w:w="1134" w:type="dxa"/>
            <w:shd w:val="clear" w:color="auto" w:fill="auto"/>
            <w:noWrap/>
            <w:vAlign w:val="bottom"/>
          </w:tcPr>
          <w:p w14:paraId="1E452511" w14:textId="1E21F659" w:rsidR="003B2B96" w:rsidRPr="00A04466" w:rsidRDefault="003B2B96" w:rsidP="00502C08">
            <w:pPr>
              <w:pBdr>
                <w:bottom w:val="single" w:sz="4" w:space="1" w:color="FFFFFF" w:themeColor="background1"/>
              </w:pBdr>
              <w:spacing w:before="40"/>
              <w:jc w:val="right"/>
              <w:rPr>
                <w:rFonts w:asciiTheme="majorBidi" w:hAnsiTheme="majorBidi" w:cstheme="majorBidi"/>
                <w:sz w:val="20"/>
              </w:rPr>
            </w:pPr>
            <w:r w:rsidRPr="001A3741">
              <w:rPr>
                <w:color w:val="000000"/>
                <w:sz w:val="20"/>
              </w:rPr>
              <w:t>-</w:t>
            </w:r>
          </w:p>
        </w:tc>
        <w:tc>
          <w:tcPr>
            <w:tcW w:w="1134" w:type="dxa"/>
            <w:shd w:val="clear" w:color="auto" w:fill="auto"/>
            <w:noWrap/>
            <w:vAlign w:val="bottom"/>
          </w:tcPr>
          <w:p w14:paraId="5DABBE96" w14:textId="17FFADB3" w:rsidR="003B2B96" w:rsidRPr="00A04466" w:rsidRDefault="003B2B96" w:rsidP="00502C08">
            <w:pPr>
              <w:pBdr>
                <w:bottom w:val="single" w:sz="4" w:space="1" w:color="FFFFFF" w:themeColor="background1"/>
              </w:pBdr>
              <w:spacing w:before="40"/>
              <w:jc w:val="right"/>
              <w:rPr>
                <w:rFonts w:asciiTheme="majorBidi" w:hAnsiTheme="majorBidi" w:cstheme="majorBidi"/>
                <w:sz w:val="20"/>
              </w:rPr>
            </w:pPr>
            <w:r w:rsidRPr="001A3741">
              <w:rPr>
                <w:color w:val="000000"/>
                <w:sz w:val="20"/>
              </w:rPr>
              <w:t>28,804</w:t>
            </w:r>
          </w:p>
        </w:tc>
      </w:tr>
      <w:tr w:rsidR="003B2B96" w:rsidRPr="00866299" w14:paraId="634F3298" w14:textId="77777777" w:rsidTr="006909F2">
        <w:trPr>
          <w:trHeight w:val="283"/>
        </w:trPr>
        <w:tc>
          <w:tcPr>
            <w:tcW w:w="3233" w:type="dxa"/>
            <w:shd w:val="clear" w:color="auto" w:fill="auto"/>
            <w:vAlign w:val="bottom"/>
          </w:tcPr>
          <w:p w14:paraId="51CF7AA8" w14:textId="484E8CA9" w:rsidR="003B2B96" w:rsidRPr="004009DD" w:rsidRDefault="003B2B96" w:rsidP="003B2B96">
            <w:pPr>
              <w:spacing w:before="40"/>
              <w:rPr>
                <w:rFonts w:asciiTheme="majorBidi" w:hAnsiTheme="majorBidi" w:cstheme="majorBidi"/>
                <w:color w:val="000000"/>
                <w:sz w:val="20"/>
              </w:rPr>
            </w:pPr>
            <w:r>
              <w:rPr>
                <w:rFonts w:asciiTheme="majorBidi" w:hAnsiTheme="majorBidi" w:cstheme="majorBidi"/>
                <w:color w:val="000000"/>
                <w:sz w:val="20"/>
              </w:rPr>
              <w:t>Dividend to non-controlling interests</w:t>
            </w:r>
          </w:p>
        </w:tc>
        <w:tc>
          <w:tcPr>
            <w:tcW w:w="1134" w:type="dxa"/>
            <w:shd w:val="clear" w:color="auto" w:fill="auto"/>
            <w:noWrap/>
            <w:vAlign w:val="bottom"/>
          </w:tcPr>
          <w:p w14:paraId="1FA16C94" w14:textId="052ADA47" w:rsidR="003B2B96" w:rsidRPr="00A04466" w:rsidRDefault="003B2B96" w:rsidP="00502C08">
            <w:pPr>
              <w:pBdr>
                <w:bottom w:val="single" w:sz="4" w:space="0" w:color="000000"/>
              </w:pBdr>
              <w:spacing w:before="40"/>
              <w:jc w:val="right"/>
              <w:rPr>
                <w:rFonts w:asciiTheme="majorBidi" w:hAnsiTheme="majorBidi" w:cstheme="majorBidi"/>
                <w:color w:val="000000"/>
                <w:sz w:val="20"/>
              </w:rPr>
            </w:pPr>
            <w:r w:rsidRPr="001A3741">
              <w:rPr>
                <w:rFonts w:asciiTheme="majorBidi" w:hAnsiTheme="majorBidi" w:cstheme="majorBidi"/>
                <w:color w:val="000000"/>
                <w:sz w:val="20"/>
              </w:rPr>
              <w:t>-</w:t>
            </w:r>
          </w:p>
        </w:tc>
        <w:tc>
          <w:tcPr>
            <w:tcW w:w="1134" w:type="dxa"/>
            <w:shd w:val="clear" w:color="auto" w:fill="auto"/>
            <w:noWrap/>
            <w:vAlign w:val="bottom"/>
          </w:tcPr>
          <w:p w14:paraId="0ECF32AD" w14:textId="42DED90C" w:rsidR="003B2B96" w:rsidRPr="00A04466" w:rsidRDefault="003B2B96" w:rsidP="00502C08">
            <w:pPr>
              <w:pBdr>
                <w:bottom w:val="single" w:sz="4" w:space="0" w:color="000000"/>
              </w:pBdr>
              <w:spacing w:before="40"/>
              <w:jc w:val="right"/>
              <w:rPr>
                <w:rFonts w:asciiTheme="majorBidi" w:hAnsiTheme="majorBidi" w:cstheme="majorBidi"/>
                <w:color w:val="000000"/>
                <w:sz w:val="20"/>
              </w:rPr>
            </w:pPr>
            <w:r w:rsidRPr="001A3741">
              <w:rPr>
                <w:rFonts w:asciiTheme="majorBidi" w:hAnsiTheme="majorBidi" w:cstheme="majorBidi"/>
                <w:color w:val="000000"/>
                <w:sz w:val="20"/>
              </w:rPr>
              <w:t>-</w:t>
            </w:r>
          </w:p>
        </w:tc>
        <w:tc>
          <w:tcPr>
            <w:tcW w:w="1134" w:type="dxa"/>
            <w:shd w:val="clear" w:color="auto" w:fill="auto"/>
            <w:noWrap/>
            <w:vAlign w:val="bottom"/>
          </w:tcPr>
          <w:p w14:paraId="3DD7C035" w14:textId="0912F265" w:rsidR="003B2B96" w:rsidRPr="00A04466" w:rsidRDefault="003B2B96" w:rsidP="00502C08">
            <w:pPr>
              <w:pBdr>
                <w:bottom w:val="single" w:sz="4" w:space="0" w:color="000000"/>
              </w:pBdr>
              <w:spacing w:before="40"/>
              <w:jc w:val="right"/>
              <w:rPr>
                <w:rFonts w:asciiTheme="majorBidi" w:hAnsiTheme="majorBidi" w:cstheme="majorBidi"/>
                <w:color w:val="000000"/>
                <w:sz w:val="20"/>
              </w:rPr>
            </w:pPr>
            <w:r w:rsidRPr="001A3741">
              <w:rPr>
                <w:rFonts w:asciiTheme="majorBidi" w:hAnsiTheme="majorBidi" w:cstheme="majorBidi"/>
                <w:color w:val="000000"/>
                <w:sz w:val="20"/>
              </w:rPr>
              <w:t>-</w:t>
            </w:r>
          </w:p>
        </w:tc>
        <w:tc>
          <w:tcPr>
            <w:tcW w:w="1303" w:type="dxa"/>
            <w:shd w:val="clear" w:color="auto" w:fill="auto"/>
            <w:noWrap/>
            <w:vAlign w:val="bottom"/>
          </w:tcPr>
          <w:p w14:paraId="18F59549" w14:textId="402D86EA" w:rsidR="003B2B96" w:rsidRPr="00A04466" w:rsidRDefault="003B2B96" w:rsidP="00502C08">
            <w:pPr>
              <w:pBdr>
                <w:bottom w:val="single" w:sz="4" w:space="0" w:color="000000"/>
              </w:pBdr>
              <w:spacing w:before="40"/>
              <w:jc w:val="right"/>
              <w:rPr>
                <w:rFonts w:asciiTheme="majorBidi" w:hAnsiTheme="majorBidi" w:cstheme="majorBidi"/>
                <w:color w:val="000000"/>
                <w:sz w:val="20"/>
              </w:rPr>
            </w:pPr>
            <w:r w:rsidRPr="001A3741">
              <w:rPr>
                <w:rFonts w:asciiTheme="majorBidi" w:hAnsiTheme="majorBidi" w:cstheme="majorBidi"/>
                <w:color w:val="000000"/>
                <w:sz w:val="20"/>
              </w:rPr>
              <w:t>-</w:t>
            </w:r>
          </w:p>
        </w:tc>
        <w:tc>
          <w:tcPr>
            <w:tcW w:w="1815" w:type="dxa"/>
            <w:shd w:val="clear" w:color="auto" w:fill="auto"/>
            <w:noWrap/>
            <w:vAlign w:val="bottom"/>
          </w:tcPr>
          <w:p w14:paraId="206CD7CE" w14:textId="11F7CEC4" w:rsidR="003B2B96" w:rsidRPr="00A04466" w:rsidRDefault="003B2B96" w:rsidP="00502C08">
            <w:pPr>
              <w:pBdr>
                <w:bottom w:val="single" w:sz="4" w:space="0" w:color="000000"/>
              </w:pBdr>
              <w:spacing w:before="40"/>
              <w:jc w:val="right"/>
              <w:rPr>
                <w:rFonts w:asciiTheme="majorBidi" w:hAnsiTheme="majorBidi" w:cstheme="majorBidi"/>
                <w:color w:val="000000"/>
                <w:sz w:val="20"/>
              </w:rPr>
            </w:pPr>
            <w:r w:rsidRPr="001A3741">
              <w:rPr>
                <w:rFonts w:asciiTheme="majorBidi" w:hAnsiTheme="majorBidi" w:cstheme="majorBidi"/>
                <w:color w:val="000000"/>
                <w:sz w:val="20"/>
              </w:rPr>
              <w:t>-</w:t>
            </w:r>
          </w:p>
        </w:tc>
        <w:tc>
          <w:tcPr>
            <w:tcW w:w="1134" w:type="dxa"/>
            <w:shd w:val="clear" w:color="auto" w:fill="auto"/>
            <w:noWrap/>
            <w:vAlign w:val="bottom"/>
          </w:tcPr>
          <w:p w14:paraId="0A9FBBDA" w14:textId="79ED1F6E" w:rsidR="003B2B96" w:rsidRPr="00A04466" w:rsidRDefault="003B2B96" w:rsidP="00502C08">
            <w:pPr>
              <w:pBdr>
                <w:bottom w:val="single" w:sz="4" w:space="0" w:color="000000"/>
              </w:pBdr>
              <w:spacing w:before="40"/>
              <w:jc w:val="right"/>
              <w:rPr>
                <w:rFonts w:asciiTheme="majorBidi" w:hAnsiTheme="majorBidi" w:cstheme="majorBidi"/>
                <w:color w:val="000000"/>
                <w:sz w:val="20"/>
              </w:rPr>
            </w:pPr>
            <w:r w:rsidRPr="001A3741">
              <w:rPr>
                <w:rFonts w:asciiTheme="majorBidi" w:hAnsiTheme="majorBidi" w:cstheme="majorBidi"/>
                <w:color w:val="000000"/>
                <w:sz w:val="20"/>
              </w:rPr>
              <w:t>-</w:t>
            </w:r>
          </w:p>
        </w:tc>
        <w:tc>
          <w:tcPr>
            <w:tcW w:w="1757" w:type="dxa"/>
            <w:shd w:val="clear" w:color="auto" w:fill="auto"/>
            <w:noWrap/>
            <w:vAlign w:val="bottom"/>
          </w:tcPr>
          <w:p w14:paraId="2CF64EA6" w14:textId="40334C29" w:rsidR="003B2B96" w:rsidRPr="00A04466" w:rsidRDefault="003B2B96" w:rsidP="00502C08">
            <w:pPr>
              <w:pBdr>
                <w:bottom w:val="single" w:sz="4" w:space="0" w:color="000000"/>
              </w:pBdr>
              <w:spacing w:before="40"/>
              <w:jc w:val="right"/>
              <w:rPr>
                <w:sz w:val="20"/>
                <w:szCs w:val="16"/>
              </w:rPr>
            </w:pPr>
            <w:r w:rsidRPr="001A3741">
              <w:rPr>
                <w:color w:val="000000"/>
                <w:sz w:val="20"/>
              </w:rPr>
              <w:t>-</w:t>
            </w:r>
          </w:p>
        </w:tc>
        <w:tc>
          <w:tcPr>
            <w:tcW w:w="1134" w:type="dxa"/>
            <w:shd w:val="clear" w:color="auto" w:fill="auto"/>
            <w:noWrap/>
            <w:vAlign w:val="bottom"/>
          </w:tcPr>
          <w:p w14:paraId="0033EF7B" w14:textId="3FAFBE40" w:rsidR="003B2B96" w:rsidRPr="00A04466" w:rsidRDefault="003B2B96" w:rsidP="00502C08">
            <w:pPr>
              <w:pBdr>
                <w:bottom w:val="single" w:sz="4" w:space="0" w:color="000000"/>
              </w:pBdr>
              <w:spacing w:before="40"/>
              <w:jc w:val="right"/>
              <w:rPr>
                <w:rFonts w:asciiTheme="majorBidi" w:hAnsiTheme="majorBidi" w:cstheme="majorBidi"/>
                <w:color w:val="000000"/>
                <w:sz w:val="20"/>
              </w:rPr>
            </w:pPr>
            <w:r w:rsidRPr="001A3741">
              <w:rPr>
                <w:color w:val="000000"/>
                <w:sz w:val="20"/>
              </w:rPr>
              <w:t>(182)</w:t>
            </w:r>
          </w:p>
        </w:tc>
        <w:tc>
          <w:tcPr>
            <w:tcW w:w="1134" w:type="dxa"/>
            <w:shd w:val="clear" w:color="auto" w:fill="auto"/>
            <w:noWrap/>
            <w:vAlign w:val="bottom"/>
          </w:tcPr>
          <w:p w14:paraId="6376E57F" w14:textId="4ACF0D0D" w:rsidR="003B2B96" w:rsidRPr="00A04466" w:rsidRDefault="003B2B96" w:rsidP="00502C08">
            <w:pPr>
              <w:pBdr>
                <w:bottom w:val="single" w:sz="4" w:space="0" w:color="000000"/>
              </w:pBdr>
              <w:spacing w:before="40"/>
              <w:jc w:val="right"/>
              <w:rPr>
                <w:sz w:val="20"/>
                <w:szCs w:val="16"/>
              </w:rPr>
            </w:pPr>
            <w:r w:rsidRPr="001A3741">
              <w:rPr>
                <w:color w:val="000000"/>
                <w:sz w:val="20"/>
              </w:rPr>
              <w:t>(182)</w:t>
            </w:r>
          </w:p>
        </w:tc>
      </w:tr>
      <w:tr w:rsidR="003B2B96" w:rsidRPr="00274474" w14:paraId="059F8622" w14:textId="77777777" w:rsidTr="006909F2">
        <w:trPr>
          <w:trHeight w:val="283"/>
        </w:trPr>
        <w:tc>
          <w:tcPr>
            <w:tcW w:w="3233" w:type="dxa"/>
            <w:shd w:val="clear" w:color="auto" w:fill="auto"/>
            <w:vAlign w:val="bottom"/>
          </w:tcPr>
          <w:p w14:paraId="7054EA4D" w14:textId="7B630381" w:rsidR="003B2B96" w:rsidRPr="00570E2C" w:rsidRDefault="003B2B96" w:rsidP="003B2B96">
            <w:pPr>
              <w:spacing w:before="40"/>
              <w:rPr>
                <w:rFonts w:asciiTheme="majorBidi" w:hAnsiTheme="majorBidi" w:cstheme="majorBidi"/>
                <w:sz w:val="20"/>
                <w:lang w:bidi="he-IL"/>
              </w:rPr>
            </w:pPr>
            <w:r w:rsidRPr="00866299">
              <w:rPr>
                <w:rFonts w:asciiTheme="majorBidi" w:hAnsiTheme="majorBidi" w:cstheme="majorBidi"/>
                <w:color w:val="000000"/>
                <w:sz w:val="20"/>
              </w:rPr>
              <w:t xml:space="preserve">Balance </w:t>
            </w:r>
            <w:proofErr w:type="gramStart"/>
            <w:r w:rsidRPr="00866299">
              <w:rPr>
                <w:rFonts w:asciiTheme="majorBidi" w:hAnsiTheme="majorBidi" w:cstheme="majorBidi"/>
                <w:color w:val="000000"/>
                <w:sz w:val="20"/>
              </w:rPr>
              <w:t>at</w:t>
            </w:r>
            <w:proofErr w:type="gramEnd"/>
            <w:r w:rsidRPr="00866299">
              <w:rPr>
                <w:rFonts w:asciiTheme="majorBidi" w:hAnsiTheme="majorBidi" w:cstheme="majorBidi"/>
                <w:color w:val="000000"/>
                <w:sz w:val="20"/>
              </w:rPr>
              <w:t xml:space="preserve"> December 31, </w:t>
            </w:r>
            <w:r>
              <w:rPr>
                <w:rFonts w:asciiTheme="majorBidi" w:hAnsiTheme="majorBidi" w:cstheme="majorBidi"/>
                <w:color w:val="000000"/>
                <w:sz w:val="20"/>
              </w:rPr>
              <w:t>202</w:t>
            </w:r>
            <w:r>
              <w:rPr>
                <w:rFonts w:asciiTheme="majorBidi" w:hAnsiTheme="majorBidi" w:cstheme="majorBidi"/>
                <w:sz w:val="20"/>
                <w:lang w:bidi="he-IL"/>
              </w:rPr>
              <w:t xml:space="preserve">2 </w:t>
            </w:r>
          </w:p>
        </w:tc>
        <w:tc>
          <w:tcPr>
            <w:tcW w:w="1134" w:type="dxa"/>
            <w:shd w:val="clear" w:color="auto" w:fill="auto"/>
            <w:noWrap/>
            <w:vAlign w:val="bottom"/>
          </w:tcPr>
          <w:p w14:paraId="04AD7A32" w14:textId="6E48133B" w:rsidR="003B2B96" w:rsidRPr="00A04466" w:rsidRDefault="003B2B96" w:rsidP="00502C08">
            <w:pPr>
              <w:pBdr>
                <w:bottom w:val="double" w:sz="4" w:space="0" w:color="000000"/>
              </w:pBdr>
              <w:spacing w:before="40"/>
              <w:jc w:val="right"/>
              <w:rPr>
                <w:rFonts w:asciiTheme="majorBidi" w:hAnsiTheme="majorBidi" w:cstheme="majorBidi"/>
                <w:sz w:val="20"/>
              </w:rPr>
            </w:pPr>
            <w:r w:rsidRPr="001A3741">
              <w:rPr>
                <w:color w:val="000000"/>
                <w:sz w:val="20"/>
              </w:rPr>
              <w:t>930</w:t>
            </w:r>
          </w:p>
        </w:tc>
        <w:tc>
          <w:tcPr>
            <w:tcW w:w="1134" w:type="dxa"/>
            <w:shd w:val="clear" w:color="auto" w:fill="auto"/>
            <w:noWrap/>
            <w:vAlign w:val="bottom"/>
          </w:tcPr>
          <w:p w14:paraId="0E358B23" w14:textId="28E16D72" w:rsidR="003B2B96" w:rsidRPr="00A04466" w:rsidRDefault="003B2B96" w:rsidP="00502C08">
            <w:pPr>
              <w:pBdr>
                <w:bottom w:val="double" w:sz="4" w:space="0" w:color="000000"/>
              </w:pBdr>
              <w:spacing w:before="40"/>
              <w:jc w:val="right"/>
              <w:rPr>
                <w:rFonts w:asciiTheme="majorBidi" w:hAnsiTheme="majorBidi" w:cstheme="majorBidi"/>
                <w:sz w:val="20"/>
              </w:rPr>
            </w:pPr>
            <w:r w:rsidRPr="001A3741">
              <w:rPr>
                <w:color w:val="000000"/>
                <w:sz w:val="20"/>
              </w:rPr>
              <w:t>411,797</w:t>
            </w:r>
          </w:p>
        </w:tc>
        <w:tc>
          <w:tcPr>
            <w:tcW w:w="1134" w:type="dxa"/>
            <w:shd w:val="clear" w:color="auto" w:fill="auto"/>
            <w:noWrap/>
            <w:vAlign w:val="bottom"/>
          </w:tcPr>
          <w:p w14:paraId="37276F51" w14:textId="3C13C363" w:rsidR="003B2B96" w:rsidRPr="00A04466" w:rsidRDefault="003B2B96" w:rsidP="00502C08">
            <w:pPr>
              <w:pBdr>
                <w:bottom w:val="double" w:sz="4" w:space="0" w:color="000000"/>
              </w:pBdr>
              <w:spacing w:before="40"/>
              <w:jc w:val="right"/>
              <w:rPr>
                <w:rFonts w:asciiTheme="majorBidi" w:hAnsiTheme="majorBidi" w:cstheme="majorBidi"/>
                <w:sz w:val="20"/>
              </w:rPr>
            </w:pPr>
            <w:r w:rsidRPr="001A3741">
              <w:rPr>
                <w:color w:val="000000"/>
                <w:sz w:val="20"/>
              </w:rPr>
              <w:t>(3,013)</w:t>
            </w:r>
          </w:p>
        </w:tc>
        <w:tc>
          <w:tcPr>
            <w:tcW w:w="1303" w:type="dxa"/>
            <w:shd w:val="clear" w:color="auto" w:fill="auto"/>
            <w:noWrap/>
            <w:vAlign w:val="bottom"/>
          </w:tcPr>
          <w:p w14:paraId="7EE659B4" w14:textId="4D81B799" w:rsidR="003B2B96" w:rsidRPr="00A04466" w:rsidRDefault="003B2B96" w:rsidP="00502C08">
            <w:pPr>
              <w:pBdr>
                <w:bottom w:val="double" w:sz="4" w:space="0" w:color="000000"/>
              </w:pBdr>
              <w:spacing w:before="40"/>
              <w:jc w:val="right"/>
              <w:rPr>
                <w:rFonts w:asciiTheme="majorBidi" w:hAnsiTheme="majorBidi" w:cstheme="majorBidi"/>
                <w:sz w:val="20"/>
              </w:rPr>
            </w:pPr>
            <w:r w:rsidRPr="001A3741">
              <w:rPr>
                <w:color w:val="000000"/>
                <w:sz w:val="20"/>
              </w:rPr>
              <w:t>29,391</w:t>
            </w:r>
          </w:p>
        </w:tc>
        <w:tc>
          <w:tcPr>
            <w:tcW w:w="1815" w:type="dxa"/>
            <w:shd w:val="clear" w:color="auto" w:fill="auto"/>
            <w:noWrap/>
            <w:vAlign w:val="bottom"/>
          </w:tcPr>
          <w:p w14:paraId="660C4214" w14:textId="6D9D0649" w:rsidR="003B2B96" w:rsidRPr="00A04466" w:rsidRDefault="003B2B96" w:rsidP="00502C08">
            <w:pPr>
              <w:pBdr>
                <w:bottom w:val="double" w:sz="4" w:space="0" w:color="000000"/>
              </w:pBdr>
              <w:spacing w:before="40"/>
              <w:jc w:val="right"/>
              <w:rPr>
                <w:rFonts w:asciiTheme="majorBidi" w:hAnsiTheme="majorBidi" w:cstheme="majorBidi"/>
                <w:sz w:val="20"/>
              </w:rPr>
            </w:pPr>
            <w:r w:rsidRPr="001A3741">
              <w:rPr>
                <w:color w:val="000000"/>
                <w:sz w:val="20"/>
              </w:rPr>
              <w:t>(6,696)</w:t>
            </w:r>
          </w:p>
        </w:tc>
        <w:tc>
          <w:tcPr>
            <w:tcW w:w="1134" w:type="dxa"/>
            <w:shd w:val="clear" w:color="auto" w:fill="auto"/>
            <w:noWrap/>
            <w:vAlign w:val="bottom"/>
          </w:tcPr>
          <w:p w14:paraId="7F4FE47C" w14:textId="74FC55F0" w:rsidR="003B2B96" w:rsidRPr="00A04466" w:rsidRDefault="003B2B96" w:rsidP="00502C08">
            <w:pPr>
              <w:pBdr>
                <w:bottom w:val="double" w:sz="4" w:space="0" w:color="000000"/>
              </w:pBdr>
              <w:spacing w:before="40"/>
              <w:jc w:val="right"/>
              <w:rPr>
                <w:rFonts w:asciiTheme="majorBidi" w:hAnsiTheme="majorBidi" w:cstheme="majorBidi"/>
                <w:sz w:val="20"/>
              </w:rPr>
            </w:pPr>
            <w:r w:rsidRPr="001A3741">
              <w:rPr>
                <w:color w:val="000000"/>
                <w:sz w:val="20"/>
              </w:rPr>
              <w:t>509,277</w:t>
            </w:r>
          </w:p>
        </w:tc>
        <w:tc>
          <w:tcPr>
            <w:tcW w:w="1757" w:type="dxa"/>
            <w:shd w:val="clear" w:color="auto" w:fill="auto"/>
            <w:noWrap/>
            <w:vAlign w:val="bottom"/>
          </w:tcPr>
          <w:p w14:paraId="36FD667A" w14:textId="4FD12D1D" w:rsidR="003B2B96" w:rsidRPr="00A04466" w:rsidRDefault="003B2B96" w:rsidP="00502C08">
            <w:pPr>
              <w:pBdr>
                <w:bottom w:val="double" w:sz="4" w:space="0" w:color="000000"/>
              </w:pBdr>
              <w:spacing w:before="40"/>
              <w:jc w:val="right"/>
              <w:rPr>
                <w:rFonts w:asciiTheme="majorBidi" w:hAnsiTheme="majorBidi" w:cstheme="majorBidi"/>
                <w:sz w:val="20"/>
              </w:rPr>
            </w:pPr>
            <w:r w:rsidRPr="001A3741">
              <w:rPr>
                <w:color w:val="000000"/>
                <w:sz w:val="20"/>
              </w:rPr>
              <w:t>941,686</w:t>
            </w:r>
          </w:p>
        </w:tc>
        <w:tc>
          <w:tcPr>
            <w:tcW w:w="1134" w:type="dxa"/>
            <w:shd w:val="clear" w:color="auto" w:fill="auto"/>
            <w:noWrap/>
            <w:vAlign w:val="bottom"/>
          </w:tcPr>
          <w:p w14:paraId="325132DC" w14:textId="29A35A67" w:rsidR="003B2B96" w:rsidRPr="00A04466" w:rsidRDefault="003B2B96" w:rsidP="00502C08">
            <w:pPr>
              <w:pBdr>
                <w:bottom w:val="double" w:sz="4" w:space="0" w:color="000000"/>
              </w:pBdr>
              <w:spacing w:before="40"/>
              <w:jc w:val="right"/>
              <w:rPr>
                <w:rFonts w:asciiTheme="majorBidi" w:hAnsiTheme="majorBidi" w:cstheme="majorBidi"/>
                <w:sz w:val="20"/>
              </w:rPr>
            </w:pPr>
            <w:r w:rsidRPr="001A3741">
              <w:rPr>
                <w:color w:val="000000"/>
                <w:sz w:val="20"/>
              </w:rPr>
              <w:t>5,725</w:t>
            </w:r>
          </w:p>
        </w:tc>
        <w:tc>
          <w:tcPr>
            <w:tcW w:w="1134" w:type="dxa"/>
            <w:shd w:val="clear" w:color="auto" w:fill="auto"/>
            <w:noWrap/>
            <w:vAlign w:val="bottom"/>
          </w:tcPr>
          <w:p w14:paraId="7018E1E8" w14:textId="161259BB" w:rsidR="003B2B96" w:rsidRPr="00A04466" w:rsidRDefault="003B2B96" w:rsidP="00502C08">
            <w:pPr>
              <w:pBdr>
                <w:bottom w:val="double" w:sz="4" w:space="0" w:color="000000"/>
              </w:pBdr>
              <w:spacing w:before="40"/>
              <w:jc w:val="right"/>
              <w:rPr>
                <w:rFonts w:asciiTheme="majorBidi" w:hAnsiTheme="majorBidi" w:cstheme="majorBidi"/>
                <w:sz w:val="20"/>
              </w:rPr>
            </w:pPr>
            <w:r w:rsidRPr="001A3741">
              <w:rPr>
                <w:color w:val="000000"/>
                <w:sz w:val="20"/>
              </w:rPr>
              <w:t>947,411</w:t>
            </w:r>
          </w:p>
        </w:tc>
      </w:tr>
      <w:tr w:rsidR="003B2B96" w:rsidRPr="00866299" w14:paraId="466DD927" w14:textId="77777777" w:rsidTr="006909F2">
        <w:trPr>
          <w:trHeight w:val="112"/>
        </w:trPr>
        <w:tc>
          <w:tcPr>
            <w:tcW w:w="3233" w:type="dxa"/>
            <w:shd w:val="clear" w:color="auto" w:fill="auto"/>
            <w:vAlign w:val="bottom"/>
          </w:tcPr>
          <w:p w14:paraId="6E04378A" w14:textId="77777777" w:rsidR="003B2B96" w:rsidRDefault="003B2B96" w:rsidP="003B2B96">
            <w:pPr>
              <w:spacing w:before="40"/>
              <w:rPr>
                <w:rFonts w:asciiTheme="majorBidi" w:hAnsiTheme="majorBidi" w:cstheme="majorBidi"/>
                <w:color w:val="000000"/>
                <w:sz w:val="20"/>
              </w:rPr>
            </w:pPr>
          </w:p>
          <w:p w14:paraId="53E97BC6" w14:textId="77E24B32" w:rsidR="003B2B96" w:rsidRPr="00440C55" w:rsidRDefault="003B2B96" w:rsidP="003B2B96">
            <w:pPr>
              <w:spacing w:before="40"/>
              <w:rPr>
                <w:rFonts w:asciiTheme="majorBidi" w:hAnsiTheme="majorBidi" w:cstheme="majorBidi"/>
                <w:color w:val="000000"/>
                <w:sz w:val="12"/>
                <w:szCs w:val="12"/>
              </w:rPr>
            </w:pPr>
            <w:r w:rsidRPr="00866299">
              <w:rPr>
                <w:rFonts w:asciiTheme="majorBidi" w:hAnsiTheme="majorBidi" w:cstheme="majorBidi"/>
                <w:color w:val="000000"/>
                <w:sz w:val="20"/>
              </w:rPr>
              <w:t xml:space="preserve">Balance </w:t>
            </w:r>
            <w:proofErr w:type="gramStart"/>
            <w:r w:rsidRPr="00866299">
              <w:rPr>
                <w:rFonts w:asciiTheme="majorBidi" w:hAnsiTheme="majorBidi" w:cstheme="majorBidi"/>
                <w:color w:val="000000"/>
                <w:sz w:val="20"/>
              </w:rPr>
              <w:t>at</w:t>
            </w:r>
            <w:proofErr w:type="gramEnd"/>
            <w:r w:rsidRPr="00866299">
              <w:rPr>
                <w:rFonts w:asciiTheme="majorBidi" w:hAnsiTheme="majorBidi" w:cstheme="majorBidi"/>
                <w:color w:val="000000"/>
                <w:sz w:val="20"/>
              </w:rPr>
              <w:t xml:space="preserve"> January 1, </w:t>
            </w:r>
            <w:r>
              <w:rPr>
                <w:rFonts w:asciiTheme="majorBidi" w:hAnsiTheme="majorBidi" w:cstheme="majorBidi"/>
                <w:color w:val="000000"/>
                <w:sz w:val="20"/>
              </w:rPr>
              <w:t xml:space="preserve">2023 </w:t>
            </w:r>
          </w:p>
        </w:tc>
        <w:tc>
          <w:tcPr>
            <w:tcW w:w="1134" w:type="dxa"/>
            <w:shd w:val="clear" w:color="auto" w:fill="auto"/>
            <w:noWrap/>
            <w:vAlign w:val="bottom"/>
          </w:tcPr>
          <w:p w14:paraId="3F3E4853" w14:textId="16A096FC" w:rsidR="003B2B96" w:rsidRPr="001A3741" w:rsidRDefault="003B2B96" w:rsidP="00502C08">
            <w:pPr>
              <w:spacing w:before="40"/>
              <w:jc w:val="right"/>
              <w:rPr>
                <w:rFonts w:asciiTheme="majorBidi" w:hAnsiTheme="majorBidi" w:cstheme="majorBidi"/>
                <w:color w:val="000000"/>
                <w:sz w:val="20"/>
              </w:rPr>
            </w:pPr>
            <w:r w:rsidRPr="0020502A">
              <w:rPr>
                <w:color w:val="000000"/>
                <w:sz w:val="20"/>
              </w:rPr>
              <w:t>930</w:t>
            </w:r>
          </w:p>
        </w:tc>
        <w:tc>
          <w:tcPr>
            <w:tcW w:w="1134" w:type="dxa"/>
            <w:shd w:val="clear" w:color="auto" w:fill="auto"/>
            <w:noWrap/>
            <w:vAlign w:val="bottom"/>
          </w:tcPr>
          <w:p w14:paraId="5369797C" w14:textId="29CCF77F" w:rsidR="003B2B96" w:rsidRPr="001A3741" w:rsidRDefault="003B2B96" w:rsidP="00502C08">
            <w:pPr>
              <w:spacing w:before="40"/>
              <w:jc w:val="right"/>
              <w:rPr>
                <w:rFonts w:asciiTheme="majorBidi" w:hAnsiTheme="majorBidi" w:cstheme="majorBidi"/>
                <w:color w:val="000000"/>
                <w:sz w:val="20"/>
              </w:rPr>
            </w:pPr>
            <w:r w:rsidRPr="0020502A">
              <w:rPr>
                <w:color w:val="000000"/>
                <w:sz w:val="20"/>
              </w:rPr>
              <w:t>411,797</w:t>
            </w:r>
          </w:p>
        </w:tc>
        <w:tc>
          <w:tcPr>
            <w:tcW w:w="1134" w:type="dxa"/>
            <w:shd w:val="clear" w:color="auto" w:fill="auto"/>
            <w:noWrap/>
            <w:vAlign w:val="bottom"/>
          </w:tcPr>
          <w:p w14:paraId="10666204" w14:textId="373F9496" w:rsidR="003B2B96" w:rsidRPr="001A3741" w:rsidRDefault="003B2B96" w:rsidP="00502C08">
            <w:pPr>
              <w:spacing w:before="40"/>
              <w:jc w:val="right"/>
              <w:rPr>
                <w:rFonts w:asciiTheme="majorBidi" w:hAnsiTheme="majorBidi" w:cstheme="majorBidi"/>
                <w:color w:val="000000"/>
                <w:sz w:val="20"/>
              </w:rPr>
            </w:pPr>
            <w:r w:rsidRPr="0020502A">
              <w:rPr>
                <w:color w:val="000000"/>
                <w:sz w:val="20"/>
              </w:rPr>
              <w:t>(3,013)</w:t>
            </w:r>
          </w:p>
        </w:tc>
        <w:tc>
          <w:tcPr>
            <w:tcW w:w="1303" w:type="dxa"/>
            <w:shd w:val="clear" w:color="auto" w:fill="auto"/>
            <w:noWrap/>
            <w:vAlign w:val="bottom"/>
          </w:tcPr>
          <w:p w14:paraId="42CAF05F" w14:textId="1D3402FB" w:rsidR="003B2B96" w:rsidRPr="001A3741" w:rsidRDefault="003B2B96" w:rsidP="00502C08">
            <w:pPr>
              <w:spacing w:before="40"/>
              <w:jc w:val="right"/>
              <w:rPr>
                <w:rFonts w:asciiTheme="majorBidi" w:hAnsiTheme="majorBidi" w:cstheme="majorBidi"/>
                <w:color w:val="000000"/>
                <w:sz w:val="20"/>
              </w:rPr>
            </w:pPr>
            <w:r w:rsidRPr="0020502A">
              <w:rPr>
                <w:color w:val="000000"/>
                <w:sz w:val="20"/>
              </w:rPr>
              <w:t>29,391</w:t>
            </w:r>
          </w:p>
        </w:tc>
        <w:tc>
          <w:tcPr>
            <w:tcW w:w="1815" w:type="dxa"/>
            <w:shd w:val="clear" w:color="auto" w:fill="auto"/>
            <w:noWrap/>
            <w:vAlign w:val="bottom"/>
          </w:tcPr>
          <w:p w14:paraId="7E7439D6" w14:textId="6F630B68" w:rsidR="003B2B96" w:rsidRPr="001A3741" w:rsidRDefault="003B2B96" w:rsidP="00502C08">
            <w:pPr>
              <w:spacing w:before="40"/>
              <w:jc w:val="right"/>
              <w:rPr>
                <w:rFonts w:asciiTheme="majorBidi" w:hAnsiTheme="majorBidi" w:cstheme="majorBidi"/>
                <w:color w:val="000000"/>
                <w:sz w:val="20"/>
              </w:rPr>
            </w:pPr>
            <w:r w:rsidRPr="0020502A">
              <w:rPr>
                <w:color w:val="000000"/>
                <w:sz w:val="20"/>
              </w:rPr>
              <w:t>(6,696)</w:t>
            </w:r>
          </w:p>
        </w:tc>
        <w:tc>
          <w:tcPr>
            <w:tcW w:w="1134" w:type="dxa"/>
            <w:shd w:val="clear" w:color="auto" w:fill="auto"/>
            <w:noWrap/>
            <w:vAlign w:val="bottom"/>
          </w:tcPr>
          <w:p w14:paraId="4BDBB1F7" w14:textId="45B985C6" w:rsidR="003B2B96" w:rsidRPr="001A3741" w:rsidRDefault="003B2B96" w:rsidP="00502C08">
            <w:pPr>
              <w:spacing w:before="40"/>
              <w:jc w:val="right"/>
              <w:rPr>
                <w:rFonts w:asciiTheme="majorBidi" w:hAnsiTheme="majorBidi" w:cstheme="majorBidi"/>
                <w:color w:val="000000"/>
                <w:sz w:val="20"/>
              </w:rPr>
            </w:pPr>
            <w:r w:rsidRPr="0020502A">
              <w:rPr>
                <w:color w:val="000000"/>
                <w:sz w:val="20"/>
              </w:rPr>
              <w:t>509,277</w:t>
            </w:r>
          </w:p>
        </w:tc>
        <w:tc>
          <w:tcPr>
            <w:tcW w:w="1757" w:type="dxa"/>
            <w:shd w:val="clear" w:color="auto" w:fill="auto"/>
            <w:noWrap/>
            <w:vAlign w:val="bottom"/>
          </w:tcPr>
          <w:p w14:paraId="464727DF" w14:textId="794DD378" w:rsidR="003B2B96" w:rsidRPr="001A3741" w:rsidRDefault="003B2B96" w:rsidP="00502C08">
            <w:pPr>
              <w:spacing w:before="40"/>
              <w:jc w:val="right"/>
              <w:rPr>
                <w:rFonts w:asciiTheme="majorBidi" w:hAnsiTheme="majorBidi" w:cstheme="majorBidi"/>
                <w:color w:val="000000"/>
                <w:sz w:val="20"/>
              </w:rPr>
            </w:pPr>
            <w:r w:rsidRPr="0020502A">
              <w:rPr>
                <w:color w:val="000000"/>
                <w:sz w:val="20"/>
              </w:rPr>
              <w:t>941,686</w:t>
            </w:r>
          </w:p>
        </w:tc>
        <w:tc>
          <w:tcPr>
            <w:tcW w:w="1134" w:type="dxa"/>
            <w:shd w:val="clear" w:color="auto" w:fill="auto"/>
            <w:noWrap/>
            <w:vAlign w:val="bottom"/>
          </w:tcPr>
          <w:p w14:paraId="32D1795E" w14:textId="39B69AEE" w:rsidR="003B2B96" w:rsidRPr="001A3741" w:rsidRDefault="003B2B96" w:rsidP="00502C08">
            <w:pPr>
              <w:spacing w:before="40"/>
              <w:jc w:val="right"/>
              <w:rPr>
                <w:rFonts w:asciiTheme="majorBidi" w:hAnsiTheme="majorBidi" w:cstheme="majorBidi"/>
                <w:color w:val="000000"/>
                <w:sz w:val="20"/>
              </w:rPr>
            </w:pPr>
            <w:r w:rsidRPr="0020502A">
              <w:rPr>
                <w:color w:val="000000"/>
                <w:sz w:val="20"/>
              </w:rPr>
              <w:t>5,725</w:t>
            </w:r>
          </w:p>
        </w:tc>
        <w:tc>
          <w:tcPr>
            <w:tcW w:w="1134" w:type="dxa"/>
            <w:shd w:val="clear" w:color="auto" w:fill="auto"/>
            <w:noWrap/>
            <w:vAlign w:val="bottom"/>
          </w:tcPr>
          <w:p w14:paraId="2929DF72" w14:textId="2D626B83" w:rsidR="003B2B96" w:rsidRPr="001A3741" w:rsidRDefault="003B2B96" w:rsidP="00502C08">
            <w:pPr>
              <w:spacing w:before="40"/>
              <w:jc w:val="right"/>
              <w:rPr>
                <w:rFonts w:asciiTheme="majorBidi" w:hAnsiTheme="majorBidi" w:cstheme="majorBidi"/>
                <w:color w:val="000000"/>
                <w:sz w:val="20"/>
              </w:rPr>
            </w:pPr>
            <w:r w:rsidRPr="0020502A">
              <w:rPr>
                <w:color w:val="000000"/>
                <w:sz w:val="20"/>
              </w:rPr>
              <w:t>947,411</w:t>
            </w:r>
          </w:p>
        </w:tc>
      </w:tr>
      <w:tr w:rsidR="003B2B96" w:rsidRPr="00866299" w14:paraId="40B199A2" w14:textId="77777777" w:rsidTr="006909F2">
        <w:trPr>
          <w:trHeight w:val="283"/>
        </w:trPr>
        <w:tc>
          <w:tcPr>
            <w:tcW w:w="3233" w:type="dxa"/>
            <w:shd w:val="clear" w:color="auto" w:fill="auto"/>
            <w:vAlign w:val="bottom"/>
          </w:tcPr>
          <w:p w14:paraId="7F30849B" w14:textId="0BA0E391" w:rsidR="003B2B96" w:rsidRPr="00866299" w:rsidRDefault="003B2B96" w:rsidP="003B2B96">
            <w:pPr>
              <w:spacing w:before="40"/>
              <w:rPr>
                <w:rFonts w:asciiTheme="majorBidi" w:hAnsiTheme="majorBidi" w:cstheme="majorBidi"/>
                <w:sz w:val="20"/>
              </w:rPr>
            </w:pPr>
            <w:r>
              <w:rPr>
                <w:rFonts w:asciiTheme="majorBidi" w:hAnsiTheme="majorBidi" w:cstheme="majorBidi"/>
                <w:color w:val="000000"/>
                <w:sz w:val="20"/>
              </w:rPr>
              <w:t>Profit</w:t>
            </w:r>
            <w:r w:rsidRPr="00866299">
              <w:rPr>
                <w:rFonts w:asciiTheme="majorBidi" w:hAnsiTheme="majorBidi" w:cstheme="majorBidi"/>
                <w:color w:val="000000"/>
                <w:sz w:val="20"/>
              </w:rPr>
              <w:t xml:space="preserve"> for the year </w:t>
            </w:r>
          </w:p>
        </w:tc>
        <w:tc>
          <w:tcPr>
            <w:tcW w:w="1134" w:type="dxa"/>
            <w:shd w:val="clear" w:color="auto" w:fill="auto"/>
            <w:noWrap/>
            <w:vAlign w:val="bottom"/>
          </w:tcPr>
          <w:p w14:paraId="035C2D8A" w14:textId="33C34C45" w:rsidR="003B2B96" w:rsidRPr="001A3741" w:rsidRDefault="003B2B96" w:rsidP="00502C08">
            <w:pPr>
              <w:spacing w:before="40"/>
              <w:jc w:val="right"/>
              <w:rPr>
                <w:rFonts w:asciiTheme="majorBidi" w:hAnsiTheme="majorBidi" w:cstheme="majorBidi"/>
                <w:color w:val="000000"/>
                <w:sz w:val="20"/>
              </w:rPr>
            </w:pPr>
            <w:r w:rsidRPr="0020502A">
              <w:rPr>
                <w:rFonts w:asciiTheme="majorBidi" w:hAnsiTheme="majorBidi" w:cstheme="majorBidi"/>
                <w:color w:val="000000"/>
                <w:sz w:val="20"/>
              </w:rPr>
              <w:t>-</w:t>
            </w:r>
          </w:p>
        </w:tc>
        <w:tc>
          <w:tcPr>
            <w:tcW w:w="1134" w:type="dxa"/>
            <w:shd w:val="clear" w:color="auto" w:fill="auto"/>
            <w:noWrap/>
            <w:vAlign w:val="bottom"/>
          </w:tcPr>
          <w:p w14:paraId="024BCB19" w14:textId="6651B813" w:rsidR="003B2B96" w:rsidRPr="001A3741" w:rsidRDefault="003B2B96" w:rsidP="00502C08">
            <w:pPr>
              <w:spacing w:before="40"/>
              <w:jc w:val="right"/>
              <w:rPr>
                <w:rFonts w:asciiTheme="majorBidi" w:hAnsiTheme="majorBidi" w:cstheme="majorBidi"/>
                <w:color w:val="000000"/>
                <w:sz w:val="20"/>
              </w:rPr>
            </w:pPr>
            <w:r w:rsidRPr="0020502A">
              <w:rPr>
                <w:rFonts w:asciiTheme="majorBidi" w:hAnsiTheme="majorBidi" w:cstheme="majorBidi"/>
                <w:color w:val="000000"/>
                <w:sz w:val="20"/>
              </w:rPr>
              <w:t>-</w:t>
            </w:r>
          </w:p>
        </w:tc>
        <w:tc>
          <w:tcPr>
            <w:tcW w:w="1134" w:type="dxa"/>
            <w:shd w:val="clear" w:color="auto" w:fill="auto"/>
            <w:noWrap/>
            <w:vAlign w:val="bottom"/>
          </w:tcPr>
          <w:p w14:paraId="30BB27E5" w14:textId="680F95E7" w:rsidR="003B2B96" w:rsidRPr="001A3741" w:rsidRDefault="003B2B96" w:rsidP="00502C08">
            <w:pPr>
              <w:spacing w:before="40"/>
              <w:jc w:val="right"/>
              <w:rPr>
                <w:rFonts w:asciiTheme="majorBidi" w:hAnsiTheme="majorBidi" w:cstheme="majorBidi"/>
                <w:color w:val="000000"/>
                <w:sz w:val="20"/>
              </w:rPr>
            </w:pPr>
            <w:r w:rsidRPr="0020502A">
              <w:rPr>
                <w:rFonts w:asciiTheme="majorBidi" w:hAnsiTheme="majorBidi" w:cstheme="majorBidi"/>
                <w:color w:val="000000"/>
                <w:sz w:val="20"/>
              </w:rPr>
              <w:t>-</w:t>
            </w:r>
          </w:p>
        </w:tc>
        <w:tc>
          <w:tcPr>
            <w:tcW w:w="1303" w:type="dxa"/>
            <w:shd w:val="clear" w:color="auto" w:fill="auto"/>
            <w:noWrap/>
            <w:vAlign w:val="bottom"/>
          </w:tcPr>
          <w:p w14:paraId="16F63D4F" w14:textId="38F6B96D" w:rsidR="003B2B96" w:rsidRPr="001A3741" w:rsidRDefault="003B2B96" w:rsidP="00502C08">
            <w:pPr>
              <w:spacing w:before="40"/>
              <w:jc w:val="right"/>
              <w:rPr>
                <w:rFonts w:asciiTheme="majorBidi" w:hAnsiTheme="majorBidi" w:cstheme="majorBidi"/>
                <w:color w:val="000000"/>
                <w:sz w:val="20"/>
              </w:rPr>
            </w:pPr>
            <w:r w:rsidRPr="0020502A">
              <w:rPr>
                <w:rFonts w:asciiTheme="majorBidi" w:hAnsiTheme="majorBidi" w:cstheme="majorBidi"/>
                <w:color w:val="000000"/>
                <w:sz w:val="20"/>
              </w:rPr>
              <w:t>-</w:t>
            </w:r>
          </w:p>
        </w:tc>
        <w:tc>
          <w:tcPr>
            <w:tcW w:w="1815" w:type="dxa"/>
            <w:shd w:val="clear" w:color="auto" w:fill="auto"/>
            <w:noWrap/>
            <w:vAlign w:val="bottom"/>
          </w:tcPr>
          <w:p w14:paraId="7F9AC441" w14:textId="6C3463C3" w:rsidR="003B2B96" w:rsidRPr="001A3741" w:rsidRDefault="003B2B96" w:rsidP="00502C08">
            <w:pPr>
              <w:spacing w:before="40"/>
              <w:jc w:val="right"/>
              <w:rPr>
                <w:rFonts w:asciiTheme="majorBidi" w:hAnsiTheme="majorBidi" w:cstheme="majorBidi"/>
                <w:color w:val="000000"/>
                <w:sz w:val="20"/>
              </w:rPr>
            </w:pPr>
            <w:r w:rsidRPr="0020502A">
              <w:rPr>
                <w:rFonts w:asciiTheme="majorBidi" w:hAnsiTheme="majorBidi" w:cstheme="majorBidi"/>
                <w:color w:val="000000"/>
                <w:sz w:val="20"/>
              </w:rPr>
              <w:t>-</w:t>
            </w:r>
          </w:p>
        </w:tc>
        <w:tc>
          <w:tcPr>
            <w:tcW w:w="1134" w:type="dxa"/>
            <w:shd w:val="clear" w:color="auto" w:fill="auto"/>
            <w:noWrap/>
            <w:vAlign w:val="bottom"/>
          </w:tcPr>
          <w:p w14:paraId="6F67F988" w14:textId="7D4B1ED1" w:rsidR="003B2B96" w:rsidRPr="001A3741" w:rsidRDefault="003B2B96" w:rsidP="00502C08">
            <w:pPr>
              <w:spacing w:before="40"/>
              <w:jc w:val="right"/>
              <w:rPr>
                <w:rFonts w:asciiTheme="majorBidi" w:hAnsiTheme="majorBidi" w:cstheme="majorBidi"/>
                <w:color w:val="000000"/>
                <w:sz w:val="20"/>
              </w:rPr>
            </w:pPr>
            <w:r w:rsidRPr="003A3CFD">
              <w:rPr>
                <w:color w:val="000000"/>
                <w:sz w:val="20"/>
              </w:rPr>
              <w:t>11,362</w:t>
            </w:r>
          </w:p>
        </w:tc>
        <w:tc>
          <w:tcPr>
            <w:tcW w:w="1757" w:type="dxa"/>
            <w:shd w:val="clear" w:color="auto" w:fill="auto"/>
            <w:noWrap/>
            <w:vAlign w:val="bottom"/>
          </w:tcPr>
          <w:p w14:paraId="02DCC36E" w14:textId="45EA373B" w:rsidR="003B2B96" w:rsidRPr="001A3741" w:rsidRDefault="003B2B96" w:rsidP="00502C08">
            <w:pPr>
              <w:spacing w:before="40"/>
              <w:jc w:val="right"/>
              <w:rPr>
                <w:rFonts w:asciiTheme="majorBidi" w:hAnsiTheme="majorBidi" w:cstheme="majorBidi"/>
                <w:color w:val="000000"/>
                <w:sz w:val="20"/>
              </w:rPr>
            </w:pPr>
            <w:r w:rsidRPr="003A3CFD">
              <w:rPr>
                <w:color w:val="000000"/>
                <w:sz w:val="20"/>
              </w:rPr>
              <w:t>11,362</w:t>
            </w:r>
          </w:p>
        </w:tc>
        <w:tc>
          <w:tcPr>
            <w:tcW w:w="1134" w:type="dxa"/>
            <w:shd w:val="clear" w:color="auto" w:fill="auto"/>
            <w:noWrap/>
            <w:vAlign w:val="bottom"/>
          </w:tcPr>
          <w:p w14:paraId="6A421186" w14:textId="45559D49" w:rsidR="003B2B96" w:rsidRPr="001A3741" w:rsidRDefault="003B2B96" w:rsidP="00502C08">
            <w:pPr>
              <w:spacing w:before="40"/>
              <w:jc w:val="right"/>
              <w:rPr>
                <w:rFonts w:asciiTheme="majorBidi" w:hAnsiTheme="majorBidi" w:cstheme="majorBidi"/>
                <w:color w:val="000000"/>
                <w:sz w:val="20"/>
              </w:rPr>
            </w:pPr>
            <w:r w:rsidRPr="003A3CFD">
              <w:rPr>
                <w:color w:val="000000"/>
                <w:sz w:val="20"/>
              </w:rPr>
              <w:t>473</w:t>
            </w:r>
          </w:p>
        </w:tc>
        <w:tc>
          <w:tcPr>
            <w:tcW w:w="1134" w:type="dxa"/>
            <w:shd w:val="clear" w:color="auto" w:fill="auto"/>
            <w:noWrap/>
            <w:vAlign w:val="bottom"/>
          </w:tcPr>
          <w:p w14:paraId="03A7353A" w14:textId="007FE4F9" w:rsidR="003B2B96" w:rsidRPr="001A3741" w:rsidRDefault="003B2B96" w:rsidP="00502C08">
            <w:pPr>
              <w:spacing w:before="40"/>
              <w:jc w:val="right"/>
              <w:rPr>
                <w:rFonts w:asciiTheme="majorBidi" w:hAnsiTheme="majorBidi" w:cstheme="majorBidi"/>
                <w:color w:val="000000"/>
                <w:sz w:val="20"/>
              </w:rPr>
            </w:pPr>
            <w:r w:rsidRPr="003A3CFD">
              <w:rPr>
                <w:color w:val="000000"/>
                <w:sz w:val="20"/>
              </w:rPr>
              <w:t>11,835</w:t>
            </w:r>
          </w:p>
        </w:tc>
      </w:tr>
      <w:tr w:rsidR="003B2B96" w:rsidRPr="00866299" w14:paraId="420DF87F" w14:textId="77777777" w:rsidTr="006909F2">
        <w:trPr>
          <w:trHeight w:val="283"/>
        </w:trPr>
        <w:tc>
          <w:tcPr>
            <w:tcW w:w="3233" w:type="dxa"/>
            <w:shd w:val="clear" w:color="auto" w:fill="auto"/>
            <w:vAlign w:val="bottom"/>
          </w:tcPr>
          <w:p w14:paraId="7918C102" w14:textId="31EB9E5E" w:rsidR="003B2B96" w:rsidRPr="00866299" w:rsidRDefault="003B2B96" w:rsidP="003B2B96">
            <w:pPr>
              <w:spacing w:before="40"/>
              <w:rPr>
                <w:rFonts w:asciiTheme="majorBidi" w:hAnsiTheme="majorBidi" w:cstheme="majorBidi"/>
                <w:color w:val="000000"/>
                <w:sz w:val="20"/>
              </w:rPr>
            </w:pPr>
            <w:r w:rsidRPr="00866299">
              <w:rPr>
                <w:rFonts w:asciiTheme="majorBidi" w:hAnsiTheme="majorBidi" w:cstheme="majorBidi"/>
                <w:color w:val="000000"/>
                <w:sz w:val="20"/>
              </w:rPr>
              <w:t>Adjustments for translation</w:t>
            </w:r>
          </w:p>
        </w:tc>
        <w:tc>
          <w:tcPr>
            <w:tcW w:w="1134" w:type="dxa"/>
            <w:shd w:val="clear" w:color="auto" w:fill="auto"/>
            <w:noWrap/>
            <w:vAlign w:val="bottom"/>
          </w:tcPr>
          <w:p w14:paraId="45B1746B" w14:textId="2F7326BD" w:rsidR="003B2B96" w:rsidRPr="001A3741" w:rsidRDefault="003B2B96" w:rsidP="00502C08">
            <w:pPr>
              <w:spacing w:before="40"/>
              <w:jc w:val="right"/>
              <w:rPr>
                <w:rFonts w:asciiTheme="majorBidi" w:hAnsiTheme="majorBidi" w:cstheme="majorBidi"/>
                <w:color w:val="000000"/>
                <w:sz w:val="20"/>
              </w:rPr>
            </w:pPr>
            <w:r w:rsidRPr="0020502A">
              <w:rPr>
                <w:rFonts w:asciiTheme="majorBidi" w:hAnsiTheme="majorBidi" w:cstheme="majorBidi"/>
                <w:color w:val="000000"/>
                <w:sz w:val="20"/>
              </w:rPr>
              <w:t>-</w:t>
            </w:r>
          </w:p>
        </w:tc>
        <w:tc>
          <w:tcPr>
            <w:tcW w:w="1134" w:type="dxa"/>
            <w:shd w:val="clear" w:color="auto" w:fill="auto"/>
            <w:noWrap/>
            <w:vAlign w:val="bottom"/>
          </w:tcPr>
          <w:p w14:paraId="43CC0F1A" w14:textId="6FA1ED29" w:rsidR="003B2B96" w:rsidRPr="001A3741" w:rsidRDefault="003B2B96" w:rsidP="00502C08">
            <w:pPr>
              <w:spacing w:before="40"/>
              <w:jc w:val="right"/>
              <w:rPr>
                <w:rFonts w:asciiTheme="majorBidi" w:hAnsiTheme="majorBidi" w:cstheme="majorBidi"/>
                <w:color w:val="000000"/>
                <w:sz w:val="20"/>
              </w:rPr>
            </w:pPr>
            <w:r w:rsidRPr="0020502A">
              <w:rPr>
                <w:rFonts w:asciiTheme="majorBidi" w:hAnsiTheme="majorBidi" w:cstheme="majorBidi"/>
                <w:color w:val="000000"/>
                <w:sz w:val="20"/>
              </w:rPr>
              <w:t>-</w:t>
            </w:r>
          </w:p>
        </w:tc>
        <w:tc>
          <w:tcPr>
            <w:tcW w:w="1134" w:type="dxa"/>
            <w:shd w:val="clear" w:color="auto" w:fill="auto"/>
            <w:noWrap/>
            <w:vAlign w:val="bottom"/>
          </w:tcPr>
          <w:p w14:paraId="066C374F" w14:textId="32142931" w:rsidR="003B2B96" w:rsidRPr="001A3741" w:rsidRDefault="003B2B96" w:rsidP="00502C08">
            <w:pPr>
              <w:spacing w:before="40"/>
              <w:jc w:val="right"/>
              <w:rPr>
                <w:sz w:val="20"/>
                <w:szCs w:val="16"/>
                <w:highlight w:val="yellow"/>
              </w:rPr>
            </w:pPr>
            <w:r w:rsidRPr="009645F5">
              <w:rPr>
                <w:color w:val="000000"/>
                <w:sz w:val="20"/>
              </w:rPr>
              <w:t>20,894</w:t>
            </w:r>
          </w:p>
        </w:tc>
        <w:tc>
          <w:tcPr>
            <w:tcW w:w="1303" w:type="dxa"/>
            <w:shd w:val="clear" w:color="auto" w:fill="auto"/>
            <w:noWrap/>
            <w:vAlign w:val="bottom"/>
          </w:tcPr>
          <w:p w14:paraId="00928388" w14:textId="4A7D1AD6" w:rsidR="003B2B96" w:rsidRPr="001A3741" w:rsidRDefault="003B2B96" w:rsidP="00502C08">
            <w:pPr>
              <w:spacing w:before="40"/>
              <w:jc w:val="right"/>
              <w:rPr>
                <w:rFonts w:asciiTheme="majorBidi" w:hAnsiTheme="majorBidi" w:cstheme="majorBidi"/>
                <w:color w:val="000000"/>
                <w:sz w:val="20"/>
              </w:rPr>
            </w:pPr>
            <w:r w:rsidRPr="0020502A">
              <w:rPr>
                <w:rFonts w:asciiTheme="majorBidi" w:hAnsiTheme="majorBidi" w:cstheme="majorBidi"/>
                <w:color w:val="000000"/>
                <w:sz w:val="20"/>
              </w:rPr>
              <w:t>-</w:t>
            </w:r>
          </w:p>
        </w:tc>
        <w:tc>
          <w:tcPr>
            <w:tcW w:w="1815" w:type="dxa"/>
            <w:shd w:val="clear" w:color="auto" w:fill="auto"/>
            <w:noWrap/>
            <w:vAlign w:val="bottom"/>
          </w:tcPr>
          <w:p w14:paraId="0FCCA3DE" w14:textId="3C7B5C02" w:rsidR="003B2B96" w:rsidRPr="001A3741" w:rsidRDefault="003B2B96" w:rsidP="00502C08">
            <w:pPr>
              <w:spacing w:before="40"/>
              <w:jc w:val="right"/>
              <w:rPr>
                <w:rFonts w:asciiTheme="majorBidi" w:hAnsiTheme="majorBidi" w:cstheme="majorBidi"/>
                <w:color w:val="000000"/>
                <w:sz w:val="20"/>
              </w:rPr>
            </w:pPr>
            <w:r w:rsidRPr="0020502A">
              <w:rPr>
                <w:rFonts w:asciiTheme="majorBidi" w:hAnsiTheme="majorBidi" w:cstheme="majorBidi"/>
                <w:color w:val="000000"/>
                <w:sz w:val="20"/>
              </w:rPr>
              <w:t>-</w:t>
            </w:r>
          </w:p>
        </w:tc>
        <w:tc>
          <w:tcPr>
            <w:tcW w:w="1134" w:type="dxa"/>
            <w:shd w:val="clear" w:color="auto" w:fill="auto"/>
            <w:noWrap/>
            <w:vAlign w:val="bottom"/>
          </w:tcPr>
          <w:p w14:paraId="38B73C9D" w14:textId="63859184" w:rsidR="003B2B96" w:rsidRPr="001A3741" w:rsidRDefault="003B2B96" w:rsidP="00502C08">
            <w:pPr>
              <w:spacing w:before="40"/>
              <w:jc w:val="right"/>
              <w:rPr>
                <w:rFonts w:asciiTheme="majorBidi" w:hAnsiTheme="majorBidi" w:cstheme="majorBidi"/>
                <w:color w:val="000000"/>
                <w:sz w:val="20"/>
              </w:rPr>
            </w:pPr>
            <w:r w:rsidRPr="0020502A">
              <w:rPr>
                <w:rFonts w:asciiTheme="majorBidi" w:hAnsiTheme="majorBidi" w:cstheme="majorBidi"/>
                <w:color w:val="000000"/>
                <w:sz w:val="20"/>
              </w:rPr>
              <w:t>-</w:t>
            </w:r>
          </w:p>
        </w:tc>
        <w:tc>
          <w:tcPr>
            <w:tcW w:w="1757" w:type="dxa"/>
            <w:shd w:val="clear" w:color="auto" w:fill="auto"/>
            <w:noWrap/>
            <w:vAlign w:val="bottom"/>
          </w:tcPr>
          <w:p w14:paraId="689D2484" w14:textId="162C5829" w:rsidR="003B2B96" w:rsidRPr="001A3741" w:rsidRDefault="003B2B96" w:rsidP="00502C08">
            <w:pPr>
              <w:spacing w:before="40"/>
              <w:jc w:val="right"/>
              <w:rPr>
                <w:sz w:val="20"/>
                <w:szCs w:val="16"/>
                <w:highlight w:val="yellow"/>
              </w:rPr>
            </w:pPr>
            <w:r w:rsidRPr="009645F5">
              <w:rPr>
                <w:color w:val="000000"/>
                <w:sz w:val="20"/>
              </w:rPr>
              <w:t>20,894</w:t>
            </w:r>
          </w:p>
        </w:tc>
        <w:tc>
          <w:tcPr>
            <w:tcW w:w="1134" w:type="dxa"/>
            <w:shd w:val="clear" w:color="auto" w:fill="auto"/>
            <w:noWrap/>
            <w:vAlign w:val="bottom"/>
          </w:tcPr>
          <w:p w14:paraId="6F8EDD6D" w14:textId="3E3EE341" w:rsidR="003B2B96" w:rsidRPr="001A3741" w:rsidRDefault="003B2B96" w:rsidP="00502C08">
            <w:pPr>
              <w:spacing w:before="40"/>
              <w:jc w:val="right"/>
              <w:rPr>
                <w:sz w:val="20"/>
              </w:rPr>
            </w:pPr>
            <w:r w:rsidRPr="0020502A">
              <w:rPr>
                <w:rFonts w:asciiTheme="majorBidi" w:hAnsiTheme="majorBidi" w:cstheme="majorBidi"/>
                <w:color w:val="000000"/>
                <w:sz w:val="20"/>
              </w:rPr>
              <w:t>-</w:t>
            </w:r>
          </w:p>
        </w:tc>
        <w:tc>
          <w:tcPr>
            <w:tcW w:w="1134" w:type="dxa"/>
            <w:shd w:val="clear" w:color="auto" w:fill="auto"/>
            <w:noWrap/>
            <w:vAlign w:val="bottom"/>
          </w:tcPr>
          <w:p w14:paraId="56D19A01" w14:textId="0DA0FD99" w:rsidR="003B2B96" w:rsidRPr="001A3741" w:rsidRDefault="003B2B96" w:rsidP="00502C08">
            <w:pPr>
              <w:spacing w:before="40"/>
              <w:jc w:val="right"/>
              <w:rPr>
                <w:sz w:val="20"/>
                <w:szCs w:val="16"/>
                <w:highlight w:val="yellow"/>
              </w:rPr>
            </w:pPr>
            <w:r w:rsidRPr="009645F5">
              <w:rPr>
                <w:color w:val="000000"/>
                <w:sz w:val="20"/>
              </w:rPr>
              <w:t>20,894</w:t>
            </w:r>
          </w:p>
        </w:tc>
      </w:tr>
      <w:tr w:rsidR="003B2B96" w:rsidRPr="00866299" w14:paraId="50AA6119" w14:textId="77777777" w:rsidTr="006909F2">
        <w:trPr>
          <w:trHeight w:val="283"/>
        </w:trPr>
        <w:tc>
          <w:tcPr>
            <w:tcW w:w="3233" w:type="dxa"/>
            <w:shd w:val="clear" w:color="auto" w:fill="auto"/>
          </w:tcPr>
          <w:p w14:paraId="2899019A" w14:textId="378ECB0C" w:rsidR="003B2B96" w:rsidRPr="00866299" w:rsidRDefault="003B2B96" w:rsidP="003B2B96">
            <w:pPr>
              <w:spacing w:before="40"/>
              <w:rPr>
                <w:rFonts w:asciiTheme="majorBidi" w:hAnsiTheme="majorBidi" w:cstheme="majorBidi"/>
                <w:color w:val="000000"/>
                <w:sz w:val="20"/>
              </w:rPr>
            </w:pPr>
            <w:r w:rsidRPr="005862F2">
              <w:rPr>
                <w:rFonts w:asciiTheme="majorBidi" w:hAnsiTheme="majorBidi" w:cstheme="majorBidi"/>
                <w:color w:val="000000"/>
                <w:sz w:val="20"/>
              </w:rPr>
              <w:t>Reserve from hedge accounting</w:t>
            </w:r>
          </w:p>
        </w:tc>
        <w:tc>
          <w:tcPr>
            <w:tcW w:w="1134" w:type="dxa"/>
            <w:shd w:val="clear" w:color="auto" w:fill="auto"/>
            <w:noWrap/>
            <w:vAlign w:val="bottom"/>
          </w:tcPr>
          <w:p w14:paraId="10DF4B76" w14:textId="742D86E8" w:rsidR="003B2B96" w:rsidRPr="001A3741" w:rsidRDefault="003B2B96" w:rsidP="00502C08">
            <w:pPr>
              <w:pBdr>
                <w:bottom w:val="single" w:sz="4" w:space="1" w:color="auto"/>
                <w:bar w:val="single" w:sz="6" w:color="auto"/>
              </w:pBdr>
              <w:spacing w:before="40"/>
              <w:jc w:val="right"/>
              <w:rPr>
                <w:rFonts w:asciiTheme="majorBidi" w:hAnsiTheme="majorBidi" w:cstheme="majorBidi"/>
                <w:color w:val="000000"/>
                <w:sz w:val="20"/>
              </w:rPr>
            </w:pPr>
            <w:r w:rsidRPr="0020502A">
              <w:rPr>
                <w:rFonts w:asciiTheme="majorBidi" w:hAnsiTheme="majorBidi" w:cstheme="majorBidi"/>
                <w:color w:val="000000"/>
                <w:sz w:val="20"/>
              </w:rPr>
              <w:t>-</w:t>
            </w:r>
          </w:p>
        </w:tc>
        <w:tc>
          <w:tcPr>
            <w:tcW w:w="1134" w:type="dxa"/>
            <w:shd w:val="clear" w:color="auto" w:fill="auto"/>
            <w:noWrap/>
            <w:vAlign w:val="bottom"/>
          </w:tcPr>
          <w:p w14:paraId="615EB187" w14:textId="119D788E" w:rsidR="003B2B96" w:rsidRPr="001A3741" w:rsidRDefault="003B2B96" w:rsidP="00502C08">
            <w:pPr>
              <w:pBdr>
                <w:bottom w:val="single" w:sz="4" w:space="1" w:color="auto"/>
                <w:bar w:val="single" w:sz="6" w:color="auto"/>
              </w:pBdr>
              <w:spacing w:before="40"/>
              <w:jc w:val="right"/>
              <w:rPr>
                <w:rFonts w:asciiTheme="majorBidi" w:hAnsiTheme="majorBidi" w:cstheme="majorBidi"/>
                <w:color w:val="000000"/>
                <w:sz w:val="20"/>
              </w:rPr>
            </w:pPr>
            <w:r w:rsidRPr="0020502A">
              <w:rPr>
                <w:rFonts w:asciiTheme="majorBidi" w:hAnsiTheme="majorBidi" w:cstheme="majorBidi"/>
                <w:color w:val="000000"/>
                <w:sz w:val="20"/>
              </w:rPr>
              <w:t>-</w:t>
            </w:r>
          </w:p>
        </w:tc>
        <w:tc>
          <w:tcPr>
            <w:tcW w:w="1134" w:type="dxa"/>
            <w:shd w:val="clear" w:color="auto" w:fill="auto"/>
            <w:noWrap/>
            <w:vAlign w:val="bottom"/>
          </w:tcPr>
          <w:p w14:paraId="08CD62B6" w14:textId="6126A63E" w:rsidR="003B2B96" w:rsidRPr="001A3741" w:rsidRDefault="003B2B96" w:rsidP="00502C08">
            <w:pPr>
              <w:pBdr>
                <w:bottom w:val="single" w:sz="4" w:space="1" w:color="auto"/>
                <w:bar w:val="single" w:sz="6" w:color="auto"/>
              </w:pBdr>
              <w:spacing w:before="40"/>
              <w:jc w:val="right"/>
              <w:rPr>
                <w:sz w:val="20"/>
                <w:szCs w:val="16"/>
                <w:highlight w:val="yellow"/>
              </w:rPr>
            </w:pPr>
            <w:r w:rsidRPr="0020502A">
              <w:rPr>
                <w:rFonts w:asciiTheme="majorBidi" w:hAnsiTheme="majorBidi" w:cstheme="majorBidi"/>
                <w:color w:val="000000"/>
                <w:sz w:val="20"/>
              </w:rPr>
              <w:t>-</w:t>
            </w:r>
          </w:p>
        </w:tc>
        <w:tc>
          <w:tcPr>
            <w:tcW w:w="1303" w:type="dxa"/>
            <w:shd w:val="clear" w:color="auto" w:fill="auto"/>
            <w:noWrap/>
            <w:vAlign w:val="bottom"/>
          </w:tcPr>
          <w:p w14:paraId="4A508B5A" w14:textId="22C47D61" w:rsidR="003B2B96" w:rsidRPr="001A3741" w:rsidRDefault="003B2B96" w:rsidP="00502C08">
            <w:pPr>
              <w:pBdr>
                <w:bottom w:val="single" w:sz="4" w:space="1" w:color="auto"/>
                <w:bar w:val="single" w:sz="6" w:color="auto"/>
              </w:pBdr>
              <w:spacing w:before="40"/>
              <w:jc w:val="right"/>
              <w:rPr>
                <w:rFonts w:asciiTheme="majorBidi" w:hAnsiTheme="majorBidi" w:cstheme="majorBidi"/>
                <w:color w:val="000000"/>
                <w:sz w:val="20"/>
              </w:rPr>
            </w:pPr>
            <w:r w:rsidRPr="0020502A">
              <w:rPr>
                <w:color w:val="000000"/>
                <w:sz w:val="20"/>
              </w:rPr>
              <w:t>(15,450)</w:t>
            </w:r>
          </w:p>
        </w:tc>
        <w:tc>
          <w:tcPr>
            <w:tcW w:w="1815" w:type="dxa"/>
            <w:shd w:val="clear" w:color="auto" w:fill="auto"/>
            <w:noWrap/>
            <w:vAlign w:val="bottom"/>
          </w:tcPr>
          <w:p w14:paraId="0EFECE1F" w14:textId="670AB872" w:rsidR="003B2B96" w:rsidRPr="001A3741" w:rsidRDefault="003B2B96" w:rsidP="00502C08">
            <w:pPr>
              <w:pBdr>
                <w:bottom w:val="single" w:sz="4" w:space="1" w:color="auto"/>
                <w:bar w:val="single" w:sz="6" w:color="auto"/>
              </w:pBdr>
              <w:spacing w:before="40"/>
              <w:jc w:val="right"/>
              <w:rPr>
                <w:rFonts w:asciiTheme="majorBidi" w:hAnsiTheme="majorBidi" w:cstheme="majorBidi"/>
                <w:color w:val="000000"/>
                <w:sz w:val="20"/>
              </w:rPr>
            </w:pPr>
            <w:r w:rsidRPr="0020502A">
              <w:rPr>
                <w:rFonts w:asciiTheme="majorBidi" w:hAnsiTheme="majorBidi" w:cstheme="majorBidi"/>
                <w:color w:val="000000"/>
                <w:sz w:val="20"/>
              </w:rPr>
              <w:t>-</w:t>
            </w:r>
          </w:p>
        </w:tc>
        <w:tc>
          <w:tcPr>
            <w:tcW w:w="1134" w:type="dxa"/>
            <w:shd w:val="clear" w:color="auto" w:fill="auto"/>
            <w:noWrap/>
            <w:vAlign w:val="bottom"/>
          </w:tcPr>
          <w:p w14:paraId="6036273E" w14:textId="2152CED3" w:rsidR="003B2B96" w:rsidRPr="001A3741" w:rsidRDefault="003B2B96" w:rsidP="00502C08">
            <w:pPr>
              <w:pBdr>
                <w:bottom w:val="single" w:sz="4" w:space="1" w:color="auto"/>
                <w:bar w:val="single" w:sz="6" w:color="auto"/>
              </w:pBdr>
              <w:spacing w:before="40"/>
              <w:jc w:val="right"/>
              <w:rPr>
                <w:sz w:val="20"/>
              </w:rPr>
            </w:pPr>
            <w:r w:rsidRPr="0020502A">
              <w:rPr>
                <w:rFonts w:asciiTheme="majorBidi" w:hAnsiTheme="majorBidi" w:cstheme="majorBidi"/>
                <w:color w:val="000000"/>
                <w:sz w:val="20"/>
              </w:rPr>
              <w:t>-</w:t>
            </w:r>
          </w:p>
        </w:tc>
        <w:tc>
          <w:tcPr>
            <w:tcW w:w="1757" w:type="dxa"/>
            <w:shd w:val="clear" w:color="auto" w:fill="auto"/>
            <w:noWrap/>
            <w:vAlign w:val="bottom"/>
          </w:tcPr>
          <w:p w14:paraId="188C6744" w14:textId="00D52D3A" w:rsidR="003B2B96" w:rsidRPr="001A3741" w:rsidRDefault="003B2B96" w:rsidP="00502C08">
            <w:pPr>
              <w:pBdr>
                <w:bottom w:val="single" w:sz="4" w:space="1" w:color="auto"/>
                <w:bar w:val="single" w:sz="6" w:color="auto"/>
              </w:pBdr>
              <w:spacing w:before="40"/>
              <w:jc w:val="right"/>
              <w:rPr>
                <w:sz w:val="20"/>
                <w:szCs w:val="16"/>
                <w:highlight w:val="yellow"/>
              </w:rPr>
            </w:pPr>
            <w:r w:rsidRPr="0020502A">
              <w:rPr>
                <w:color w:val="000000"/>
                <w:sz w:val="20"/>
              </w:rPr>
              <w:t>(15,450)</w:t>
            </w:r>
          </w:p>
        </w:tc>
        <w:tc>
          <w:tcPr>
            <w:tcW w:w="1134" w:type="dxa"/>
            <w:shd w:val="clear" w:color="auto" w:fill="auto"/>
            <w:noWrap/>
            <w:vAlign w:val="bottom"/>
          </w:tcPr>
          <w:p w14:paraId="5D626B33" w14:textId="0D34C2DF" w:rsidR="003B2B96" w:rsidRPr="001A3741" w:rsidRDefault="003B2B96" w:rsidP="00502C08">
            <w:pPr>
              <w:pBdr>
                <w:bottom w:val="single" w:sz="4" w:space="1" w:color="auto"/>
                <w:bar w:val="single" w:sz="6" w:color="auto"/>
              </w:pBdr>
              <w:spacing w:before="40"/>
              <w:jc w:val="right"/>
              <w:rPr>
                <w:sz w:val="20"/>
              </w:rPr>
            </w:pPr>
            <w:r w:rsidRPr="0020502A">
              <w:rPr>
                <w:color w:val="000000"/>
                <w:sz w:val="20"/>
              </w:rPr>
              <w:t>(65)</w:t>
            </w:r>
          </w:p>
        </w:tc>
        <w:tc>
          <w:tcPr>
            <w:tcW w:w="1134" w:type="dxa"/>
            <w:shd w:val="clear" w:color="auto" w:fill="auto"/>
            <w:noWrap/>
            <w:vAlign w:val="bottom"/>
          </w:tcPr>
          <w:p w14:paraId="23B77904" w14:textId="3C248C5A" w:rsidR="003B2B96" w:rsidRPr="001A3741" w:rsidRDefault="003B2B96" w:rsidP="00502C08">
            <w:pPr>
              <w:pBdr>
                <w:bottom w:val="single" w:sz="4" w:space="1" w:color="auto"/>
                <w:bar w:val="single" w:sz="6" w:color="auto"/>
              </w:pBdr>
              <w:spacing w:before="40"/>
              <w:jc w:val="right"/>
              <w:rPr>
                <w:sz w:val="20"/>
                <w:szCs w:val="16"/>
                <w:highlight w:val="yellow"/>
              </w:rPr>
            </w:pPr>
            <w:r w:rsidRPr="0020502A">
              <w:rPr>
                <w:color w:val="000000"/>
                <w:sz w:val="20"/>
              </w:rPr>
              <w:t>(15,515)</w:t>
            </w:r>
          </w:p>
        </w:tc>
      </w:tr>
      <w:tr w:rsidR="003B2B96" w:rsidRPr="00866299" w14:paraId="07C4F320" w14:textId="77777777" w:rsidTr="006909F2">
        <w:trPr>
          <w:trHeight w:val="283"/>
        </w:trPr>
        <w:tc>
          <w:tcPr>
            <w:tcW w:w="3233" w:type="dxa"/>
            <w:shd w:val="clear" w:color="auto" w:fill="auto"/>
            <w:vAlign w:val="bottom"/>
          </w:tcPr>
          <w:p w14:paraId="00FB75B2" w14:textId="2138C8E6" w:rsidR="003B2B96" w:rsidRPr="00866299" w:rsidRDefault="003B2B96" w:rsidP="003B2B96">
            <w:pPr>
              <w:spacing w:before="40"/>
              <w:rPr>
                <w:rFonts w:asciiTheme="majorBidi" w:hAnsiTheme="majorBidi" w:cstheme="majorBidi"/>
                <w:sz w:val="20"/>
                <w:lang w:bidi="he-IL"/>
              </w:rPr>
            </w:pPr>
            <w:r w:rsidRPr="00866299">
              <w:rPr>
                <w:rFonts w:asciiTheme="majorBidi" w:hAnsiTheme="majorBidi" w:cstheme="majorBidi"/>
                <w:color w:val="000000"/>
                <w:sz w:val="20"/>
              </w:rPr>
              <w:t xml:space="preserve">Balance </w:t>
            </w:r>
            <w:proofErr w:type="gramStart"/>
            <w:r w:rsidRPr="00866299">
              <w:rPr>
                <w:rFonts w:asciiTheme="majorBidi" w:hAnsiTheme="majorBidi" w:cstheme="majorBidi"/>
                <w:color w:val="000000"/>
                <w:sz w:val="20"/>
              </w:rPr>
              <w:t>at</w:t>
            </w:r>
            <w:proofErr w:type="gramEnd"/>
            <w:r w:rsidRPr="00866299">
              <w:rPr>
                <w:rFonts w:asciiTheme="majorBidi" w:hAnsiTheme="majorBidi" w:cstheme="majorBidi"/>
                <w:color w:val="000000"/>
                <w:sz w:val="20"/>
              </w:rPr>
              <w:t xml:space="preserve"> December 31, </w:t>
            </w:r>
            <w:r>
              <w:rPr>
                <w:rFonts w:asciiTheme="majorBidi" w:hAnsiTheme="majorBidi" w:cstheme="majorBidi"/>
                <w:color w:val="000000"/>
                <w:sz w:val="20"/>
              </w:rPr>
              <w:t>202</w:t>
            </w:r>
            <w:r>
              <w:rPr>
                <w:rFonts w:asciiTheme="majorBidi" w:hAnsiTheme="majorBidi" w:cstheme="majorBidi"/>
                <w:sz w:val="20"/>
                <w:lang w:bidi="he-IL"/>
              </w:rPr>
              <w:t xml:space="preserve">3 </w:t>
            </w:r>
          </w:p>
        </w:tc>
        <w:tc>
          <w:tcPr>
            <w:tcW w:w="1134" w:type="dxa"/>
            <w:shd w:val="clear" w:color="auto" w:fill="auto"/>
            <w:noWrap/>
            <w:vAlign w:val="bottom"/>
          </w:tcPr>
          <w:p w14:paraId="49DEE7BC" w14:textId="61292588" w:rsidR="003B2B96" w:rsidRPr="001A3741" w:rsidRDefault="003B2B96" w:rsidP="00502C08">
            <w:pPr>
              <w:pBdr>
                <w:bottom w:val="double" w:sz="4" w:space="1" w:color="auto"/>
              </w:pBdr>
              <w:spacing w:before="40"/>
              <w:jc w:val="right"/>
              <w:rPr>
                <w:sz w:val="20"/>
              </w:rPr>
            </w:pPr>
            <w:r w:rsidRPr="0020502A">
              <w:rPr>
                <w:color w:val="000000"/>
                <w:sz w:val="20"/>
              </w:rPr>
              <w:t>930</w:t>
            </w:r>
          </w:p>
        </w:tc>
        <w:tc>
          <w:tcPr>
            <w:tcW w:w="1134" w:type="dxa"/>
            <w:shd w:val="clear" w:color="auto" w:fill="auto"/>
            <w:noWrap/>
            <w:vAlign w:val="bottom"/>
          </w:tcPr>
          <w:p w14:paraId="076CE860" w14:textId="0291C9D9" w:rsidR="003B2B96" w:rsidRPr="001A3741" w:rsidRDefault="003B2B96" w:rsidP="00502C08">
            <w:pPr>
              <w:pBdr>
                <w:bottom w:val="double" w:sz="4" w:space="1" w:color="auto"/>
              </w:pBdr>
              <w:spacing w:before="40"/>
              <w:jc w:val="right"/>
              <w:rPr>
                <w:sz w:val="20"/>
              </w:rPr>
            </w:pPr>
            <w:r w:rsidRPr="0020502A">
              <w:rPr>
                <w:color w:val="000000"/>
                <w:sz w:val="20"/>
              </w:rPr>
              <w:t>411,797</w:t>
            </w:r>
          </w:p>
        </w:tc>
        <w:tc>
          <w:tcPr>
            <w:tcW w:w="1134" w:type="dxa"/>
            <w:shd w:val="clear" w:color="auto" w:fill="auto"/>
            <w:noWrap/>
            <w:vAlign w:val="bottom"/>
          </w:tcPr>
          <w:p w14:paraId="781B57FB" w14:textId="2DF92B7A" w:rsidR="003B2B96" w:rsidRPr="001A3741" w:rsidRDefault="003B2B96" w:rsidP="00502C08">
            <w:pPr>
              <w:pBdr>
                <w:bottom w:val="double" w:sz="4" w:space="1" w:color="auto"/>
              </w:pBdr>
              <w:spacing w:before="40"/>
              <w:jc w:val="right"/>
              <w:rPr>
                <w:sz w:val="20"/>
                <w:szCs w:val="16"/>
                <w:highlight w:val="yellow"/>
              </w:rPr>
            </w:pPr>
            <w:r w:rsidRPr="009645F5">
              <w:rPr>
                <w:color w:val="000000"/>
                <w:sz w:val="20"/>
              </w:rPr>
              <w:t>17,881</w:t>
            </w:r>
          </w:p>
        </w:tc>
        <w:tc>
          <w:tcPr>
            <w:tcW w:w="1303" w:type="dxa"/>
            <w:shd w:val="clear" w:color="auto" w:fill="auto"/>
            <w:noWrap/>
            <w:vAlign w:val="bottom"/>
          </w:tcPr>
          <w:p w14:paraId="4C0B1F5C" w14:textId="4B05B027" w:rsidR="003B2B96" w:rsidRPr="001A3741" w:rsidRDefault="003B2B96" w:rsidP="00502C08">
            <w:pPr>
              <w:pBdr>
                <w:bottom w:val="double" w:sz="4" w:space="1" w:color="auto"/>
              </w:pBdr>
              <w:spacing w:before="40"/>
              <w:jc w:val="right"/>
              <w:rPr>
                <w:sz w:val="20"/>
                <w:szCs w:val="16"/>
                <w:highlight w:val="yellow"/>
              </w:rPr>
            </w:pPr>
            <w:r w:rsidRPr="0020502A">
              <w:rPr>
                <w:color w:val="000000"/>
                <w:sz w:val="20"/>
              </w:rPr>
              <w:t>13,941</w:t>
            </w:r>
          </w:p>
        </w:tc>
        <w:tc>
          <w:tcPr>
            <w:tcW w:w="1815" w:type="dxa"/>
            <w:shd w:val="clear" w:color="auto" w:fill="auto"/>
            <w:noWrap/>
            <w:vAlign w:val="bottom"/>
          </w:tcPr>
          <w:p w14:paraId="61BEEAE8" w14:textId="3443A7ED" w:rsidR="003B2B96" w:rsidRPr="001A3741" w:rsidRDefault="003B2B96" w:rsidP="00502C08">
            <w:pPr>
              <w:pBdr>
                <w:bottom w:val="double" w:sz="4" w:space="1" w:color="auto"/>
              </w:pBdr>
              <w:spacing w:before="40"/>
              <w:jc w:val="right"/>
              <w:rPr>
                <w:rFonts w:asciiTheme="majorBidi" w:hAnsiTheme="majorBidi" w:cstheme="majorBidi"/>
                <w:color w:val="000000"/>
                <w:sz w:val="20"/>
                <w:szCs w:val="16"/>
                <w:highlight w:val="yellow"/>
              </w:rPr>
            </w:pPr>
            <w:r w:rsidRPr="0020502A">
              <w:rPr>
                <w:color w:val="000000"/>
                <w:sz w:val="20"/>
              </w:rPr>
              <w:t>(6,696)</w:t>
            </w:r>
          </w:p>
        </w:tc>
        <w:tc>
          <w:tcPr>
            <w:tcW w:w="1134" w:type="dxa"/>
            <w:shd w:val="clear" w:color="auto" w:fill="auto"/>
            <w:noWrap/>
            <w:vAlign w:val="bottom"/>
          </w:tcPr>
          <w:p w14:paraId="7446A1FE" w14:textId="228E0E2F" w:rsidR="003B2B96" w:rsidRPr="001A3741" w:rsidRDefault="003B2B96" w:rsidP="00502C08">
            <w:pPr>
              <w:pBdr>
                <w:bottom w:val="double" w:sz="4" w:space="1" w:color="auto"/>
              </w:pBdr>
              <w:spacing w:before="40"/>
              <w:jc w:val="right"/>
              <w:rPr>
                <w:sz w:val="20"/>
                <w:szCs w:val="16"/>
                <w:highlight w:val="yellow"/>
              </w:rPr>
            </w:pPr>
            <w:r w:rsidRPr="009645F5">
              <w:rPr>
                <w:color w:val="000000"/>
                <w:sz w:val="20"/>
              </w:rPr>
              <w:t>520,639</w:t>
            </w:r>
          </w:p>
        </w:tc>
        <w:tc>
          <w:tcPr>
            <w:tcW w:w="1757" w:type="dxa"/>
            <w:shd w:val="clear" w:color="auto" w:fill="auto"/>
            <w:noWrap/>
            <w:vAlign w:val="bottom"/>
          </w:tcPr>
          <w:p w14:paraId="54C173B3" w14:textId="3EC2E7CF" w:rsidR="003B2B96" w:rsidRPr="001A3741" w:rsidRDefault="003B2B96" w:rsidP="00502C08">
            <w:pPr>
              <w:pBdr>
                <w:bottom w:val="double" w:sz="4" w:space="1" w:color="auto"/>
              </w:pBdr>
              <w:spacing w:before="40"/>
              <w:jc w:val="right"/>
              <w:rPr>
                <w:sz w:val="20"/>
                <w:szCs w:val="16"/>
                <w:highlight w:val="yellow"/>
              </w:rPr>
            </w:pPr>
            <w:r w:rsidRPr="0020502A">
              <w:rPr>
                <w:color w:val="000000"/>
                <w:sz w:val="20"/>
              </w:rPr>
              <w:t>958,492</w:t>
            </w:r>
          </w:p>
        </w:tc>
        <w:tc>
          <w:tcPr>
            <w:tcW w:w="1134" w:type="dxa"/>
            <w:shd w:val="clear" w:color="auto" w:fill="auto"/>
            <w:noWrap/>
            <w:vAlign w:val="bottom"/>
          </w:tcPr>
          <w:p w14:paraId="1C807F8F" w14:textId="5643B5A8" w:rsidR="003B2B96" w:rsidRPr="001A3741" w:rsidRDefault="003B2B96" w:rsidP="00502C08">
            <w:pPr>
              <w:pBdr>
                <w:bottom w:val="double" w:sz="4" w:space="1" w:color="auto"/>
              </w:pBdr>
              <w:spacing w:before="40"/>
              <w:jc w:val="right"/>
              <w:rPr>
                <w:sz w:val="20"/>
                <w:szCs w:val="16"/>
                <w:highlight w:val="yellow"/>
              </w:rPr>
            </w:pPr>
            <w:r w:rsidRPr="0020502A">
              <w:rPr>
                <w:color w:val="000000"/>
                <w:sz w:val="20"/>
              </w:rPr>
              <w:t>6,133</w:t>
            </w:r>
          </w:p>
        </w:tc>
        <w:tc>
          <w:tcPr>
            <w:tcW w:w="1134" w:type="dxa"/>
            <w:shd w:val="clear" w:color="auto" w:fill="auto"/>
            <w:noWrap/>
            <w:vAlign w:val="bottom"/>
          </w:tcPr>
          <w:p w14:paraId="08AA4926" w14:textId="7E9CD67A" w:rsidR="003B2B96" w:rsidRPr="001A3741" w:rsidRDefault="003B2B96" w:rsidP="00502C08">
            <w:pPr>
              <w:pBdr>
                <w:bottom w:val="double" w:sz="4" w:space="1" w:color="auto"/>
              </w:pBdr>
              <w:spacing w:before="40"/>
              <w:jc w:val="right"/>
              <w:rPr>
                <w:sz w:val="20"/>
                <w:szCs w:val="16"/>
                <w:highlight w:val="yellow"/>
              </w:rPr>
            </w:pPr>
            <w:r w:rsidRPr="0020502A">
              <w:rPr>
                <w:color w:val="000000"/>
                <w:sz w:val="20"/>
              </w:rPr>
              <w:t>964,625</w:t>
            </w:r>
          </w:p>
        </w:tc>
      </w:tr>
      <w:tr w:rsidR="007B5F87" w:rsidRPr="00866299" w14:paraId="3FE755A9" w14:textId="77777777" w:rsidTr="006909F2">
        <w:trPr>
          <w:trHeight w:val="112"/>
        </w:trPr>
        <w:tc>
          <w:tcPr>
            <w:tcW w:w="3233" w:type="dxa"/>
            <w:shd w:val="clear" w:color="auto" w:fill="auto"/>
            <w:vAlign w:val="bottom"/>
          </w:tcPr>
          <w:p w14:paraId="5DFE97C5" w14:textId="77777777" w:rsidR="007B5F87" w:rsidRDefault="007B5F87" w:rsidP="007B5F87">
            <w:pPr>
              <w:spacing w:before="40"/>
              <w:rPr>
                <w:rFonts w:asciiTheme="majorBidi" w:hAnsiTheme="majorBidi" w:cstheme="majorBidi"/>
                <w:color w:val="000000"/>
                <w:sz w:val="20"/>
              </w:rPr>
            </w:pPr>
          </w:p>
          <w:p w14:paraId="0B1137F0" w14:textId="361A3CB5" w:rsidR="007B5F87" w:rsidRPr="00440C55" w:rsidRDefault="007B5F87" w:rsidP="007B5F87">
            <w:pPr>
              <w:spacing w:before="40"/>
              <w:rPr>
                <w:rFonts w:asciiTheme="majorBidi" w:hAnsiTheme="majorBidi" w:cstheme="majorBidi"/>
                <w:color w:val="000000"/>
                <w:sz w:val="12"/>
                <w:szCs w:val="12"/>
              </w:rPr>
            </w:pPr>
            <w:r w:rsidRPr="00866299">
              <w:rPr>
                <w:rFonts w:asciiTheme="majorBidi" w:hAnsiTheme="majorBidi" w:cstheme="majorBidi"/>
                <w:color w:val="000000"/>
                <w:sz w:val="20"/>
              </w:rPr>
              <w:t xml:space="preserve">Balance </w:t>
            </w:r>
            <w:proofErr w:type="gramStart"/>
            <w:r w:rsidRPr="00866299">
              <w:rPr>
                <w:rFonts w:asciiTheme="majorBidi" w:hAnsiTheme="majorBidi" w:cstheme="majorBidi"/>
                <w:color w:val="000000"/>
                <w:sz w:val="20"/>
              </w:rPr>
              <w:t>at</w:t>
            </w:r>
            <w:proofErr w:type="gramEnd"/>
            <w:r w:rsidRPr="00866299">
              <w:rPr>
                <w:rFonts w:asciiTheme="majorBidi" w:hAnsiTheme="majorBidi" w:cstheme="majorBidi"/>
                <w:color w:val="000000"/>
                <w:sz w:val="20"/>
              </w:rPr>
              <w:t xml:space="preserve"> January 1, </w:t>
            </w:r>
            <w:r>
              <w:rPr>
                <w:rFonts w:asciiTheme="majorBidi" w:hAnsiTheme="majorBidi" w:cstheme="majorBidi"/>
                <w:color w:val="000000"/>
                <w:sz w:val="20"/>
              </w:rPr>
              <w:t xml:space="preserve">2024 </w:t>
            </w:r>
          </w:p>
        </w:tc>
        <w:tc>
          <w:tcPr>
            <w:tcW w:w="1134" w:type="dxa"/>
            <w:shd w:val="clear" w:color="auto" w:fill="auto"/>
            <w:noWrap/>
            <w:vAlign w:val="bottom"/>
          </w:tcPr>
          <w:p w14:paraId="2E9B9DB9" w14:textId="6842D2FC" w:rsidR="007B5F87" w:rsidRPr="007B5F87" w:rsidRDefault="007B5F87" w:rsidP="00502C08">
            <w:pPr>
              <w:spacing w:before="40"/>
              <w:jc w:val="right"/>
              <w:rPr>
                <w:color w:val="000000"/>
                <w:sz w:val="20"/>
              </w:rPr>
            </w:pPr>
            <w:r w:rsidRPr="007B5F87">
              <w:rPr>
                <w:color w:val="000000"/>
                <w:sz w:val="20"/>
              </w:rPr>
              <w:t>930</w:t>
            </w:r>
          </w:p>
        </w:tc>
        <w:tc>
          <w:tcPr>
            <w:tcW w:w="1134" w:type="dxa"/>
            <w:shd w:val="clear" w:color="auto" w:fill="auto"/>
            <w:noWrap/>
            <w:vAlign w:val="bottom"/>
          </w:tcPr>
          <w:p w14:paraId="22FE8A24" w14:textId="63F0BD39" w:rsidR="007B5F87" w:rsidRPr="007B5F87" w:rsidRDefault="007B5F87" w:rsidP="00502C08">
            <w:pPr>
              <w:spacing w:before="40"/>
              <w:jc w:val="right"/>
              <w:rPr>
                <w:color w:val="000000"/>
                <w:sz w:val="20"/>
              </w:rPr>
            </w:pPr>
            <w:r w:rsidRPr="007B5F87">
              <w:rPr>
                <w:color w:val="000000"/>
                <w:sz w:val="20"/>
              </w:rPr>
              <w:t>411,797</w:t>
            </w:r>
          </w:p>
        </w:tc>
        <w:tc>
          <w:tcPr>
            <w:tcW w:w="1134" w:type="dxa"/>
            <w:shd w:val="clear" w:color="auto" w:fill="auto"/>
            <w:noWrap/>
            <w:vAlign w:val="bottom"/>
          </w:tcPr>
          <w:p w14:paraId="1A0648F1" w14:textId="58E17C46" w:rsidR="007B5F87" w:rsidRPr="007B5F87" w:rsidRDefault="007B5F87" w:rsidP="00502C08">
            <w:pPr>
              <w:spacing w:before="40"/>
              <w:jc w:val="right"/>
              <w:rPr>
                <w:color w:val="000000"/>
                <w:sz w:val="20"/>
              </w:rPr>
            </w:pPr>
            <w:r w:rsidRPr="007B5F87">
              <w:rPr>
                <w:color w:val="000000"/>
                <w:sz w:val="20"/>
              </w:rPr>
              <w:t>17,881</w:t>
            </w:r>
          </w:p>
        </w:tc>
        <w:tc>
          <w:tcPr>
            <w:tcW w:w="1303" w:type="dxa"/>
            <w:shd w:val="clear" w:color="auto" w:fill="auto"/>
            <w:noWrap/>
            <w:vAlign w:val="bottom"/>
          </w:tcPr>
          <w:p w14:paraId="7E29126C" w14:textId="3336D005" w:rsidR="007B5F87" w:rsidRPr="007B5F87" w:rsidRDefault="007B5F87" w:rsidP="00502C08">
            <w:pPr>
              <w:spacing w:before="40"/>
              <w:jc w:val="right"/>
              <w:rPr>
                <w:color w:val="000000"/>
                <w:sz w:val="20"/>
              </w:rPr>
            </w:pPr>
            <w:r w:rsidRPr="007B5F87">
              <w:rPr>
                <w:color w:val="000000"/>
                <w:sz w:val="20"/>
              </w:rPr>
              <w:t>13,941</w:t>
            </w:r>
          </w:p>
        </w:tc>
        <w:tc>
          <w:tcPr>
            <w:tcW w:w="1815" w:type="dxa"/>
            <w:shd w:val="clear" w:color="auto" w:fill="auto"/>
            <w:noWrap/>
            <w:vAlign w:val="bottom"/>
          </w:tcPr>
          <w:p w14:paraId="08B4C761" w14:textId="58D710B4" w:rsidR="007B5F87" w:rsidRPr="007B5F87" w:rsidRDefault="007B5F87" w:rsidP="00502C08">
            <w:pPr>
              <w:spacing w:before="40"/>
              <w:jc w:val="right"/>
              <w:rPr>
                <w:color w:val="000000"/>
                <w:sz w:val="20"/>
              </w:rPr>
            </w:pPr>
            <w:r w:rsidRPr="007B5F87">
              <w:rPr>
                <w:color w:val="000000"/>
                <w:sz w:val="20"/>
              </w:rPr>
              <w:t>(6,696)</w:t>
            </w:r>
          </w:p>
        </w:tc>
        <w:tc>
          <w:tcPr>
            <w:tcW w:w="1134" w:type="dxa"/>
            <w:shd w:val="clear" w:color="auto" w:fill="auto"/>
            <w:noWrap/>
            <w:vAlign w:val="bottom"/>
          </w:tcPr>
          <w:p w14:paraId="1A517762" w14:textId="5B458C30" w:rsidR="007B5F87" w:rsidRPr="007B5F87" w:rsidRDefault="007B5F87" w:rsidP="00502C08">
            <w:pPr>
              <w:spacing w:before="40"/>
              <w:jc w:val="right"/>
              <w:rPr>
                <w:color w:val="000000"/>
                <w:sz w:val="20"/>
              </w:rPr>
            </w:pPr>
            <w:r w:rsidRPr="007B5F87">
              <w:rPr>
                <w:color w:val="000000"/>
                <w:sz w:val="20"/>
              </w:rPr>
              <w:t>520,639</w:t>
            </w:r>
          </w:p>
        </w:tc>
        <w:tc>
          <w:tcPr>
            <w:tcW w:w="1757" w:type="dxa"/>
            <w:shd w:val="clear" w:color="auto" w:fill="auto"/>
            <w:noWrap/>
            <w:vAlign w:val="bottom"/>
          </w:tcPr>
          <w:p w14:paraId="425DA558" w14:textId="6387C2FA" w:rsidR="007B5F87" w:rsidRPr="007B5F87" w:rsidRDefault="007B5F87" w:rsidP="00502C08">
            <w:pPr>
              <w:spacing w:before="40"/>
              <w:jc w:val="right"/>
              <w:rPr>
                <w:color w:val="000000"/>
                <w:sz w:val="20"/>
              </w:rPr>
            </w:pPr>
            <w:r w:rsidRPr="007B5F87">
              <w:rPr>
                <w:color w:val="000000"/>
                <w:sz w:val="20"/>
              </w:rPr>
              <w:t>958,492</w:t>
            </w:r>
          </w:p>
        </w:tc>
        <w:tc>
          <w:tcPr>
            <w:tcW w:w="1134" w:type="dxa"/>
            <w:shd w:val="clear" w:color="auto" w:fill="auto"/>
            <w:noWrap/>
            <w:vAlign w:val="bottom"/>
          </w:tcPr>
          <w:p w14:paraId="1D9D0A65" w14:textId="14F8A638" w:rsidR="007B5F87" w:rsidRPr="007B5F87" w:rsidRDefault="007B5F87" w:rsidP="00502C08">
            <w:pPr>
              <w:spacing w:before="40"/>
              <w:jc w:val="right"/>
              <w:rPr>
                <w:color w:val="000000"/>
                <w:sz w:val="20"/>
              </w:rPr>
            </w:pPr>
            <w:r w:rsidRPr="007B5F87">
              <w:rPr>
                <w:color w:val="000000"/>
                <w:sz w:val="20"/>
              </w:rPr>
              <w:t>6,133</w:t>
            </w:r>
          </w:p>
        </w:tc>
        <w:tc>
          <w:tcPr>
            <w:tcW w:w="1134" w:type="dxa"/>
            <w:shd w:val="clear" w:color="auto" w:fill="auto"/>
            <w:noWrap/>
            <w:vAlign w:val="bottom"/>
          </w:tcPr>
          <w:p w14:paraId="2CA48DF9" w14:textId="7B12CC66" w:rsidR="007B5F87" w:rsidRPr="007B5F87" w:rsidRDefault="007B5F87" w:rsidP="00502C08">
            <w:pPr>
              <w:spacing w:before="40"/>
              <w:jc w:val="right"/>
              <w:rPr>
                <w:color w:val="000000"/>
                <w:sz w:val="20"/>
              </w:rPr>
            </w:pPr>
            <w:r w:rsidRPr="007B5F87">
              <w:rPr>
                <w:color w:val="000000"/>
                <w:sz w:val="20"/>
              </w:rPr>
              <w:t>964,625</w:t>
            </w:r>
          </w:p>
        </w:tc>
      </w:tr>
      <w:tr w:rsidR="007B5F87" w:rsidRPr="00866299" w14:paraId="594B3102" w14:textId="77777777" w:rsidTr="006909F2">
        <w:trPr>
          <w:trHeight w:val="283"/>
        </w:trPr>
        <w:tc>
          <w:tcPr>
            <w:tcW w:w="3233" w:type="dxa"/>
            <w:shd w:val="clear" w:color="auto" w:fill="auto"/>
            <w:vAlign w:val="bottom"/>
          </w:tcPr>
          <w:p w14:paraId="28CE03D2" w14:textId="77777777" w:rsidR="007B5F87" w:rsidRPr="00866299" w:rsidRDefault="007B5F87" w:rsidP="007B5F87">
            <w:pPr>
              <w:spacing w:before="40"/>
              <w:rPr>
                <w:rFonts w:asciiTheme="majorBidi" w:hAnsiTheme="majorBidi" w:cstheme="majorBidi"/>
                <w:sz w:val="20"/>
              </w:rPr>
            </w:pPr>
            <w:r>
              <w:rPr>
                <w:rFonts w:asciiTheme="majorBidi" w:hAnsiTheme="majorBidi" w:cstheme="majorBidi"/>
                <w:color w:val="000000"/>
                <w:sz w:val="20"/>
              </w:rPr>
              <w:t>Profit</w:t>
            </w:r>
            <w:r w:rsidRPr="00866299">
              <w:rPr>
                <w:rFonts w:asciiTheme="majorBidi" w:hAnsiTheme="majorBidi" w:cstheme="majorBidi"/>
                <w:color w:val="000000"/>
                <w:sz w:val="20"/>
              </w:rPr>
              <w:t xml:space="preserve"> for the year </w:t>
            </w:r>
          </w:p>
        </w:tc>
        <w:tc>
          <w:tcPr>
            <w:tcW w:w="1134" w:type="dxa"/>
            <w:shd w:val="clear" w:color="auto" w:fill="auto"/>
            <w:noWrap/>
            <w:vAlign w:val="bottom"/>
          </w:tcPr>
          <w:p w14:paraId="02755773" w14:textId="3CF20AAA" w:rsidR="007B5F87" w:rsidRPr="007B5F87" w:rsidRDefault="007B5F87" w:rsidP="00502C08">
            <w:pPr>
              <w:spacing w:before="40"/>
              <w:jc w:val="right"/>
              <w:rPr>
                <w:color w:val="000000"/>
                <w:sz w:val="20"/>
              </w:rPr>
            </w:pPr>
            <w:r>
              <w:rPr>
                <w:color w:val="000000"/>
                <w:sz w:val="20"/>
              </w:rPr>
              <w:t>-</w:t>
            </w:r>
          </w:p>
        </w:tc>
        <w:tc>
          <w:tcPr>
            <w:tcW w:w="1134" w:type="dxa"/>
            <w:shd w:val="clear" w:color="auto" w:fill="auto"/>
            <w:noWrap/>
            <w:vAlign w:val="bottom"/>
          </w:tcPr>
          <w:p w14:paraId="6AA8872E" w14:textId="052AC477" w:rsidR="007B5F87" w:rsidRPr="007B5F87" w:rsidRDefault="007B5F87" w:rsidP="00502C08">
            <w:pPr>
              <w:spacing w:before="40"/>
              <w:jc w:val="right"/>
              <w:rPr>
                <w:color w:val="000000"/>
                <w:sz w:val="20"/>
              </w:rPr>
            </w:pPr>
            <w:r>
              <w:rPr>
                <w:color w:val="000000"/>
                <w:sz w:val="20"/>
              </w:rPr>
              <w:t>-</w:t>
            </w:r>
          </w:p>
        </w:tc>
        <w:tc>
          <w:tcPr>
            <w:tcW w:w="1134" w:type="dxa"/>
            <w:shd w:val="clear" w:color="auto" w:fill="auto"/>
            <w:noWrap/>
            <w:vAlign w:val="bottom"/>
          </w:tcPr>
          <w:p w14:paraId="5E56D697" w14:textId="6AEE2678" w:rsidR="007B5F87" w:rsidRPr="007B5F87" w:rsidRDefault="007B5F87" w:rsidP="00502C08">
            <w:pPr>
              <w:spacing w:before="40"/>
              <w:jc w:val="right"/>
              <w:rPr>
                <w:color w:val="000000"/>
                <w:sz w:val="20"/>
              </w:rPr>
            </w:pPr>
          </w:p>
        </w:tc>
        <w:tc>
          <w:tcPr>
            <w:tcW w:w="1303" w:type="dxa"/>
            <w:shd w:val="clear" w:color="auto" w:fill="auto"/>
            <w:noWrap/>
            <w:vAlign w:val="bottom"/>
          </w:tcPr>
          <w:p w14:paraId="44733865" w14:textId="13C0B648" w:rsidR="007B5F87" w:rsidRPr="007B5F87" w:rsidRDefault="007B5F87" w:rsidP="00502C08">
            <w:pPr>
              <w:spacing w:before="40"/>
              <w:jc w:val="right"/>
              <w:rPr>
                <w:color w:val="000000"/>
                <w:sz w:val="20"/>
              </w:rPr>
            </w:pPr>
            <w:r>
              <w:rPr>
                <w:color w:val="000000"/>
                <w:sz w:val="20"/>
              </w:rPr>
              <w:t>-</w:t>
            </w:r>
          </w:p>
        </w:tc>
        <w:tc>
          <w:tcPr>
            <w:tcW w:w="1815" w:type="dxa"/>
            <w:shd w:val="clear" w:color="auto" w:fill="auto"/>
            <w:noWrap/>
            <w:vAlign w:val="bottom"/>
          </w:tcPr>
          <w:p w14:paraId="134756DB" w14:textId="034CD77E" w:rsidR="007B5F87" w:rsidRPr="007B5F87" w:rsidRDefault="007B5F87" w:rsidP="00502C08">
            <w:pPr>
              <w:spacing w:before="40"/>
              <w:jc w:val="right"/>
              <w:rPr>
                <w:color w:val="000000"/>
                <w:sz w:val="20"/>
              </w:rPr>
            </w:pPr>
            <w:r>
              <w:rPr>
                <w:color w:val="000000"/>
                <w:sz w:val="20"/>
              </w:rPr>
              <w:t>-</w:t>
            </w:r>
          </w:p>
        </w:tc>
        <w:tc>
          <w:tcPr>
            <w:tcW w:w="1134" w:type="dxa"/>
            <w:shd w:val="clear" w:color="auto" w:fill="auto"/>
            <w:noWrap/>
            <w:vAlign w:val="bottom"/>
          </w:tcPr>
          <w:p w14:paraId="32DBD312" w14:textId="5F6311C5" w:rsidR="007B5F87" w:rsidRPr="007B5F87" w:rsidRDefault="007B5F87" w:rsidP="00502C08">
            <w:pPr>
              <w:spacing w:before="40"/>
              <w:jc w:val="right"/>
              <w:rPr>
                <w:color w:val="000000"/>
                <w:sz w:val="20"/>
              </w:rPr>
            </w:pPr>
            <w:r w:rsidRPr="007B5F87">
              <w:rPr>
                <w:color w:val="000000"/>
                <w:sz w:val="20"/>
              </w:rPr>
              <w:t>106,608</w:t>
            </w:r>
          </w:p>
        </w:tc>
        <w:tc>
          <w:tcPr>
            <w:tcW w:w="1757" w:type="dxa"/>
            <w:shd w:val="clear" w:color="auto" w:fill="auto"/>
            <w:noWrap/>
            <w:vAlign w:val="bottom"/>
          </w:tcPr>
          <w:p w14:paraId="363D2644" w14:textId="7F59F0A0" w:rsidR="007B5F87" w:rsidRPr="007B5F87" w:rsidRDefault="007B5F87" w:rsidP="00502C08">
            <w:pPr>
              <w:spacing w:before="40"/>
              <w:jc w:val="right"/>
              <w:rPr>
                <w:color w:val="000000"/>
                <w:sz w:val="20"/>
              </w:rPr>
            </w:pPr>
            <w:r w:rsidRPr="007B5F87">
              <w:rPr>
                <w:color w:val="000000"/>
                <w:sz w:val="20"/>
              </w:rPr>
              <w:t>106,608</w:t>
            </w:r>
          </w:p>
        </w:tc>
        <w:tc>
          <w:tcPr>
            <w:tcW w:w="1134" w:type="dxa"/>
            <w:shd w:val="clear" w:color="auto" w:fill="auto"/>
            <w:noWrap/>
            <w:vAlign w:val="bottom"/>
          </w:tcPr>
          <w:p w14:paraId="62F1D88A" w14:textId="67243943" w:rsidR="007B5F87" w:rsidRPr="007B5F87" w:rsidRDefault="007B5F87" w:rsidP="00502C08">
            <w:pPr>
              <w:spacing w:before="40"/>
              <w:jc w:val="right"/>
              <w:rPr>
                <w:color w:val="000000"/>
                <w:sz w:val="20"/>
              </w:rPr>
            </w:pPr>
            <w:r w:rsidRPr="007B5F87">
              <w:rPr>
                <w:color w:val="000000"/>
                <w:sz w:val="20"/>
              </w:rPr>
              <w:t>1,646</w:t>
            </w:r>
          </w:p>
        </w:tc>
        <w:tc>
          <w:tcPr>
            <w:tcW w:w="1134" w:type="dxa"/>
            <w:shd w:val="clear" w:color="auto" w:fill="auto"/>
            <w:noWrap/>
            <w:vAlign w:val="bottom"/>
          </w:tcPr>
          <w:p w14:paraId="730D1E2A" w14:textId="1C62C19D" w:rsidR="007B5F87" w:rsidRPr="007B5F87" w:rsidRDefault="007B5F87" w:rsidP="00502C08">
            <w:pPr>
              <w:spacing w:before="40"/>
              <w:jc w:val="right"/>
              <w:rPr>
                <w:color w:val="000000"/>
                <w:sz w:val="20"/>
              </w:rPr>
            </w:pPr>
            <w:r w:rsidRPr="007B5F87">
              <w:rPr>
                <w:color w:val="000000"/>
                <w:sz w:val="20"/>
              </w:rPr>
              <w:t>108,254</w:t>
            </w:r>
          </w:p>
        </w:tc>
      </w:tr>
      <w:tr w:rsidR="007B5F87" w:rsidRPr="00866299" w14:paraId="1520808A" w14:textId="77777777" w:rsidTr="006909F2">
        <w:trPr>
          <w:trHeight w:val="283"/>
        </w:trPr>
        <w:tc>
          <w:tcPr>
            <w:tcW w:w="3233" w:type="dxa"/>
            <w:shd w:val="clear" w:color="auto" w:fill="auto"/>
            <w:vAlign w:val="bottom"/>
          </w:tcPr>
          <w:p w14:paraId="64976016" w14:textId="77777777" w:rsidR="007B5F87" w:rsidRPr="00866299" w:rsidRDefault="007B5F87" w:rsidP="007B5F87">
            <w:pPr>
              <w:spacing w:before="40"/>
              <w:rPr>
                <w:rFonts w:asciiTheme="majorBidi" w:hAnsiTheme="majorBidi" w:cstheme="majorBidi"/>
                <w:color w:val="000000"/>
                <w:sz w:val="20"/>
              </w:rPr>
            </w:pPr>
            <w:r w:rsidRPr="00866299">
              <w:rPr>
                <w:rFonts w:asciiTheme="majorBidi" w:hAnsiTheme="majorBidi" w:cstheme="majorBidi"/>
                <w:color w:val="000000"/>
                <w:sz w:val="20"/>
              </w:rPr>
              <w:t>Adjustments for translation</w:t>
            </w:r>
          </w:p>
        </w:tc>
        <w:tc>
          <w:tcPr>
            <w:tcW w:w="1134" w:type="dxa"/>
            <w:shd w:val="clear" w:color="auto" w:fill="auto"/>
            <w:noWrap/>
            <w:vAlign w:val="bottom"/>
          </w:tcPr>
          <w:p w14:paraId="1E4E2AA0" w14:textId="2C8FDEAC" w:rsidR="007B5F87" w:rsidRPr="007B5F87" w:rsidRDefault="007B5F87" w:rsidP="00502C08">
            <w:pPr>
              <w:spacing w:before="40"/>
              <w:jc w:val="right"/>
              <w:rPr>
                <w:color w:val="000000"/>
                <w:sz w:val="20"/>
              </w:rPr>
            </w:pPr>
            <w:r>
              <w:rPr>
                <w:color w:val="000000"/>
                <w:sz w:val="20"/>
              </w:rPr>
              <w:t>-</w:t>
            </w:r>
          </w:p>
        </w:tc>
        <w:tc>
          <w:tcPr>
            <w:tcW w:w="1134" w:type="dxa"/>
            <w:shd w:val="clear" w:color="auto" w:fill="auto"/>
            <w:noWrap/>
            <w:vAlign w:val="bottom"/>
          </w:tcPr>
          <w:p w14:paraId="37C5EE8D" w14:textId="54BFB18A" w:rsidR="007B5F87" w:rsidRPr="007B5F87" w:rsidRDefault="007B5F87" w:rsidP="00502C08">
            <w:pPr>
              <w:spacing w:before="40"/>
              <w:jc w:val="right"/>
              <w:rPr>
                <w:color w:val="000000"/>
                <w:sz w:val="20"/>
              </w:rPr>
            </w:pPr>
            <w:r>
              <w:rPr>
                <w:color w:val="000000"/>
                <w:sz w:val="20"/>
              </w:rPr>
              <w:t>-</w:t>
            </w:r>
          </w:p>
        </w:tc>
        <w:tc>
          <w:tcPr>
            <w:tcW w:w="1134" w:type="dxa"/>
            <w:shd w:val="clear" w:color="auto" w:fill="auto"/>
            <w:noWrap/>
            <w:vAlign w:val="bottom"/>
          </w:tcPr>
          <w:p w14:paraId="3F5D7A6E" w14:textId="0A9B3ADE" w:rsidR="007B5F87" w:rsidRPr="007B5F87" w:rsidRDefault="007B5F87" w:rsidP="00502C08">
            <w:pPr>
              <w:spacing w:before="40"/>
              <w:jc w:val="right"/>
              <w:rPr>
                <w:color w:val="000000"/>
                <w:sz w:val="20"/>
              </w:rPr>
            </w:pPr>
            <w:r w:rsidRPr="007B5F87">
              <w:rPr>
                <w:color w:val="000000"/>
                <w:sz w:val="20"/>
              </w:rPr>
              <w:t>4,074</w:t>
            </w:r>
          </w:p>
        </w:tc>
        <w:tc>
          <w:tcPr>
            <w:tcW w:w="1303" w:type="dxa"/>
            <w:shd w:val="clear" w:color="auto" w:fill="auto"/>
            <w:noWrap/>
            <w:vAlign w:val="bottom"/>
          </w:tcPr>
          <w:p w14:paraId="002E9453" w14:textId="631DA4EC" w:rsidR="007B5F87" w:rsidRPr="007B5F87" w:rsidRDefault="007B5F87" w:rsidP="00502C08">
            <w:pPr>
              <w:spacing w:before="40"/>
              <w:jc w:val="right"/>
              <w:rPr>
                <w:color w:val="000000"/>
                <w:sz w:val="20"/>
              </w:rPr>
            </w:pPr>
            <w:r>
              <w:rPr>
                <w:color w:val="000000"/>
                <w:sz w:val="20"/>
              </w:rPr>
              <w:t>-</w:t>
            </w:r>
          </w:p>
        </w:tc>
        <w:tc>
          <w:tcPr>
            <w:tcW w:w="1815" w:type="dxa"/>
            <w:shd w:val="clear" w:color="auto" w:fill="auto"/>
            <w:noWrap/>
            <w:vAlign w:val="bottom"/>
          </w:tcPr>
          <w:p w14:paraId="15FCD6C6" w14:textId="35F3A383" w:rsidR="007B5F87" w:rsidRPr="007B5F87" w:rsidRDefault="007B5F87" w:rsidP="00502C08">
            <w:pPr>
              <w:spacing w:before="40"/>
              <w:jc w:val="right"/>
              <w:rPr>
                <w:color w:val="000000"/>
                <w:sz w:val="20"/>
              </w:rPr>
            </w:pPr>
            <w:r>
              <w:rPr>
                <w:color w:val="000000"/>
                <w:sz w:val="20"/>
              </w:rPr>
              <w:t>-</w:t>
            </w:r>
          </w:p>
        </w:tc>
        <w:tc>
          <w:tcPr>
            <w:tcW w:w="1134" w:type="dxa"/>
            <w:shd w:val="clear" w:color="auto" w:fill="auto"/>
            <w:noWrap/>
            <w:vAlign w:val="bottom"/>
          </w:tcPr>
          <w:p w14:paraId="1FC81A43" w14:textId="5D26E2AD" w:rsidR="007B5F87" w:rsidRPr="007B5F87" w:rsidRDefault="007B5F87" w:rsidP="00502C08">
            <w:pPr>
              <w:spacing w:before="40"/>
              <w:jc w:val="right"/>
              <w:rPr>
                <w:color w:val="000000"/>
                <w:sz w:val="20"/>
              </w:rPr>
            </w:pPr>
            <w:r>
              <w:rPr>
                <w:color w:val="000000"/>
                <w:sz w:val="20"/>
              </w:rPr>
              <w:t>-</w:t>
            </w:r>
          </w:p>
        </w:tc>
        <w:tc>
          <w:tcPr>
            <w:tcW w:w="1757" w:type="dxa"/>
            <w:shd w:val="clear" w:color="auto" w:fill="auto"/>
            <w:noWrap/>
            <w:vAlign w:val="bottom"/>
          </w:tcPr>
          <w:p w14:paraId="5AA44440" w14:textId="008F4794" w:rsidR="007B5F87" w:rsidRPr="007B5F87" w:rsidRDefault="007B5F87" w:rsidP="00502C08">
            <w:pPr>
              <w:spacing w:before="40"/>
              <w:jc w:val="right"/>
              <w:rPr>
                <w:color w:val="000000"/>
                <w:sz w:val="20"/>
              </w:rPr>
            </w:pPr>
            <w:r w:rsidRPr="007B5F87">
              <w:rPr>
                <w:color w:val="000000"/>
                <w:sz w:val="20"/>
              </w:rPr>
              <w:t>4,074</w:t>
            </w:r>
          </w:p>
        </w:tc>
        <w:tc>
          <w:tcPr>
            <w:tcW w:w="1134" w:type="dxa"/>
            <w:shd w:val="clear" w:color="auto" w:fill="auto"/>
            <w:noWrap/>
            <w:vAlign w:val="bottom"/>
          </w:tcPr>
          <w:p w14:paraId="6ADB3B57" w14:textId="37D2EAA7" w:rsidR="007B5F87" w:rsidRPr="007B5F87" w:rsidRDefault="007B5F87" w:rsidP="00502C08">
            <w:pPr>
              <w:spacing w:before="40"/>
              <w:jc w:val="right"/>
              <w:rPr>
                <w:color w:val="000000"/>
                <w:sz w:val="20"/>
              </w:rPr>
            </w:pPr>
            <w:r>
              <w:rPr>
                <w:color w:val="000000"/>
                <w:sz w:val="20"/>
              </w:rPr>
              <w:t>-</w:t>
            </w:r>
          </w:p>
        </w:tc>
        <w:tc>
          <w:tcPr>
            <w:tcW w:w="1134" w:type="dxa"/>
            <w:shd w:val="clear" w:color="auto" w:fill="auto"/>
            <w:noWrap/>
            <w:vAlign w:val="bottom"/>
          </w:tcPr>
          <w:p w14:paraId="77806E9D" w14:textId="54486F9F" w:rsidR="007B5F87" w:rsidRPr="007B5F87" w:rsidRDefault="007B5F87" w:rsidP="00502C08">
            <w:pPr>
              <w:spacing w:before="40"/>
              <w:jc w:val="right"/>
              <w:rPr>
                <w:color w:val="000000"/>
                <w:sz w:val="20"/>
              </w:rPr>
            </w:pPr>
            <w:r w:rsidRPr="007B5F87">
              <w:rPr>
                <w:color w:val="000000"/>
                <w:sz w:val="20"/>
              </w:rPr>
              <w:t>4,074</w:t>
            </w:r>
          </w:p>
        </w:tc>
      </w:tr>
      <w:tr w:rsidR="007B5F87" w:rsidRPr="00597106" w14:paraId="365DAADC" w14:textId="77777777" w:rsidTr="006909F2">
        <w:trPr>
          <w:trHeight w:val="283"/>
        </w:trPr>
        <w:tc>
          <w:tcPr>
            <w:tcW w:w="3233" w:type="dxa"/>
            <w:shd w:val="clear" w:color="auto" w:fill="auto"/>
            <w:vAlign w:val="bottom"/>
          </w:tcPr>
          <w:p w14:paraId="31B0952A" w14:textId="5212E11F" w:rsidR="007B5F87" w:rsidRPr="00031E59" w:rsidRDefault="007B5F87" w:rsidP="007B5F87">
            <w:pPr>
              <w:spacing w:before="40"/>
              <w:rPr>
                <w:rFonts w:asciiTheme="majorBidi" w:hAnsiTheme="majorBidi" w:cstheme="majorBidi"/>
                <w:color w:val="000000"/>
                <w:sz w:val="20"/>
              </w:rPr>
            </w:pPr>
            <w:r w:rsidRPr="00590934">
              <w:rPr>
                <w:rFonts w:asciiTheme="majorBidi" w:hAnsiTheme="majorBidi" w:cstheme="majorBidi"/>
                <w:color w:val="000000"/>
                <w:sz w:val="20"/>
              </w:rPr>
              <w:t>Reserve from hedge accounting</w:t>
            </w:r>
          </w:p>
        </w:tc>
        <w:tc>
          <w:tcPr>
            <w:tcW w:w="1134" w:type="dxa"/>
            <w:shd w:val="clear" w:color="auto" w:fill="auto"/>
            <w:noWrap/>
            <w:vAlign w:val="bottom"/>
          </w:tcPr>
          <w:p w14:paraId="5E572B32" w14:textId="265E27D4" w:rsidR="007B5F87" w:rsidRPr="007B5F87" w:rsidRDefault="007B5F87" w:rsidP="00502C08">
            <w:pPr>
              <w:pBdr>
                <w:bottom w:val="single" w:sz="4" w:space="1" w:color="auto"/>
              </w:pBdr>
              <w:spacing w:before="40"/>
              <w:jc w:val="right"/>
              <w:rPr>
                <w:color w:val="000000"/>
                <w:sz w:val="20"/>
              </w:rPr>
            </w:pPr>
            <w:r>
              <w:rPr>
                <w:color w:val="000000"/>
                <w:sz w:val="20"/>
              </w:rPr>
              <w:t>-</w:t>
            </w:r>
          </w:p>
        </w:tc>
        <w:tc>
          <w:tcPr>
            <w:tcW w:w="1134" w:type="dxa"/>
            <w:shd w:val="clear" w:color="auto" w:fill="auto"/>
            <w:noWrap/>
            <w:vAlign w:val="bottom"/>
          </w:tcPr>
          <w:p w14:paraId="51210D2E" w14:textId="590AF0B2" w:rsidR="007B5F87" w:rsidRPr="007B5F87" w:rsidRDefault="007B5F87" w:rsidP="00502C08">
            <w:pPr>
              <w:pBdr>
                <w:bottom w:val="single" w:sz="4" w:space="1" w:color="auto"/>
              </w:pBdr>
              <w:spacing w:before="40"/>
              <w:jc w:val="right"/>
              <w:rPr>
                <w:color w:val="000000"/>
                <w:sz w:val="20"/>
              </w:rPr>
            </w:pPr>
            <w:r>
              <w:rPr>
                <w:color w:val="000000"/>
                <w:sz w:val="20"/>
              </w:rPr>
              <w:t>-</w:t>
            </w:r>
          </w:p>
        </w:tc>
        <w:tc>
          <w:tcPr>
            <w:tcW w:w="1134" w:type="dxa"/>
            <w:shd w:val="clear" w:color="auto" w:fill="auto"/>
            <w:noWrap/>
            <w:vAlign w:val="bottom"/>
          </w:tcPr>
          <w:p w14:paraId="7C038CC0" w14:textId="45326A36" w:rsidR="007B5F87" w:rsidRPr="007B5F87" w:rsidRDefault="007B5F87" w:rsidP="00502C08">
            <w:pPr>
              <w:pBdr>
                <w:bottom w:val="single" w:sz="4" w:space="1" w:color="auto"/>
              </w:pBdr>
              <w:spacing w:before="40"/>
              <w:jc w:val="right"/>
              <w:rPr>
                <w:color w:val="000000"/>
                <w:sz w:val="20"/>
              </w:rPr>
            </w:pPr>
          </w:p>
        </w:tc>
        <w:tc>
          <w:tcPr>
            <w:tcW w:w="1303" w:type="dxa"/>
            <w:shd w:val="clear" w:color="auto" w:fill="auto"/>
            <w:noWrap/>
            <w:vAlign w:val="bottom"/>
          </w:tcPr>
          <w:p w14:paraId="2F3BA94C" w14:textId="79EF03E5" w:rsidR="007B5F87" w:rsidRPr="007B5F87" w:rsidRDefault="007B5F87" w:rsidP="00502C08">
            <w:pPr>
              <w:pBdr>
                <w:bottom w:val="single" w:sz="4" w:space="1" w:color="auto"/>
              </w:pBdr>
              <w:spacing w:before="40"/>
              <w:jc w:val="right"/>
              <w:rPr>
                <w:color w:val="000000"/>
                <w:sz w:val="20"/>
              </w:rPr>
            </w:pPr>
            <w:r w:rsidRPr="007B5F87">
              <w:rPr>
                <w:color w:val="000000"/>
                <w:sz w:val="20"/>
              </w:rPr>
              <w:t>(11,718)</w:t>
            </w:r>
          </w:p>
        </w:tc>
        <w:tc>
          <w:tcPr>
            <w:tcW w:w="1815" w:type="dxa"/>
            <w:shd w:val="clear" w:color="auto" w:fill="auto"/>
            <w:noWrap/>
            <w:vAlign w:val="bottom"/>
          </w:tcPr>
          <w:p w14:paraId="1EDA92B7" w14:textId="5ED4AEE8" w:rsidR="007B5F87" w:rsidRPr="007B5F87" w:rsidRDefault="007B5F87" w:rsidP="00502C08">
            <w:pPr>
              <w:pBdr>
                <w:bottom w:val="single" w:sz="4" w:space="1" w:color="auto"/>
              </w:pBdr>
              <w:spacing w:before="40"/>
              <w:jc w:val="right"/>
              <w:rPr>
                <w:color w:val="000000"/>
                <w:sz w:val="20"/>
              </w:rPr>
            </w:pPr>
            <w:r>
              <w:rPr>
                <w:color w:val="000000"/>
                <w:sz w:val="20"/>
              </w:rPr>
              <w:t>-</w:t>
            </w:r>
          </w:p>
        </w:tc>
        <w:tc>
          <w:tcPr>
            <w:tcW w:w="1134" w:type="dxa"/>
            <w:shd w:val="clear" w:color="auto" w:fill="auto"/>
            <w:noWrap/>
            <w:vAlign w:val="bottom"/>
          </w:tcPr>
          <w:p w14:paraId="423B429C" w14:textId="2046F4B7" w:rsidR="007B5F87" w:rsidRPr="007B5F87" w:rsidRDefault="007B5F87" w:rsidP="00502C08">
            <w:pPr>
              <w:pBdr>
                <w:bottom w:val="single" w:sz="4" w:space="1" w:color="auto"/>
              </w:pBdr>
              <w:spacing w:before="40"/>
              <w:jc w:val="right"/>
              <w:rPr>
                <w:color w:val="000000"/>
                <w:sz w:val="20"/>
              </w:rPr>
            </w:pPr>
            <w:r>
              <w:rPr>
                <w:color w:val="000000"/>
                <w:sz w:val="20"/>
              </w:rPr>
              <w:t>-</w:t>
            </w:r>
          </w:p>
        </w:tc>
        <w:tc>
          <w:tcPr>
            <w:tcW w:w="1757" w:type="dxa"/>
            <w:shd w:val="clear" w:color="auto" w:fill="auto"/>
            <w:noWrap/>
            <w:vAlign w:val="bottom"/>
          </w:tcPr>
          <w:p w14:paraId="76772320" w14:textId="61755FED" w:rsidR="007B5F87" w:rsidRPr="007B5F87" w:rsidDel="00185A97" w:rsidRDefault="007B5F87" w:rsidP="00502C08">
            <w:pPr>
              <w:pBdr>
                <w:bottom w:val="single" w:sz="4" w:space="1" w:color="auto"/>
              </w:pBdr>
              <w:spacing w:before="40"/>
              <w:jc w:val="right"/>
              <w:rPr>
                <w:color w:val="000000"/>
                <w:sz w:val="20"/>
              </w:rPr>
            </w:pPr>
            <w:r w:rsidRPr="007B5F87">
              <w:rPr>
                <w:color w:val="000000"/>
                <w:sz w:val="20"/>
              </w:rPr>
              <w:t>(11,718)</w:t>
            </w:r>
          </w:p>
        </w:tc>
        <w:tc>
          <w:tcPr>
            <w:tcW w:w="1134" w:type="dxa"/>
            <w:shd w:val="clear" w:color="auto" w:fill="auto"/>
            <w:noWrap/>
            <w:vAlign w:val="bottom"/>
          </w:tcPr>
          <w:p w14:paraId="538B7544" w14:textId="38621746" w:rsidR="007B5F87" w:rsidRPr="007B5F87" w:rsidDel="00185A97" w:rsidRDefault="007B5F87" w:rsidP="00502C08">
            <w:pPr>
              <w:pBdr>
                <w:bottom w:val="single" w:sz="4" w:space="1" w:color="auto"/>
              </w:pBdr>
              <w:spacing w:before="40"/>
              <w:jc w:val="right"/>
              <w:rPr>
                <w:color w:val="000000"/>
                <w:sz w:val="20"/>
              </w:rPr>
            </w:pPr>
            <w:r w:rsidRPr="007B5F87">
              <w:rPr>
                <w:color w:val="000000"/>
                <w:sz w:val="20"/>
              </w:rPr>
              <w:t>9</w:t>
            </w:r>
          </w:p>
        </w:tc>
        <w:tc>
          <w:tcPr>
            <w:tcW w:w="1134" w:type="dxa"/>
            <w:shd w:val="clear" w:color="auto" w:fill="auto"/>
            <w:noWrap/>
            <w:vAlign w:val="bottom"/>
          </w:tcPr>
          <w:p w14:paraId="281E883F" w14:textId="26239A98" w:rsidR="007B5F87" w:rsidRPr="007B5F87" w:rsidDel="00185A97" w:rsidRDefault="007B5F87" w:rsidP="00502C08">
            <w:pPr>
              <w:pBdr>
                <w:bottom w:val="single" w:sz="4" w:space="1" w:color="auto"/>
              </w:pBdr>
              <w:spacing w:before="40"/>
              <w:jc w:val="right"/>
              <w:rPr>
                <w:color w:val="000000"/>
                <w:sz w:val="20"/>
              </w:rPr>
            </w:pPr>
            <w:r w:rsidRPr="007B5F87">
              <w:rPr>
                <w:color w:val="000000"/>
                <w:sz w:val="20"/>
              </w:rPr>
              <w:t>(11,709)</w:t>
            </w:r>
          </w:p>
        </w:tc>
      </w:tr>
      <w:tr w:rsidR="007B5F87" w:rsidRPr="00866299" w14:paraId="09A0E8D9" w14:textId="77777777" w:rsidTr="006909F2">
        <w:trPr>
          <w:trHeight w:val="283"/>
        </w:trPr>
        <w:tc>
          <w:tcPr>
            <w:tcW w:w="3233" w:type="dxa"/>
            <w:shd w:val="clear" w:color="auto" w:fill="auto"/>
            <w:vAlign w:val="bottom"/>
          </w:tcPr>
          <w:p w14:paraId="427088D2" w14:textId="026AA214" w:rsidR="007B5F87" w:rsidRPr="00866299" w:rsidRDefault="007B5F87" w:rsidP="007B5F87">
            <w:pPr>
              <w:spacing w:before="40"/>
              <w:rPr>
                <w:rFonts w:asciiTheme="majorBidi" w:hAnsiTheme="majorBidi" w:cstheme="majorBidi"/>
                <w:sz w:val="20"/>
                <w:lang w:bidi="he-IL"/>
              </w:rPr>
            </w:pPr>
            <w:r w:rsidRPr="00866299">
              <w:rPr>
                <w:rFonts w:asciiTheme="majorBidi" w:hAnsiTheme="majorBidi" w:cstheme="majorBidi"/>
                <w:color w:val="000000"/>
                <w:sz w:val="20"/>
              </w:rPr>
              <w:t xml:space="preserve">Balance </w:t>
            </w:r>
            <w:proofErr w:type="gramStart"/>
            <w:r w:rsidRPr="00866299">
              <w:rPr>
                <w:rFonts w:asciiTheme="majorBidi" w:hAnsiTheme="majorBidi" w:cstheme="majorBidi"/>
                <w:color w:val="000000"/>
                <w:sz w:val="20"/>
              </w:rPr>
              <w:t>at</w:t>
            </w:r>
            <w:proofErr w:type="gramEnd"/>
            <w:r w:rsidRPr="00866299">
              <w:rPr>
                <w:rFonts w:asciiTheme="majorBidi" w:hAnsiTheme="majorBidi" w:cstheme="majorBidi"/>
                <w:color w:val="000000"/>
                <w:sz w:val="20"/>
              </w:rPr>
              <w:t xml:space="preserve"> December 31, </w:t>
            </w:r>
            <w:r>
              <w:rPr>
                <w:rFonts w:asciiTheme="majorBidi" w:hAnsiTheme="majorBidi" w:cstheme="majorBidi"/>
                <w:color w:val="000000"/>
                <w:sz w:val="20"/>
              </w:rPr>
              <w:t>202</w:t>
            </w:r>
            <w:r>
              <w:rPr>
                <w:rFonts w:asciiTheme="majorBidi" w:hAnsiTheme="majorBidi" w:cstheme="majorBidi"/>
                <w:sz w:val="20"/>
                <w:lang w:bidi="he-IL"/>
              </w:rPr>
              <w:t>4</w:t>
            </w:r>
          </w:p>
        </w:tc>
        <w:tc>
          <w:tcPr>
            <w:tcW w:w="1134" w:type="dxa"/>
            <w:shd w:val="clear" w:color="auto" w:fill="auto"/>
            <w:noWrap/>
            <w:vAlign w:val="bottom"/>
          </w:tcPr>
          <w:p w14:paraId="723DC464" w14:textId="5183A06A" w:rsidR="007B5F87" w:rsidRPr="007B5F87" w:rsidRDefault="007B5F87" w:rsidP="00502C08">
            <w:pPr>
              <w:pBdr>
                <w:bottom w:val="double" w:sz="4" w:space="1" w:color="auto"/>
              </w:pBdr>
              <w:spacing w:before="40"/>
              <w:jc w:val="right"/>
              <w:rPr>
                <w:color w:val="000000"/>
                <w:sz w:val="20"/>
              </w:rPr>
            </w:pPr>
            <w:r w:rsidRPr="007B5F87">
              <w:rPr>
                <w:color w:val="000000"/>
                <w:sz w:val="20"/>
              </w:rPr>
              <w:t>930</w:t>
            </w:r>
          </w:p>
        </w:tc>
        <w:tc>
          <w:tcPr>
            <w:tcW w:w="1134" w:type="dxa"/>
            <w:shd w:val="clear" w:color="auto" w:fill="auto"/>
            <w:noWrap/>
            <w:vAlign w:val="bottom"/>
          </w:tcPr>
          <w:p w14:paraId="46A423F1" w14:textId="479760BC" w:rsidR="007B5F87" w:rsidRPr="007B5F87" w:rsidRDefault="007B5F87" w:rsidP="00502C08">
            <w:pPr>
              <w:pBdr>
                <w:bottom w:val="double" w:sz="4" w:space="1" w:color="auto"/>
              </w:pBdr>
              <w:spacing w:before="40"/>
              <w:jc w:val="right"/>
              <w:rPr>
                <w:color w:val="000000"/>
                <w:sz w:val="20"/>
              </w:rPr>
            </w:pPr>
            <w:r w:rsidRPr="007B5F87">
              <w:rPr>
                <w:color w:val="000000"/>
                <w:sz w:val="20"/>
              </w:rPr>
              <w:t>411,797</w:t>
            </w:r>
          </w:p>
        </w:tc>
        <w:tc>
          <w:tcPr>
            <w:tcW w:w="1134" w:type="dxa"/>
            <w:shd w:val="clear" w:color="auto" w:fill="auto"/>
            <w:noWrap/>
            <w:vAlign w:val="bottom"/>
          </w:tcPr>
          <w:p w14:paraId="2203B8E2" w14:textId="277DBF8D" w:rsidR="007B5F87" w:rsidRPr="007B5F87" w:rsidRDefault="007B5F87" w:rsidP="00502C08">
            <w:pPr>
              <w:pBdr>
                <w:bottom w:val="double" w:sz="4" w:space="1" w:color="auto"/>
              </w:pBdr>
              <w:spacing w:before="40"/>
              <w:jc w:val="right"/>
              <w:rPr>
                <w:color w:val="000000"/>
                <w:sz w:val="20"/>
              </w:rPr>
            </w:pPr>
            <w:r w:rsidRPr="007B5F87">
              <w:rPr>
                <w:color w:val="000000"/>
                <w:sz w:val="20"/>
              </w:rPr>
              <w:t>21,955</w:t>
            </w:r>
          </w:p>
        </w:tc>
        <w:tc>
          <w:tcPr>
            <w:tcW w:w="1303" w:type="dxa"/>
            <w:shd w:val="clear" w:color="auto" w:fill="auto"/>
            <w:noWrap/>
            <w:vAlign w:val="bottom"/>
          </w:tcPr>
          <w:p w14:paraId="03D871E6" w14:textId="5A254075" w:rsidR="007B5F87" w:rsidRPr="007B5F87" w:rsidRDefault="007B5F87" w:rsidP="00502C08">
            <w:pPr>
              <w:pBdr>
                <w:bottom w:val="double" w:sz="4" w:space="1" w:color="auto"/>
              </w:pBdr>
              <w:spacing w:before="40"/>
              <w:jc w:val="right"/>
              <w:rPr>
                <w:color w:val="000000"/>
                <w:sz w:val="20"/>
              </w:rPr>
            </w:pPr>
            <w:r w:rsidRPr="007B5F87">
              <w:rPr>
                <w:color w:val="000000"/>
                <w:sz w:val="20"/>
              </w:rPr>
              <w:t>2,223</w:t>
            </w:r>
          </w:p>
        </w:tc>
        <w:tc>
          <w:tcPr>
            <w:tcW w:w="1815" w:type="dxa"/>
            <w:shd w:val="clear" w:color="auto" w:fill="auto"/>
            <w:noWrap/>
            <w:vAlign w:val="bottom"/>
          </w:tcPr>
          <w:p w14:paraId="21963616" w14:textId="6226B3F3" w:rsidR="007B5F87" w:rsidRPr="007B5F87" w:rsidRDefault="007B5F87" w:rsidP="00502C08">
            <w:pPr>
              <w:pBdr>
                <w:bottom w:val="double" w:sz="4" w:space="1" w:color="auto"/>
              </w:pBdr>
              <w:spacing w:before="40"/>
              <w:jc w:val="right"/>
              <w:rPr>
                <w:color w:val="000000"/>
                <w:sz w:val="20"/>
              </w:rPr>
            </w:pPr>
            <w:r w:rsidRPr="007B5F87">
              <w:rPr>
                <w:color w:val="000000"/>
                <w:sz w:val="20"/>
              </w:rPr>
              <w:t>(6,696)</w:t>
            </w:r>
          </w:p>
        </w:tc>
        <w:tc>
          <w:tcPr>
            <w:tcW w:w="1134" w:type="dxa"/>
            <w:shd w:val="clear" w:color="auto" w:fill="auto"/>
            <w:noWrap/>
            <w:vAlign w:val="bottom"/>
          </w:tcPr>
          <w:p w14:paraId="1AA59FF1" w14:textId="7E503045" w:rsidR="007B5F87" w:rsidRPr="007B5F87" w:rsidRDefault="007B5F87" w:rsidP="00502C08">
            <w:pPr>
              <w:pBdr>
                <w:bottom w:val="double" w:sz="4" w:space="1" w:color="auto"/>
              </w:pBdr>
              <w:spacing w:before="40"/>
              <w:jc w:val="right"/>
              <w:rPr>
                <w:color w:val="000000"/>
                <w:sz w:val="20"/>
              </w:rPr>
            </w:pPr>
            <w:r w:rsidRPr="007B5F87">
              <w:rPr>
                <w:color w:val="000000"/>
                <w:sz w:val="20"/>
              </w:rPr>
              <w:t>627,247</w:t>
            </w:r>
          </w:p>
        </w:tc>
        <w:tc>
          <w:tcPr>
            <w:tcW w:w="1757" w:type="dxa"/>
            <w:shd w:val="clear" w:color="auto" w:fill="auto"/>
            <w:noWrap/>
            <w:vAlign w:val="bottom"/>
          </w:tcPr>
          <w:p w14:paraId="5EF5B1FF" w14:textId="19D60B43" w:rsidR="007B5F87" w:rsidRPr="007B5F87" w:rsidRDefault="007B5F87" w:rsidP="00502C08">
            <w:pPr>
              <w:pBdr>
                <w:bottom w:val="double" w:sz="4" w:space="1" w:color="auto"/>
              </w:pBdr>
              <w:spacing w:before="40"/>
              <w:jc w:val="right"/>
              <w:rPr>
                <w:color w:val="000000"/>
                <w:sz w:val="20"/>
              </w:rPr>
            </w:pPr>
            <w:r w:rsidRPr="007B5F87">
              <w:rPr>
                <w:color w:val="000000"/>
                <w:sz w:val="20"/>
              </w:rPr>
              <w:t>1,057,456</w:t>
            </w:r>
          </w:p>
        </w:tc>
        <w:tc>
          <w:tcPr>
            <w:tcW w:w="1134" w:type="dxa"/>
            <w:shd w:val="clear" w:color="auto" w:fill="auto"/>
            <w:noWrap/>
            <w:vAlign w:val="bottom"/>
          </w:tcPr>
          <w:p w14:paraId="12BA6E7D" w14:textId="57B5C392" w:rsidR="007B5F87" w:rsidRPr="007B5F87" w:rsidRDefault="007B5F87" w:rsidP="00502C08">
            <w:pPr>
              <w:pBdr>
                <w:bottom w:val="double" w:sz="4" w:space="1" w:color="auto"/>
              </w:pBdr>
              <w:spacing w:before="40"/>
              <w:jc w:val="right"/>
              <w:rPr>
                <w:color w:val="000000"/>
                <w:sz w:val="20"/>
              </w:rPr>
            </w:pPr>
            <w:r w:rsidRPr="007B5F87">
              <w:rPr>
                <w:color w:val="000000"/>
                <w:sz w:val="20"/>
              </w:rPr>
              <w:t>7,788</w:t>
            </w:r>
          </w:p>
        </w:tc>
        <w:tc>
          <w:tcPr>
            <w:tcW w:w="1134" w:type="dxa"/>
            <w:shd w:val="clear" w:color="auto" w:fill="auto"/>
            <w:noWrap/>
            <w:vAlign w:val="bottom"/>
          </w:tcPr>
          <w:p w14:paraId="152D65A3" w14:textId="2A12568B" w:rsidR="007B5F87" w:rsidRPr="007B5F87" w:rsidRDefault="007B5F87" w:rsidP="00502C08">
            <w:pPr>
              <w:pBdr>
                <w:bottom w:val="double" w:sz="4" w:space="1" w:color="auto"/>
              </w:pBdr>
              <w:spacing w:before="40"/>
              <w:jc w:val="right"/>
              <w:rPr>
                <w:color w:val="000000"/>
                <w:sz w:val="20"/>
              </w:rPr>
            </w:pPr>
            <w:r w:rsidRPr="007B5F87">
              <w:rPr>
                <w:color w:val="000000"/>
                <w:sz w:val="20"/>
              </w:rPr>
              <w:t>1,065,244</w:t>
            </w:r>
          </w:p>
        </w:tc>
      </w:tr>
    </w:tbl>
    <w:p w14:paraId="00AFF560" w14:textId="77777777" w:rsidR="00C77F1D" w:rsidRDefault="00C77F1D" w:rsidP="00F00E32">
      <w:pPr>
        <w:rPr>
          <w:sz w:val="20"/>
        </w:rPr>
      </w:pPr>
    </w:p>
    <w:p w14:paraId="6AB851A6" w14:textId="77777777" w:rsidR="003B2B96" w:rsidRDefault="003B2B96" w:rsidP="00F00E32">
      <w:pPr>
        <w:rPr>
          <w:sz w:val="20"/>
        </w:rPr>
      </w:pPr>
    </w:p>
    <w:p w14:paraId="735E8C4D" w14:textId="6B316C3C" w:rsidR="00F00E32" w:rsidRDefault="00513FAC" w:rsidP="00F00E32">
      <w:pPr>
        <w:rPr>
          <w:spacing w:val="-2"/>
          <w:sz w:val="20"/>
        </w:rPr>
      </w:pPr>
      <w:r>
        <w:rPr>
          <w:sz w:val="20"/>
        </w:rPr>
        <w:t>The accompanying notes are an integral part of these consolidated financial statements.</w:t>
      </w:r>
    </w:p>
    <w:p w14:paraId="3D84848C" w14:textId="2E690609" w:rsidR="00F00E32" w:rsidRPr="00F00E32" w:rsidRDefault="00F00E32" w:rsidP="00F00E32">
      <w:pPr>
        <w:rPr>
          <w:spacing w:val="-2"/>
          <w:sz w:val="20"/>
        </w:rPr>
        <w:sectPr w:rsidR="00F00E32" w:rsidRPr="00F00E32" w:rsidSect="00593E8F">
          <w:headerReference w:type="default" r:id="rId21"/>
          <w:endnotePr>
            <w:numFmt w:val="lowerLetter"/>
          </w:endnotePr>
          <w:type w:val="nextColumn"/>
          <w:pgSz w:w="16838" w:h="11906" w:orient="landscape"/>
          <w:pgMar w:top="1134" w:right="1134" w:bottom="1134" w:left="1134" w:header="567" w:footer="567" w:gutter="0"/>
          <w:paperSrc w:first="15" w:other="15"/>
          <w:cols w:space="720"/>
          <w:bidi/>
          <w:docGrid w:linePitch="326"/>
        </w:sectPr>
      </w:pPr>
    </w:p>
    <w:p w14:paraId="6751832D" w14:textId="77777777" w:rsidR="002E76E0" w:rsidRPr="00897811" w:rsidRDefault="002E76E0" w:rsidP="008D6B13">
      <w:pPr>
        <w:outlineLvl w:val="2"/>
        <w:rPr>
          <w:b/>
          <w:bCs/>
          <w:color w:val="FFFFFF" w:themeColor="background1"/>
          <w:sz w:val="20"/>
          <w:szCs w:val="22"/>
        </w:rPr>
      </w:pPr>
      <w:bookmarkStart w:id="18" w:name="H2_Consolidated_statement_of_cash_flows_"/>
      <w:r w:rsidRPr="00897811">
        <w:rPr>
          <w:b/>
          <w:bCs/>
          <w:color w:val="FFFFFF" w:themeColor="background1"/>
          <w:sz w:val="20"/>
          <w:szCs w:val="22"/>
        </w:rPr>
        <w:lastRenderedPageBreak/>
        <w:t xml:space="preserve">Consolidated statement of cash flows for the year ended December 31,   </w:t>
      </w:r>
    </w:p>
    <w:p w14:paraId="6081358D" w14:textId="5627AD5A" w:rsidR="00E6453F" w:rsidRPr="00E6453F" w:rsidRDefault="00E6453F" w:rsidP="00E6453F">
      <w:pPr>
        <w:rPr>
          <w:bCs/>
          <w:i/>
          <w:iCs/>
          <w:sz w:val="18"/>
        </w:rPr>
      </w:pPr>
      <w:r w:rsidRPr="00F02921">
        <w:rPr>
          <w:rStyle w:val="Koteret"/>
          <w:b w:val="0"/>
          <w:bCs/>
          <w:i/>
          <w:iCs/>
        </w:rPr>
        <w:t>In thousands of Euros</w:t>
      </w:r>
    </w:p>
    <w:tbl>
      <w:tblPr>
        <w:tblW w:w="9953" w:type="dxa"/>
        <w:tblLayout w:type="fixed"/>
        <w:tblLook w:val="06A0" w:firstRow="1" w:lastRow="0" w:firstColumn="1" w:lastColumn="0" w:noHBand="1" w:noVBand="1"/>
        <w:tblCaption w:val="AHR01"/>
        <w:tblDescription w:val="Consolidated statement of cash flows"/>
      </w:tblPr>
      <w:tblGrid>
        <w:gridCol w:w="6212"/>
        <w:gridCol w:w="1247"/>
        <w:gridCol w:w="1247"/>
        <w:gridCol w:w="1247"/>
      </w:tblGrid>
      <w:tr w:rsidR="003B2B96" w:rsidRPr="00866299" w14:paraId="5F2B4149" w14:textId="77777777" w:rsidTr="006909F2">
        <w:trPr>
          <w:cantSplit/>
          <w:trHeight w:val="266"/>
          <w:tblHeader/>
        </w:trPr>
        <w:tc>
          <w:tcPr>
            <w:tcW w:w="6212" w:type="dxa"/>
            <w:shd w:val="clear" w:color="auto" w:fill="auto"/>
            <w:vAlign w:val="bottom"/>
            <w:hideMark/>
          </w:tcPr>
          <w:p w14:paraId="1FDDB824" w14:textId="77777777" w:rsidR="003B2B96" w:rsidRPr="00866299" w:rsidRDefault="003B2B96" w:rsidP="003B2B96">
            <w:pPr>
              <w:spacing w:before="40"/>
              <w:rPr>
                <w:rFonts w:asciiTheme="majorBidi" w:hAnsiTheme="majorBidi" w:cstheme="majorBidi"/>
                <w:b/>
                <w:bCs/>
                <w:sz w:val="20"/>
              </w:rPr>
            </w:pPr>
            <w:bookmarkStart w:id="19" w:name="Title_7" w:colFirst="0" w:colLast="0"/>
            <w:bookmarkEnd w:id="18"/>
          </w:p>
        </w:tc>
        <w:tc>
          <w:tcPr>
            <w:tcW w:w="1247" w:type="dxa"/>
            <w:shd w:val="clear" w:color="auto" w:fill="auto"/>
            <w:vAlign w:val="bottom"/>
            <w:hideMark/>
          </w:tcPr>
          <w:p w14:paraId="17EE0948" w14:textId="5C741E6B" w:rsidR="003B2B96" w:rsidRPr="00AB623D" w:rsidRDefault="003B2B96" w:rsidP="003B2B96">
            <w:pPr>
              <w:pBdr>
                <w:bottom w:val="single" w:sz="4" w:space="0" w:color="000000"/>
              </w:pBdr>
              <w:bidi/>
              <w:spacing w:before="40"/>
              <w:ind w:left="57"/>
              <w:jc w:val="center"/>
              <w:rPr>
                <w:rFonts w:asciiTheme="majorBidi" w:hAnsiTheme="majorBidi" w:cstheme="majorBidi"/>
                <w:b/>
                <w:bCs/>
                <w:color w:val="000000"/>
                <w:sz w:val="18"/>
                <w:szCs w:val="18"/>
                <w:lang w:bidi="he-IL"/>
              </w:rPr>
            </w:pPr>
            <w:r w:rsidRPr="00AB623D">
              <w:rPr>
                <w:rFonts w:asciiTheme="majorBidi" w:hAnsiTheme="majorBidi" w:cstheme="majorBidi"/>
                <w:b/>
                <w:bCs/>
                <w:color w:val="000000"/>
                <w:sz w:val="18"/>
                <w:szCs w:val="18"/>
                <w:lang w:bidi="he-IL"/>
              </w:rPr>
              <w:t>2024</w:t>
            </w:r>
          </w:p>
        </w:tc>
        <w:tc>
          <w:tcPr>
            <w:tcW w:w="1247" w:type="dxa"/>
            <w:shd w:val="clear" w:color="auto" w:fill="auto"/>
            <w:vAlign w:val="bottom"/>
            <w:hideMark/>
          </w:tcPr>
          <w:p w14:paraId="21E6DE95" w14:textId="3CC58839" w:rsidR="003B2B96" w:rsidRPr="00866299" w:rsidRDefault="003B2B96" w:rsidP="003B2B96">
            <w:pPr>
              <w:pBdr>
                <w:bottom w:val="single" w:sz="4" w:space="0" w:color="000000"/>
              </w:pBdr>
              <w:bidi/>
              <w:spacing w:before="40"/>
              <w:ind w:left="57"/>
              <w:jc w:val="center"/>
              <w:rPr>
                <w:rFonts w:asciiTheme="majorBidi" w:hAnsiTheme="majorBidi" w:cstheme="majorBidi"/>
                <w:b/>
                <w:bCs/>
                <w:sz w:val="18"/>
                <w:szCs w:val="18"/>
                <w:rtl/>
                <w:lang w:bidi="he-IL"/>
              </w:rPr>
            </w:pPr>
            <w:r>
              <w:rPr>
                <w:rFonts w:asciiTheme="majorBidi" w:hAnsiTheme="majorBidi" w:cstheme="majorBidi"/>
                <w:b/>
                <w:bCs/>
                <w:color w:val="000000"/>
                <w:sz w:val="18"/>
                <w:szCs w:val="18"/>
                <w:lang w:bidi="he-IL"/>
              </w:rPr>
              <w:t>2023</w:t>
            </w:r>
          </w:p>
        </w:tc>
        <w:tc>
          <w:tcPr>
            <w:tcW w:w="1247" w:type="dxa"/>
            <w:shd w:val="clear" w:color="auto" w:fill="auto"/>
            <w:vAlign w:val="bottom"/>
            <w:hideMark/>
          </w:tcPr>
          <w:p w14:paraId="30F5C249" w14:textId="21DD5871" w:rsidR="003B2B96" w:rsidRPr="00866299" w:rsidRDefault="003B2B96" w:rsidP="003B2B96">
            <w:pPr>
              <w:pBdr>
                <w:bottom w:val="single" w:sz="4" w:space="0" w:color="000000"/>
              </w:pBdr>
              <w:bidi/>
              <w:spacing w:before="40"/>
              <w:ind w:left="57"/>
              <w:jc w:val="center"/>
              <w:rPr>
                <w:rFonts w:asciiTheme="majorBidi" w:hAnsiTheme="majorBidi" w:cstheme="majorBidi"/>
                <w:b/>
                <w:bCs/>
                <w:sz w:val="18"/>
                <w:szCs w:val="18"/>
              </w:rPr>
            </w:pPr>
            <w:r>
              <w:rPr>
                <w:rFonts w:asciiTheme="majorBidi" w:hAnsiTheme="majorBidi" w:cstheme="majorBidi"/>
                <w:b/>
                <w:bCs/>
                <w:color w:val="000000"/>
                <w:sz w:val="18"/>
                <w:szCs w:val="18"/>
              </w:rPr>
              <w:t>2022</w:t>
            </w:r>
          </w:p>
        </w:tc>
      </w:tr>
      <w:bookmarkEnd w:id="19"/>
      <w:tr w:rsidR="003B2B96" w:rsidRPr="00866299" w14:paraId="3C24087E" w14:textId="77777777" w:rsidTr="006909F2">
        <w:trPr>
          <w:cantSplit/>
          <w:trHeight w:val="266"/>
        </w:trPr>
        <w:tc>
          <w:tcPr>
            <w:tcW w:w="6212" w:type="dxa"/>
            <w:shd w:val="clear" w:color="auto" w:fill="auto"/>
            <w:vAlign w:val="bottom"/>
          </w:tcPr>
          <w:p w14:paraId="6E595C2C" w14:textId="54AC383B" w:rsidR="003B2B96" w:rsidRPr="00866299" w:rsidRDefault="003B2B96" w:rsidP="003B2B96">
            <w:pPr>
              <w:spacing w:before="40"/>
              <w:rPr>
                <w:rFonts w:asciiTheme="majorBidi" w:hAnsiTheme="majorBidi" w:cstheme="majorBidi"/>
                <w:b/>
                <w:bCs/>
                <w:color w:val="000000"/>
                <w:sz w:val="20"/>
              </w:rPr>
            </w:pPr>
            <w:r w:rsidRPr="00866299">
              <w:rPr>
                <w:rFonts w:asciiTheme="majorBidi" w:hAnsiTheme="majorBidi" w:cstheme="majorBidi"/>
                <w:b/>
                <w:bCs/>
                <w:color w:val="000000"/>
                <w:sz w:val="20"/>
              </w:rPr>
              <w:t>Cash flows from operating activities</w:t>
            </w:r>
          </w:p>
        </w:tc>
        <w:tc>
          <w:tcPr>
            <w:tcW w:w="1247" w:type="dxa"/>
            <w:shd w:val="clear" w:color="auto" w:fill="auto"/>
            <w:noWrap/>
            <w:vAlign w:val="bottom"/>
          </w:tcPr>
          <w:p w14:paraId="7532096E" w14:textId="77777777" w:rsidR="003B2B96" w:rsidRPr="00AB623D" w:rsidRDefault="003B2B96" w:rsidP="00AB623D">
            <w:pPr>
              <w:bidi/>
              <w:spacing w:before="40"/>
              <w:ind w:left="57"/>
              <w:jc w:val="center"/>
              <w:rPr>
                <w:rFonts w:asciiTheme="majorBidi" w:hAnsiTheme="majorBidi" w:cstheme="majorBidi"/>
                <w:b/>
                <w:bCs/>
                <w:color w:val="000000"/>
                <w:sz w:val="18"/>
                <w:szCs w:val="18"/>
                <w:lang w:bidi="he-IL"/>
              </w:rPr>
            </w:pPr>
          </w:p>
        </w:tc>
        <w:tc>
          <w:tcPr>
            <w:tcW w:w="1247" w:type="dxa"/>
            <w:shd w:val="clear" w:color="auto" w:fill="auto"/>
            <w:noWrap/>
            <w:vAlign w:val="bottom"/>
          </w:tcPr>
          <w:p w14:paraId="1BA0AE22" w14:textId="77777777" w:rsidR="003B2B96" w:rsidRPr="00866299" w:rsidRDefault="003B2B96" w:rsidP="003B2B96">
            <w:pPr>
              <w:spacing w:before="40"/>
              <w:jc w:val="right"/>
              <w:rPr>
                <w:rFonts w:asciiTheme="majorBidi" w:hAnsiTheme="majorBidi" w:cstheme="majorBidi"/>
                <w:color w:val="000000"/>
                <w:sz w:val="20"/>
              </w:rPr>
            </w:pPr>
          </w:p>
        </w:tc>
        <w:tc>
          <w:tcPr>
            <w:tcW w:w="1247" w:type="dxa"/>
            <w:shd w:val="clear" w:color="auto" w:fill="auto"/>
            <w:noWrap/>
            <w:vAlign w:val="bottom"/>
          </w:tcPr>
          <w:p w14:paraId="7E451ADA" w14:textId="77777777" w:rsidR="003B2B96" w:rsidRPr="00866299" w:rsidRDefault="003B2B96" w:rsidP="003B2B96">
            <w:pPr>
              <w:spacing w:before="40"/>
              <w:jc w:val="right"/>
              <w:rPr>
                <w:rFonts w:asciiTheme="majorBidi" w:hAnsiTheme="majorBidi" w:cstheme="majorBidi"/>
                <w:color w:val="000000"/>
                <w:sz w:val="20"/>
              </w:rPr>
            </w:pPr>
          </w:p>
        </w:tc>
      </w:tr>
      <w:tr w:rsidR="00AB623D" w:rsidRPr="00866299" w14:paraId="78C51702" w14:textId="77777777" w:rsidTr="006909F2">
        <w:trPr>
          <w:trHeight w:val="266"/>
        </w:trPr>
        <w:tc>
          <w:tcPr>
            <w:tcW w:w="6212" w:type="dxa"/>
            <w:shd w:val="clear" w:color="auto" w:fill="auto"/>
            <w:vAlign w:val="bottom"/>
          </w:tcPr>
          <w:p w14:paraId="19747466" w14:textId="3317BD83" w:rsidR="00AB623D" w:rsidRPr="00866299" w:rsidRDefault="00AB623D" w:rsidP="00AB623D">
            <w:pPr>
              <w:spacing w:before="40"/>
              <w:rPr>
                <w:rFonts w:asciiTheme="majorBidi" w:hAnsiTheme="majorBidi" w:cstheme="majorBidi"/>
                <w:color w:val="000000"/>
                <w:sz w:val="20"/>
              </w:rPr>
            </w:pPr>
            <w:r w:rsidRPr="00866299">
              <w:rPr>
                <w:rFonts w:asciiTheme="majorBidi" w:hAnsiTheme="majorBidi" w:cstheme="majorBidi"/>
                <w:color w:val="000000"/>
                <w:sz w:val="20"/>
              </w:rPr>
              <w:t>Profit</w:t>
            </w:r>
            <w:r>
              <w:rPr>
                <w:rFonts w:asciiTheme="majorBidi" w:hAnsiTheme="majorBidi" w:cstheme="majorBidi"/>
                <w:color w:val="000000"/>
                <w:sz w:val="20"/>
              </w:rPr>
              <w:t xml:space="preserve"> </w:t>
            </w:r>
            <w:r w:rsidRPr="00866299">
              <w:rPr>
                <w:rFonts w:asciiTheme="majorBidi" w:hAnsiTheme="majorBidi" w:cstheme="majorBidi"/>
                <w:color w:val="000000"/>
                <w:sz w:val="20"/>
              </w:rPr>
              <w:t>for the year</w:t>
            </w:r>
          </w:p>
        </w:tc>
        <w:tc>
          <w:tcPr>
            <w:tcW w:w="1247" w:type="dxa"/>
            <w:shd w:val="clear" w:color="auto" w:fill="auto"/>
            <w:noWrap/>
            <w:vAlign w:val="bottom"/>
          </w:tcPr>
          <w:p w14:paraId="23A22F98" w14:textId="2D37C564" w:rsidR="00AB623D" w:rsidRPr="00AB623D" w:rsidRDefault="00AB623D" w:rsidP="00AB623D">
            <w:pPr>
              <w:spacing w:before="40"/>
              <w:jc w:val="right"/>
              <w:rPr>
                <w:rFonts w:asciiTheme="majorBidi" w:hAnsiTheme="majorBidi" w:cstheme="majorBidi"/>
                <w:color w:val="000000"/>
                <w:sz w:val="18"/>
                <w:szCs w:val="18"/>
              </w:rPr>
            </w:pPr>
            <w:r w:rsidRPr="00AB623D">
              <w:rPr>
                <w:rFonts w:asciiTheme="majorBidi" w:hAnsiTheme="majorBidi" w:cstheme="majorBidi"/>
                <w:color w:val="000000"/>
                <w:sz w:val="18"/>
                <w:szCs w:val="18"/>
              </w:rPr>
              <w:t>108,254</w:t>
            </w:r>
          </w:p>
        </w:tc>
        <w:tc>
          <w:tcPr>
            <w:tcW w:w="1247" w:type="dxa"/>
            <w:shd w:val="clear" w:color="auto" w:fill="auto"/>
            <w:noWrap/>
            <w:vAlign w:val="bottom"/>
          </w:tcPr>
          <w:p w14:paraId="20089916" w14:textId="2BBB0600" w:rsidR="00AB623D" w:rsidRPr="00844735" w:rsidRDefault="00AB623D" w:rsidP="00AB623D">
            <w:pPr>
              <w:spacing w:before="40"/>
              <w:jc w:val="right"/>
              <w:rPr>
                <w:rFonts w:asciiTheme="majorBidi" w:hAnsiTheme="majorBidi" w:cstheme="majorBidi"/>
                <w:color w:val="000000"/>
                <w:sz w:val="20"/>
              </w:rPr>
            </w:pPr>
            <w:r w:rsidRPr="009645F5">
              <w:rPr>
                <w:rFonts w:asciiTheme="majorBidi" w:hAnsiTheme="majorBidi" w:cstheme="majorBidi"/>
                <w:color w:val="000000"/>
                <w:sz w:val="18"/>
                <w:szCs w:val="18"/>
              </w:rPr>
              <w:t>11,835</w:t>
            </w:r>
          </w:p>
        </w:tc>
        <w:tc>
          <w:tcPr>
            <w:tcW w:w="1247" w:type="dxa"/>
            <w:shd w:val="clear" w:color="auto" w:fill="auto"/>
            <w:noWrap/>
            <w:vAlign w:val="bottom"/>
          </w:tcPr>
          <w:p w14:paraId="04E5A3AF" w14:textId="35E15EFF" w:rsidR="00AB623D" w:rsidRPr="00866299" w:rsidRDefault="00AB623D" w:rsidP="00AB623D">
            <w:pPr>
              <w:spacing w:before="40"/>
              <w:jc w:val="right"/>
              <w:rPr>
                <w:rFonts w:asciiTheme="majorBidi" w:hAnsiTheme="majorBidi" w:cstheme="majorBidi"/>
                <w:color w:val="000000"/>
                <w:sz w:val="20"/>
              </w:rPr>
            </w:pPr>
            <w:r w:rsidRPr="00844735">
              <w:rPr>
                <w:rFonts w:asciiTheme="majorBidi" w:hAnsiTheme="majorBidi" w:cstheme="majorBidi"/>
                <w:color w:val="000000"/>
                <w:sz w:val="18"/>
                <w:szCs w:val="18"/>
              </w:rPr>
              <w:t>78,020</w:t>
            </w:r>
          </w:p>
        </w:tc>
      </w:tr>
      <w:tr w:rsidR="00AB623D" w:rsidRPr="00866299" w14:paraId="55158559" w14:textId="77777777" w:rsidTr="006909F2">
        <w:trPr>
          <w:trHeight w:val="266"/>
        </w:trPr>
        <w:tc>
          <w:tcPr>
            <w:tcW w:w="6212" w:type="dxa"/>
            <w:shd w:val="clear" w:color="auto" w:fill="auto"/>
            <w:vAlign w:val="bottom"/>
          </w:tcPr>
          <w:p w14:paraId="36F1A9C0" w14:textId="2D415B4E" w:rsidR="00AB623D" w:rsidRPr="002B698D" w:rsidRDefault="00AB623D" w:rsidP="00AB623D">
            <w:pPr>
              <w:spacing w:before="40"/>
              <w:rPr>
                <w:rFonts w:asciiTheme="majorBidi" w:hAnsiTheme="majorBidi" w:cstheme="majorBidi"/>
                <w:color w:val="000000"/>
                <w:sz w:val="20"/>
                <w:u w:val="single"/>
              </w:rPr>
            </w:pPr>
            <w:r w:rsidRPr="002B698D">
              <w:rPr>
                <w:rFonts w:asciiTheme="majorBidi" w:hAnsiTheme="majorBidi" w:cstheme="majorBidi"/>
                <w:color w:val="000000"/>
                <w:sz w:val="20"/>
                <w:u w:val="single"/>
              </w:rPr>
              <w:t>Adjustment for:</w:t>
            </w:r>
          </w:p>
        </w:tc>
        <w:tc>
          <w:tcPr>
            <w:tcW w:w="1247" w:type="dxa"/>
            <w:shd w:val="clear" w:color="auto" w:fill="auto"/>
            <w:noWrap/>
            <w:vAlign w:val="bottom"/>
          </w:tcPr>
          <w:p w14:paraId="7009EB1C" w14:textId="77777777" w:rsidR="00AB623D" w:rsidRPr="00AB623D" w:rsidRDefault="00AB623D" w:rsidP="00AB623D">
            <w:pPr>
              <w:spacing w:before="40"/>
              <w:jc w:val="right"/>
              <w:rPr>
                <w:rFonts w:asciiTheme="majorBidi" w:hAnsiTheme="majorBidi" w:cstheme="majorBidi"/>
                <w:color w:val="000000"/>
                <w:sz w:val="18"/>
                <w:szCs w:val="18"/>
              </w:rPr>
            </w:pPr>
          </w:p>
        </w:tc>
        <w:tc>
          <w:tcPr>
            <w:tcW w:w="1247" w:type="dxa"/>
            <w:shd w:val="clear" w:color="auto" w:fill="auto"/>
            <w:noWrap/>
            <w:vAlign w:val="bottom"/>
          </w:tcPr>
          <w:p w14:paraId="478D927F" w14:textId="77777777" w:rsidR="00AB623D" w:rsidRPr="00844735" w:rsidRDefault="00AB623D" w:rsidP="00AB623D">
            <w:pPr>
              <w:spacing w:before="40"/>
              <w:jc w:val="right"/>
              <w:rPr>
                <w:rFonts w:asciiTheme="majorBidi" w:hAnsiTheme="majorBidi" w:cstheme="majorBidi"/>
                <w:sz w:val="20"/>
              </w:rPr>
            </w:pPr>
          </w:p>
        </w:tc>
        <w:tc>
          <w:tcPr>
            <w:tcW w:w="1247" w:type="dxa"/>
            <w:shd w:val="clear" w:color="auto" w:fill="auto"/>
            <w:noWrap/>
            <w:vAlign w:val="bottom"/>
          </w:tcPr>
          <w:p w14:paraId="1D39FFC2" w14:textId="77777777" w:rsidR="00AB623D" w:rsidRPr="00866299" w:rsidRDefault="00AB623D" w:rsidP="00AB623D">
            <w:pPr>
              <w:spacing w:before="40"/>
              <w:jc w:val="right"/>
              <w:rPr>
                <w:rFonts w:asciiTheme="majorBidi" w:hAnsiTheme="majorBidi" w:cstheme="majorBidi"/>
                <w:sz w:val="20"/>
              </w:rPr>
            </w:pPr>
          </w:p>
        </w:tc>
      </w:tr>
      <w:tr w:rsidR="00AB623D" w:rsidRPr="00866299" w14:paraId="1488EC1A" w14:textId="77777777" w:rsidTr="006909F2">
        <w:trPr>
          <w:trHeight w:val="266"/>
        </w:trPr>
        <w:tc>
          <w:tcPr>
            <w:tcW w:w="6212" w:type="dxa"/>
            <w:shd w:val="clear" w:color="auto" w:fill="auto"/>
            <w:vAlign w:val="bottom"/>
            <w:hideMark/>
          </w:tcPr>
          <w:p w14:paraId="130482A5" w14:textId="094B6AED" w:rsidR="00AB623D" w:rsidRPr="00866299" w:rsidRDefault="00AB623D" w:rsidP="00AB623D">
            <w:pPr>
              <w:spacing w:before="40"/>
              <w:rPr>
                <w:rFonts w:asciiTheme="majorBidi" w:hAnsiTheme="majorBidi" w:cstheme="majorBidi"/>
                <w:sz w:val="20"/>
                <w:u w:val="single"/>
              </w:rPr>
            </w:pPr>
            <w:r w:rsidRPr="00866299">
              <w:rPr>
                <w:rFonts w:asciiTheme="majorBidi" w:hAnsiTheme="majorBidi" w:cstheme="majorBidi"/>
                <w:color w:val="000000"/>
                <w:sz w:val="20"/>
              </w:rPr>
              <w:t>Depreciation</w:t>
            </w:r>
          </w:p>
        </w:tc>
        <w:tc>
          <w:tcPr>
            <w:tcW w:w="1247" w:type="dxa"/>
            <w:shd w:val="clear" w:color="auto" w:fill="auto"/>
            <w:noWrap/>
            <w:vAlign w:val="bottom"/>
          </w:tcPr>
          <w:p w14:paraId="2F149CDB" w14:textId="3DC732F3" w:rsidR="00AB623D" w:rsidRPr="00AB623D" w:rsidRDefault="00AB623D" w:rsidP="00AB623D">
            <w:pPr>
              <w:spacing w:before="40"/>
              <w:jc w:val="right"/>
              <w:rPr>
                <w:rFonts w:asciiTheme="majorBidi" w:hAnsiTheme="majorBidi" w:cstheme="majorBidi"/>
                <w:color w:val="000000"/>
                <w:sz w:val="18"/>
                <w:szCs w:val="18"/>
              </w:rPr>
            </w:pPr>
            <w:r w:rsidRPr="00AB623D">
              <w:rPr>
                <w:rFonts w:asciiTheme="majorBidi" w:hAnsiTheme="majorBidi" w:cstheme="majorBidi"/>
                <w:color w:val="000000"/>
                <w:sz w:val="18"/>
                <w:szCs w:val="18"/>
              </w:rPr>
              <w:t>1,213</w:t>
            </w:r>
          </w:p>
        </w:tc>
        <w:tc>
          <w:tcPr>
            <w:tcW w:w="1247" w:type="dxa"/>
            <w:shd w:val="clear" w:color="auto" w:fill="auto"/>
            <w:noWrap/>
            <w:vAlign w:val="bottom"/>
          </w:tcPr>
          <w:p w14:paraId="44D237C7" w14:textId="22061B47" w:rsidR="00AB623D" w:rsidRPr="00844735" w:rsidRDefault="00AB623D" w:rsidP="00AB623D">
            <w:pPr>
              <w:spacing w:before="40"/>
              <w:jc w:val="right"/>
              <w:rPr>
                <w:rFonts w:asciiTheme="majorBidi" w:hAnsiTheme="majorBidi" w:cstheme="majorBidi"/>
                <w:sz w:val="20"/>
              </w:rPr>
            </w:pPr>
            <w:r w:rsidRPr="0095659A">
              <w:rPr>
                <w:sz w:val="20"/>
              </w:rPr>
              <w:t>840</w:t>
            </w:r>
          </w:p>
        </w:tc>
        <w:tc>
          <w:tcPr>
            <w:tcW w:w="1247" w:type="dxa"/>
            <w:shd w:val="clear" w:color="auto" w:fill="auto"/>
            <w:noWrap/>
            <w:vAlign w:val="bottom"/>
          </w:tcPr>
          <w:p w14:paraId="4FB2AC4D" w14:textId="4C1B3E5A" w:rsidR="00AB623D" w:rsidRPr="00866299" w:rsidRDefault="00AB623D" w:rsidP="00AB623D">
            <w:pPr>
              <w:spacing w:before="40"/>
              <w:jc w:val="right"/>
              <w:rPr>
                <w:rFonts w:asciiTheme="majorBidi" w:hAnsiTheme="majorBidi" w:cstheme="majorBidi"/>
                <w:sz w:val="20"/>
              </w:rPr>
            </w:pPr>
            <w:r w:rsidRPr="00844735">
              <w:rPr>
                <w:sz w:val="20"/>
              </w:rPr>
              <w:t>803</w:t>
            </w:r>
          </w:p>
        </w:tc>
      </w:tr>
      <w:tr w:rsidR="00AB623D" w:rsidRPr="00866299" w14:paraId="3552C53A" w14:textId="77777777" w:rsidTr="006909F2">
        <w:trPr>
          <w:trHeight w:val="266"/>
        </w:trPr>
        <w:tc>
          <w:tcPr>
            <w:tcW w:w="6212" w:type="dxa"/>
            <w:shd w:val="clear" w:color="auto" w:fill="auto"/>
            <w:vAlign w:val="bottom"/>
            <w:hideMark/>
          </w:tcPr>
          <w:p w14:paraId="63D66B06" w14:textId="673297ED" w:rsidR="00AB623D" w:rsidRPr="00866299" w:rsidRDefault="00AB623D" w:rsidP="00AB623D">
            <w:pPr>
              <w:spacing w:before="40"/>
              <w:rPr>
                <w:rFonts w:asciiTheme="majorBidi" w:hAnsiTheme="majorBidi" w:cstheme="majorBidi"/>
                <w:sz w:val="20"/>
              </w:rPr>
            </w:pPr>
            <w:r>
              <w:rPr>
                <w:rFonts w:asciiTheme="majorBidi" w:hAnsiTheme="majorBidi" w:cstheme="majorBidi"/>
                <w:color w:val="000000"/>
                <w:sz w:val="20"/>
              </w:rPr>
              <w:t>Gain</w:t>
            </w:r>
            <w:r w:rsidRPr="00F93DC5">
              <w:rPr>
                <w:rFonts w:asciiTheme="majorBidi" w:hAnsiTheme="majorBidi" w:cstheme="majorBidi"/>
                <w:color w:val="000000"/>
                <w:sz w:val="20"/>
              </w:rPr>
              <w:t xml:space="preserve"> from disposa</w:t>
            </w:r>
            <w:r>
              <w:rPr>
                <w:rFonts w:asciiTheme="majorBidi" w:hAnsiTheme="majorBidi" w:cstheme="majorBidi"/>
                <w:color w:val="000000"/>
                <w:sz w:val="20"/>
              </w:rPr>
              <w:t>l</w:t>
            </w:r>
            <w:r w:rsidRPr="00F93DC5">
              <w:rPr>
                <w:rFonts w:asciiTheme="majorBidi" w:hAnsiTheme="majorBidi" w:cstheme="majorBidi"/>
                <w:color w:val="000000"/>
                <w:sz w:val="20"/>
              </w:rPr>
              <w:t xml:space="preserve"> of subsidiary, net</w:t>
            </w:r>
          </w:p>
        </w:tc>
        <w:tc>
          <w:tcPr>
            <w:tcW w:w="1247" w:type="dxa"/>
            <w:shd w:val="clear" w:color="auto" w:fill="auto"/>
            <w:noWrap/>
            <w:vAlign w:val="bottom"/>
          </w:tcPr>
          <w:p w14:paraId="33D4AD42" w14:textId="2A8A9024" w:rsidR="00AB623D" w:rsidRPr="00AB623D" w:rsidRDefault="00AB623D" w:rsidP="00AB623D">
            <w:pPr>
              <w:spacing w:before="40"/>
              <w:jc w:val="right"/>
              <w:rPr>
                <w:rFonts w:asciiTheme="majorBidi" w:hAnsiTheme="majorBidi" w:cstheme="majorBidi"/>
                <w:color w:val="000000"/>
                <w:sz w:val="18"/>
                <w:szCs w:val="18"/>
              </w:rPr>
            </w:pPr>
            <w:r w:rsidRPr="00AB623D">
              <w:rPr>
                <w:rFonts w:asciiTheme="majorBidi" w:hAnsiTheme="majorBidi" w:cstheme="majorBidi"/>
                <w:color w:val="000000"/>
                <w:sz w:val="18"/>
                <w:szCs w:val="18"/>
              </w:rPr>
              <w:t>-</w:t>
            </w:r>
          </w:p>
        </w:tc>
        <w:tc>
          <w:tcPr>
            <w:tcW w:w="1247" w:type="dxa"/>
            <w:shd w:val="clear" w:color="auto" w:fill="auto"/>
            <w:noWrap/>
            <w:vAlign w:val="bottom"/>
          </w:tcPr>
          <w:p w14:paraId="01077BEC" w14:textId="4C33E261" w:rsidR="00AB623D" w:rsidRPr="00844735" w:rsidRDefault="00AB623D" w:rsidP="00AB623D">
            <w:pPr>
              <w:spacing w:before="40"/>
              <w:jc w:val="right"/>
              <w:rPr>
                <w:rFonts w:asciiTheme="majorBidi" w:hAnsiTheme="majorBidi" w:cstheme="majorBidi"/>
                <w:sz w:val="20"/>
              </w:rPr>
            </w:pPr>
            <w:r w:rsidRPr="0095659A">
              <w:rPr>
                <w:sz w:val="20"/>
              </w:rPr>
              <w:t>-</w:t>
            </w:r>
          </w:p>
        </w:tc>
        <w:tc>
          <w:tcPr>
            <w:tcW w:w="1247" w:type="dxa"/>
            <w:shd w:val="clear" w:color="auto" w:fill="auto"/>
            <w:noWrap/>
            <w:vAlign w:val="bottom"/>
          </w:tcPr>
          <w:p w14:paraId="1729B007" w14:textId="45091CE9" w:rsidR="00AB623D" w:rsidRPr="00866299" w:rsidRDefault="00AB623D" w:rsidP="00AB623D">
            <w:pPr>
              <w:spacing w:before="40"/>
              <w:jc w:val="right"/>
              <w:rPr>
                <w:rFonts w:asciiTheme="majorBidi" w:hAnsiTheme="majorBidi" w:cstheme="majorBidi"/>
                <w:sz w:val="20"/>
              </w:rPr>
            </w:pPr>
            <w:r w:rsidRPr="00844735">
              <w:rPr>
                <w:sz w:val="20"/>
              </w:rPr>
              <w:t>(299)</w:t>
            </w:r>
          </w:p>
        </w:tc>
      </w:tr>
      <w:tr w:rsidR="00AB623D" w:rsidRPr="00866299" w14:paraId="46E95985" w14:textId="77777777" w:rsidTr="006909F2">
        <w:trPr>
          <w:trHeight w:val="266"/>
        </w:trPr>
        <w:tc>
          <w:tcPr>
            <w:tcW w:w="6212" w:type="dxa"/>
            <w:shd w:val="clear" w:color="auto" w:fill="auto"/>
            <w:vAlign w:val="bottom"/>
          </w:tcPr>
          <w:p w14:paraId="6FDE9C0D" w14:textId="2F447193" w:rsidR="00AB623D" w:rsidRPr="00866299" w:rsidRDefault="00AB623D" w:rsidP="00AB623D">
            <w:pPr>
              <w:spacing w:before="40"/>
              <w:rPr>
                <w:rFonts w:asciiTheme="majorBidi" w:hAnsiTheme="majorBidi" w:cstheme="majorBidi"/>
                <w:color w:val="000000"/>
                <w:sz w:val="20"/>
              </w:rPr>
            </w:pPr>
            <w:r>
              <w:rPr>
                <w:rFonts w:asciiTheme="majorBidi" w:hAnsiTheme="majorBidi" w:cstheme="majorBidi"/>
                <w:color w:val="000000"/>
                <w:sz w:val="20"/>
              </w:rPr>
              <w:t>S</w:t>
            </w:r>
            <w:r w:rsidRPr="00541143">
              <w:rPr>
                <w:rFonts w:asciiTheme="majorBidi" w:hAnsiTheme="majorBidi" w:cstheme="majorBidi"/>
                <w:color w:val="000000"/>
                <w:sz w:val="20"/>
              </w:rPr>
              <w:t>hare of losses (earnings) of companies accounted for at equity, net</w:t>
            </w:r>
          </w:p>
        </w:tc>
        <w:tc>
          <w:tcPr>
            <w:tcW w:w="1247" w:type="dxa"/>
            <w:shd w:val="clear" w:color="auto" w:fill="auto"/>
            <w:noWrap/>
            <w:vAlign w:val="bottom"/>
          </w:tcPr>
          <w:p w14:paraId="4A159988" w14:textId="20C88C86" w:rsidR="00AB623D" w:rsidRPr="00AB623D" w:rsidRDefault="00AB623D" w:rsidP="00AB623D">
            <w:pPr>
              <w:spacing w:before="40"/>
              <w:jc w:val="right"/>
              <w:rPr>
                <w:rFonts w:asciiTheme="majorBidi" w:hAnsiTheme="majorBidi" w:cstheme="majorBidi"/>
                <w:color w:val="000000"/>
                <w:sz w:val="18"/>
                <w:szCs w:val="18"/>
              </w:rPr>
            </w:pPr>
            <w:r w:rsidRPr="00AB623D">
              <w:rPr>
                <w:rFonts w:asciiTheme="majorBidi" w:hAnsiTheme="majorBidi" w:cstheme="majorBidi"/>
                <w:color w:val="000000"/>
                <w:sz w:val="18"/>
                <w:szCs w:val="18"/>
              </w:rPr>
              <w:t>(23,938)</w:t>
            </w:r>
          </w:p>
        </w:tc>
        <w:tc>
          <w:tcPr>
            <w:tcW w:w="1247" w:type="dxa"/>
            <w:shd w:val="clear" w:color="auto" w:fill="auto"/>
            <w:noWrap/>
            <w:vAlign w:val="bottom"/>
          </w:tcPr>
          <w:p w14:paraId="39AFC528" w14:textId="02DEBDE1" w:rsidR="00AB623D" w:rsidRPr="00844735" w:rsidRDefault="00AB623D" w:rsidP="00AB623D">
            <w:pPr>
              <w:spacing w:before="40"/>
              <w:jc w:val="right"/>
              <w:rPr>
                <w:rFonts w:asciiTheme="majorBidi" w:hAnsiTheme="majorBidi" w:cstheme="majorBidi"/>
                <w:color w:val="000000"/>
                <w:sz w:val="20"/>
              </w:rPr>
            </w:pPr>
            <w:r w:rsidRPr="0095659A">
              <w:rPr>
                <w:sz w:val="20"/>
              </w:rPr>
              <w:t>20</w:t>
            </w:r>
          </w:p>
        </w:tc>
        <w:tc>
          <w:tcPr>
            <w:tcW w:w="1247" w:type="dxa"/>
            <w:shd w:val="clear" w:color="auto" w:fill="auto"/>
            <w:noWrap/>
            <w:vAlign w:val="bottom"/>
          </w:tcPr>
          <w:p w14:paraId="272B65B3" w14:textId="141155BA" w:rsidR="00AB623D" w:rsidRPr="00F17A8B" w:rsidRDefault="00AB623D" w:rsidP="00AB623D">
            <w:pPr>
              <w:spacing w:before="40"/>
              <w:jc w:val="right"/>
              <w:rPr>
                <w:rFonts w:asciiTheme="majorBidi" w:hAnsiTheme="majorBidi" w:cstheme="majorBidi"/>
                <w:color w:val="000000"/>
                <w:sz w:val="20"/>
              </w:rPr>
            </w:pPr>
            <w:r w:rsidRPr="00844735">
              <w:rPr>
                <w:sz w:val="20"/>
              </w:rPr>
              <w:t>1,200</w:t>
            </w:r>
          </w:p>
        </w:tc>
      </w:tr>
      <w:tr w:rsidR="00AB623D" w:rsidRPr="00866299" w14:paraId="27EC7A5B" w14:textId="77777777" w:rsidTr="006909F2">
        <w:trPr>
          <w:trHeight w:val="134"/>
        </w:trPr>
        <w:tc>
          <w:tcPr>
            <w:tcW w:w="6212" w:type="dxa"/>
            <w:shd w:val="clear" w:color="auto" w:fill="auto"/>
            <w:vAlign w:val="bottom"/>
            <w:hideMark/>
          </w:tcPr>
          <w:p w14:paraId="43650864" w14:textId="3F229735" w:rsidR="00AB623D" w:rsidRPr="00866299" w:rsidRDefault="00AB623D" w:rsidP="00AB623D">
            <w:pPr>
              <w:spacing w:before="40"/>
              <w:rPr>
                <w:rFonts w:asciiTheme="majorBidi" w:hAnsiTheme="majorBidi" w:cstheme="majorBidi"/>
                <w:sz w:val="20"/>
              </w:rPr>
            </w:pPr>
            <w:r w:rsidRPr="00866299">
              <w:rPr>
                <w:rFonts w:asciiTheme="majorBidi" w:hAnsiTheme="majorBidi" w:cstheme="majorBidi"/>
                <w:sz w:val="20"/>
                <w:lang w:bidi="he-IL"/>
              </w:rPr>
              <w:t>Change in fair value of investment property under development</w:t>
            </w:r>
          </w:p>
        </w:tc>
        <w:tc>
          <w:tcPr>
            <w:tcW w:w="1247" w:type="dxa"/>
            <w:shd w:val="clear" w:color="auto" w:fill="auto"/>
            <w:noWrap/>
            <w:vAlign w:val="bottom"/>
          </w:tcPr>
          <w:p w14:paraId="15FFBD02" w14:textId="48C3A32E" w:rsidR="00AB623D" w:rsidRPr="00AB623D" w:rsidRDefault="00AB623D" w:rsidP="00AB623D">
            <w:pPr>
              <w:spacing w:before="40"/>
              <w:jc w:val="right"/>
              <w:rPr>
                <w:rFonts w:asciiTheme="majorBidi" w:hAnsiTheme="majorBidi" w:cstheme="majorBidi"/>
                <w:color w:val="000000"/>
                <w:sz w:val="18"/>
                <w:szCs w:val="18"/>
              </w:rPr>
            </w:pPr>
            <w:r w:rsidRPr="00AB623D">
              <w:rPr>
                <w:rFonts w:asciiTheme="majorBidi" w:hAnsiTheme="majorBidi" w:cstheme="majorBidi"/>
                <w:color w:val="000000"/>
                <w:sz w:val="18"/>
                <w:szCs w:val="18"/>
              </w:rPr>
              <w:t>(6,246)</w:t>
            </w:r>
          </w:p>
        </w:tc>
        <w:tc>
          <w:tcPr>
            <w:tcW w:w="1247" w:type="dxa"/>
            <w:shd w:val="clear" w:color="auto" w:fill="auto"/>
            <w:noWrap/>
            <w:vAlign w:val="bottom"/>
          </w:tcPr>
          <w:p w14:paraId="0F02BB43" w14:textId="78127FCF" w:rsidR="00AB623D" w:rsidRPr="00844735" w:rsidRDefault="00AB623D" w:rsidP="00AB623D">
            <w:pPr>
              <w:spacing w:before="40"/>
              <w:jc w:val="right"/>
              <w:rPr>
                <w:rFonts w:asciiTheme="majorBidi" w:hAnsiTheme="majorBidi" w:cstheme="majorBidi"/>
                <w:sz w:val="20"/>
              </w:rPr>
            </w:pPr>
            <w:r w:rsidRPr="0095659A">
              <w:rPr>
                <w:sz w:val="20"/>
              </w:rPr>
              <w:t>(6,297)</w:t>
            </w:r>
          </w:p>
        </w:tc>
        <w:tc>
          <w:tcPr>
            <w:tcW w:w="1247" w:type="dxa"/>
            <w:shd w:val="clear" w:color="auto" w:fill="auto"/>
            <w:noWrap/>
            <w:vAlign w:val="bottom"/>
          </w:tcPr>
          <w:p w14:paraId="76D6C264" w14:textId="2E217735" w:rsidR="00AB623D" w:rsidRPr="00866299" w:rsidRDefault="00AB623D" w:rsidP="00AB623D">
            <w:pPr>
              <w:spacing w:before="40"/>
              <w:jc w:val="right"/>
              <w:rPr>
                <w:rFonts w:asciiTheme="majorBidi" w:hAnsiTheme="majorBidi" w:cstheme="majorBidi"/>
                <w:sz w:val="20"/>
              </w:rPr>
            </w:pPr>
            <w:r w:rsidRPr="00844735">
              <w:rPr>
                <w:sz w:val="20"/>
              </w:rPr>
              <w:t>(6,678)</w:t>
            </w:r>
          </w:p>
        </w:tc>
      </w:tr>
      <w:tr w:rsidR="00AB623D" w:rsidRPr="00866299" w14:paraId="359BD77C" w14:textId="77777777" w:rsidTr="006909F2">
        <w:trPr>
          <w:trHeight w:val="266"/>
        </w:trPr>
        <w:tc>
          <w:tcPr>
            <w:tcW w:w="6212" w:type="dxa"/>
            <w:shd w:val="clear" w:color="auto" w:fill="auto"/>
            <w:vAlign w:val="bottom"/>
            <w:hideMark/>
          </w:tcPr>
          <w:p w14:paraId="73263232" w14:textId="3EBE8453" w:rsidR="00AB623D" w:rsidRPr="00866299" w:rsidRDefault="00AB623D" w:rsidP="00AB623D">
            <w:pPr>
              <w:spacing w:before="40"/>
              <w:rPr>
                <w:rFonts w:asciiTheme="majorBidi" w:hAnsiTheme="majorBidi" w:cstheme="majorBidi"/>
                <w:sz w:val="20"/>
                <w:lang w:bidi="he-IL"/>
              </w:rPr>
            </w:pPr>
            <w:r w:rsidRPr="00866299">
              <w:rPr>
                <w:rFonts w:asciiTheme="majorBidi" w:hAnsiTheme="majorBidi" w:cstheme="majorBidi"/>
                <w:sz w:val="20"/>
                <w:lang w:bidi="he-IL"/>
              </w:rPr>
              <w:t>Change in fair value of investment property</w:t>
            </w:r>
          </w:p>
        </w:tc>
        <w:tc>
          <w:tcPr>
            <w:tcW w:w="1247" w:type="dxa"/>
            <w:shd w:val="clear" w:color="auto" w:fill="auto"/>
            <w:noWrap/>
            <w:vAlign w:val="bottom"/>
          </w:tcPr>
          <w:p w14:paraId="1B60AF0A" w14:textId="145805E3" w:rsidR="00AB623D" w:rsidRPr="00AB623D" w:rsidRDefault="00AB623D" w:rsidP="00AB623D">
            <w:pPr>
              <w:spacing w:before="40"/>
              <w:jc w:val="right"/>
              <w:rPr>
                <w:rFonts w:asciiTheme="majorBidi" w:hAnsiTheme="majorBidi" w:cstheme="majorBidi"/>
                <w:color w:val="000000"/>
                <w:sz w:val="18"/>
                <w:szCs w:val="18"/>
              </w:rPr>
            </w:pPr>
            <w:r w:rsidRPr="00AB623D">
              <w:rPr>
                <w:rFonts w:asciiTheme="majorBidi" w:hAnsiTheme="majorBidi" w:cstheme="majorBidi"/>
                <w:color w:val="000000"/>
                <w:sz w:val="18"/>
                <w:szCs w:val="18"/>
              </w:rPr>
              <w:t>(56,182)</w:t>
            </w:r>
          </w:p>
        </w:tc>
        <w:tc>
          <w:tcPr>
            <w:tcW w:w="1247" w:type="dxa"/>
            <w:shd w:val="clear" w:color="auto" w:fill="auto"/>
            <w:noWrap/>
            <w:vAlign w:val="bottom"/>
          </w:tcPr>
          <w:p w14:paraId="6727C44F" w14:textId="54E6EF9D" w:rsidR="00AB623D" w:rsidRPr="00844735" w:rsidRDefault="00AB623D" w:rsidP="00AB623D">
            <w:pPr>
              <w:spacing w:before="40"/>
              <w:jc w:val="right"/>
              <w:rPr>
                <w:rFonts w:asciiTheme="majorBidi" w:hAnsiTheme="majorBidi" w:cstheme="majorBidi"/>
                <w:sz w:val="20"/>
              </w:rPr>
            </w:pPr>
            <w:r w:rsidRPr="0095659A">
              <w:rPr>
                <w:sz w:val="20"/>
              </w:rPr>
              <w:t>25,539</w:t>
            </w:r>
          </w:p>
        </w:tc>
        <w:tc>
          <w:tcPr>
            <w:tcW w:w="1247" w:type="dxa"/>
            <w:shd w:val="clear" w:color="auto" w:fill="auto"/>
            <w:noWrap/>
            <w:vAlign w:val="bottom"/>
          </w:tcPr>
          <w:p w14:paraId="7BA2F4F2" w14:textId="581BF684" w:rsidR="00AB623D" w:rsidRPr="00866299" w:rsidRDefault="00AB623D" w:rsidP="00AB623D">
            <w:pPr>
              <w:spacing w:before="40"/>
              <w:jc w:val="right"/>
              <w:rPr>
                <w:rFonts w:asciiTheme="majorBidi" w:hAnsiTheme="majorBidi" w:cstheme="majorBidi"/>
                <w:sz w:val="20"/>
              </w:rPr>
            </w:pPr>
            <w:r w:rsidRPr="00844735">
              <w:rPr>
                <w:sz w:val="20"/>
              </w:rPr>
              <w:t>(24,343)</w:t>
            </w:r>
          </w:p>
        </w:tc>
      </w:tr>
      <w:tr w:rsidR="00AB623D" w:rsidRPr="00866299" w14:paraId="1D7EB312" w14:textId="77777777" w:rsidTr="006909F2">
        <w:trPr>
          <w:trHeight w:val="266"/>
        </w:trPr>
        <w:tc>
          <w:tcPr>
            <w:tcW w:w="6212" w:type="dxa"/>
            <w:shd w:val="clear" w:color="auto" w:fill="auto"/>
            <w:vAlign w:val="bottom"/>
            <w:hideMark/>
          </w:tcPr>
          <w:p w14:paraId="36A6755B" w14:textId="0C0DA3FF" w:rsidR="00AB623D" w:rsidRPr="00866299" w:rsidRDefault="00AB623D" w:rsidP="00AB623D">
            <w:pPr>
              <w:spacing w:before="40"/>
              <w:rPr>
                <w:rFonts w:asciiTheme="majorBidi" w:hAnsiTheme="majorBidi" w:cstheme="majorBidi"/>
                <w:sz w:val="20"/>
              </w:rPr>
            </w:pPr>
            <w:r w:rsidRPr="008E761A">
              <w:rPr>
                <w:rFonts w:asciiTheme="majorBidi" w:hAnsiTheme="majorBidi" w:cstheme="majorBidi"/>
                <w:sz w:val="20"/>
                <w:lang w:bidi="he-IL"/>
              </w:rPr>
              <w:t>Write-down of inventory to net realizable value</w:t>
            </w:r>
          </w:p>
        </w:tc>
        <w:tc>
          <w:tcPr>
            <w:tcW w:w="1247" w:type="dxa"/>
            <w:shd w:val="clear" w:color="auto" w:fill="auto"/>
            <w:noWrap/>
            <w:vAlign w:val="bottom"/>
          </w:tcPr>
          <w:p w14:paraId="2AF0FE93" w14:textId="1C569DBF" w:rsidR="00AB623D" w:rsidRPr="00AB623D" w:rsidRDefault="00AB623D" w:rsidP="00AB623D">
            <w:pPr>
              <w:spacing w:before="40"/>
              <w:jc w:val="right"/>
              <w:rPr>
                <w:rFonts w:asciiTheme="majorBidi" w:hAnsiTheme="majorBidi" w:cstheme="majorBidi"/>
                <w:color w:val="000000"/>
                <w:sz w:val="18"/>
                <w:szCs w:val="18"/>
              </w:rPr>
            </w:pPr>
            <w:r w:rsidRPr="00AB623D">
              <w:rPr>
                <w:rFonts w:asciiTheme="majorBidi" w:hAnsiTheme="majorBidi" w:cstheme="majorBidi"/>
                <w:color w:val="000000"/>
                <w:sz w:val="18"/>
                <w:szCs w:val="18"/>
              </w:rPr>
              <w:t>-</w:t>
            </w:r>
          </w:p>
        </w:tc>
        <w:tc>
          <w:tcPr>
            <w:tcW w:w="1247" w:type="dxa"/>
            <w:shd w:val="clear" w:color="auto" w:fill="auto"/>
            <w:noWrap/>
            <w:vAlign w:val="bottom"/>
          </w:tcPr>
          <w:p w14:paraId="7A63110F" w14:textId="43CD1D3D" w:rsidR="00AB623D" w:rsidRPr="00844735" w:rsidRDefault="00AB623D" w:rsidP="00AB623D">
            <w:pPr>
              <w:spacing w:before="40"/>
              <w:jc w:val="right"/>
              <w:rPr>
                <w:rFonts w:asciiTheme="majorBidi" w:hAnsiTheme="majorBidi" w:cstheme="majorBidi"/>
                <w:sz w:val="20"/>
              </w:rPr>
            </w:pPr>
            <w:r w:rsidRPr="0095659A">
              <w:rPr>
                <w:sz w:val="20"/>
              </w:rPr>
              <w:t>6,912</w:t>
            </w:r>
          </w:p>
        </w:tc>
        <w:tc>
          <w:tcPr>
            <w:tcW w:w="1247" w:type="dxa"/>
            <w:shd w:val="clear" w:color="auto" w:fill="auto"/>
            <w:noWrap/>
            <w:vAlign w:val="bottom"/>
          </w:tcPr>
          <w:p w14:paraId="45926D7A" w14:textId="042FD14C" w:rsidR="00AB623D" w:rsidRPr="00866299" w:rsidRDefault="00AB623D" w:rsidP="00AB623D">
            <w:pPr>
              <w:spacing w:before="40"/>
              <w:jc w:val="right"/>
              <w:rPr>
                <w:rFonts w:asciiTheme="majorBidi" w:hAnsiTheme="majorBidi" w:cstheme="majorBidi"/>
                <w:sz w:val="20"/>
              </w:rPr>
            </w:pPr>
            <w:r w:rsidRPr="00844735">
              <w:rPr>
                <w:sz w:val="20"/>
              </w:rPr>
              <w:t>9,017</w:t>
            </w:r>
          </w:p>
        </w:tc>
      </w:tr>
      <w:tr w:rsidR="00AB623D" w:rsidRPr="00866299" w14:paraId="6F972E1C" w14:textId="77777777" w:rsidTr="006909F2">
        <w:trPr>
          <w:trHeight w:val="266"/>
        </w:trPr>
        <w:tc>
          <w:tcPr>
            <w:tcW w:w="6212" w:type="dxa"/>
            <w:shd w:val="clear" w:color="auto" w:fill="auto"/>
            <w:vAlign w:val="bottom"/>
          </w:tcPr>
          <w:p w14:paraId="6A78725B" w14:textId="76CE295A" w:rsidR="00AB623D" w:rsidRPr="008E761A" w:rsidRDefault="00AB623D" w:rsidP="00AB623D">
            <w:pPr>
              <w:spacing w:before="40"/>
              <w:rPr>
                <w:rFonts w:asciiTheme="majorBidi" w:hAnsiTheme="majorBidi" w:cstheme="majorBidi"/>
                <w:sz w:val="20"/>
                <w:lang w:bidi="he-IL"/>
              </w:rPr>
            </w:pPr>
            <w:r w:rsidRPr="00334B8D">
              <w:rPr>
                <w:rFonts w:asciiTheme="majorBidi" w:hAnsiTheme="majorBidi" w:cstheme="majorBidi"/>
                <w:sz w:val="20"/>
                <w:lang w:bidi="he-IL"/>
              </w:rPr>
              <w:t>Share-based payment transactions</w:t>
            </w:r>
          </w:p>
        </w:tc>
        <w:tc>
          <w:tcPr>
            <w:tcW w:w="1247" w:type="dxa"/>
            <w:shd w:val="clear" w:color="auto" w:fill="auto"/>
            <w:noWrap/>
            <w:vAlign w:val="bottom"/>
          </w:tcPr>
          <w:p w14:paraId="29C7ECD2" w14:textId="7506E840" w:rsidR="00AB623D" w:rsidRPr="00AB623D" w:rsidRDefault="00AB623D" w:rsidP="00AB623D">
            <w:pPr>
              <w:spacing w:before="40"/>
              <w:jc w:val="right"/>
              <w:rPr>
                <w:rFonts w:asciiTheme="majorBidi" w:hAnsiTheme="majorBidi" w:cstheme="majorBidi"/>
                <w:color w:val="000000"/>
                <w:sz w:val="18"/>
                <w:szCs w:val="18"/>
              </w:rPr>
            </w:pPr>
            <w:r w:rsidRPr="00AB623D">
              <w:rPr>
                <w:rFonts w:asciiTheme="majorBidi" w:hAnsiTheme="majorBidi" w:cstheme="majorBidi"/>
                <w:color w:val="000000"/>
                <w:sz w:val="18"/>
                <w:szCs w:val="18"/>
              </w:rPr>
              <w:t>-</w:t>
            </w:r>
          </w:p>
        </w:tc>
        <w:tc>
          <w:tcPr>
            <w:tcW w:w="1247" w:type="dxa"/>
            <w:shd w:val="clear" w:color="auto" w:fill="auto"/>
            <w:noWrap/>
            <w:vAlign w:val="bottom"/>
          </w:tcPr>
          <w:p w14:paraId="75D4ED02" w14:textId="397CF241" w:rsidR="00AB623D" w:rsidRPr="00844735" w:rsidRDefault="00AB623D" w:rsidP="00AB623D">
            <w:pPr>
              <w:spacing w:before="40"/>
              <w:jc w:val="right"/>
              <w:rPr>
                <w:rFonts w:asciiTheme="majorBidi" w:hAnsiTheme="majorBidi" w:cstheme="majorBidi"/>
                <w:color w:val="000000"/>
                <w:sz w:val="20"/>
              </w:rPr>
            </w:pPr>
            <w:r w:rsidRPr="0095659A">
              <w:rPr>
                <w:sz w:val="20"/>
              </w:rPr>
              <w:t>-</w:t>
            </w:r>
          </w:p>
        </w:tc>
        <w:tc>
          <w:tcPr>
            <w:tcW w:w="1247" w:type="dxa"/>
            <w:shd w:val="clear" w:color="auto" w:fill="auto"/>
            <w:noWrap/>
            <w:vAlign w:val="bottom"/>
          </w:tcPr>
          <w:p w14:paraId="049552D3" w14:textId="39F48E2C" w:rsidR="00AB623D" w:rsidRDefault="00AB623D" w:rsidP="00AB623D">
            <w:pPr>
              <w:spacing w:before="40"/>
              <w:jc w:val="right"/>
              <w:rPr>
                <w:rFonts w:asciiTheme="majorBidi" w:hAnsiTheme="majorBidi" w:cstheme="majorBidi"/>
                <w:color w:val="000000"/>
                <w:sz w:val="20"/>
                <w:szCs w:val="16"/>
              </w:rPr>
            </w:pPr>
            <w:r w:rsidRPr="00844735">
              <w:rPr>
                <w:sz w:val="20"/>
              </w:rPr>
              <w:t>4,005</w:t>
            </w:r>
          </w:p>
        </w:tc>
      </w:tr>
      <w:tr w:rsidR="00AB623D" w:rsidRPr="00866299" w14:paraId="2BD3A047" w14:textId="77777777" w:rsidTr="006909F2">
        <w:trPr>
          <w:trHeight w:val="266"/>
        </w:trPr>
        <w:tc>
          <w:tcPr>
            <w:tcW w:w="6212" w:type="dxa"/>
            <w:shd w:val="clear" w:color="auto" w:fill="auto"/>
            <w:vAlign w:val="bottom"/>
          </w:tcPr>
          <w:p w14:paraId="118B5D23" w14:textId="121204BD" w:rsidR="00AB623D" w:rsidRPr="00334B8D" w:rsidRDefault="00AB623D" w:rsidP="00AB623D">
            <w:pPr>
              <w:spacing w:before="40"/>
              <w:rPr>
                <w:rFonts w:asciiTheme="majorBidi" w:hAnsiTheme="majorBidi" w:cstheme="majorBidi"/>
                <w:sz w:val="20"/>
                <w:lang w:bidi="he-IL"/>
              </w:rPr>
            </w:pPr>
            <w:r w:rsidRPr="00866299">
              <w:rPr>
                <w:rFonts w:asciiTheme="majorBidi" w:hAnsiTheme="majorBidi" w:cstheme="majorBidi"/>
                <w:color w:val="000000"/>
                <w:sz w:val="20"/>
              </w:rPr>
              <w:t>Net finance costs</w:t>
            </w:r>
          </w:p>
        </w:tc>
        <w:tc>
          <w:tcPr>
            <w:tcW w:w="1247" w:type="dxa"/>
            <w:shd w:val="clear" w:color="auto" w:fill="auto"/>
            <w:noWrap/>
            <w:vAlign w:val="bottom"/>
          </w:tcPr>
          <w:p w14:paraId="2A80CEAC" w14:textId="5DD934AF" w:rsidR="00AB623D" w:rsidRPr="00AB623D" w:rsidRDefault="00AB623D" w:rsidP="00AB623D">
            <w:pPr>
              <w:spacing w:before="40"/>
              <w:jc w:val="right"/>
              <w:rPr>
                <w:rFonts w:asciiTheme="majorBidi" w:hAnsiTheme="majorBidi" w:cstheme="majorBidi"/>
                <w:color w:val="000000"/>
                <w:sz w:val="18"/>
                <w:szCs w:val="18"/>
              </w:rPr>
            </w:pPr>
            <w:r w:rsidRPr="00AB623D">
              <w:rPr>
                <w:rFonts w:asciiTheme="majorBidi" w:hAnsiTheme="majorBidi" w:cstheme="majorBidi"/>
                <w:color w:val="000000"/>
                <w:sz w:val="18"/>
                <w:szCs w:val="18"/>
              </w:rPr>
              <w:t>115,383</w:t>
            </w:r>
          </w:p>
        </w:tc>
        <w:tc>
          <w:tcPr>
            <w:tcW w:w="1247" w:type="dxa"/>
            <w:shd w:val="clear" w:color="auto" w:fill="auto"/>
            <w:noWrap/>
            <w:vAlign w:val="bottom"/>
          </w:tcPr>
          <w:p w14:paraId="2A8576D9" w14:textId="75FEEFC5" w:rsidR="00AB623D" w:rsidRPr="00844735" w:rsidRDefault="00AB623D" w:rsidP="00AB623D">
            <w:pPr>
              <w:spacing w:before="40"/>
              <w:jc w:val="right"/>
              <w:rPr>
                <w:rFonts w:asciiTheme="majorBidi" w:hAnsiTheme="majorBidi" w:cstheme="majorBidi"/>
                <w:color w:val="000000"/>
                <w:sz w:val="20"/>
              </w:rPr>
            </w:pPr>
            <w:r w:rsidRPr="0095659A">
              <w:rPr>
                <w:sz w:val="20"/>
              </w:rPr>
              <w:t>96,666</w:t>
            </w:r>
          </w:p>
        </w:tc>
        <w:tc>
          <w:tcPr>
            <w:tcW w:w="1247" w:type="dxa"/>
            <w:shd w:val="clear" w:color="auto" w:fill="auto"/>
            <w:noWrap/>
            <w:vAlign w:val="bottom"/>
          </w:tcPr>
          <w:p w14:paraId="5D2D3EEB" w14:textId="72FAB1B6" w:rsidR="00AB623D" w:rsidRDefault="00AB623D" w:rsidP="00AB623D">
            <w:pPr>
              <w:spacing w:before="40"/>
              <w:jc w:val="right"/>
              <w:rPr>
                <w:rFonts w:asciiTheme="majorBidi" w:hAnsiTheme="majorBidi" w:cstheme="majorBidi"/>
                <w:color w:val="000000"/>
                <w:sz w:val="20"/>
                <w:szCs w:val="16"/>
              </w:rPr>
            </w:pPr>
            <w:r w:rsidRPr="00844735">
              <w:rPr>
                <w:sz w:val="20"/>
              </w:rPr>
              <w:t>31,876</w:t>
            </w:r>
          </w:p>
        </w:tc>
      </w:tr>
      <w:tr w:rsidR="00AB623D" w:rsidRPr="00866299" w14:paraId="28AC3934" w14:textId="77777777" w:rsidTr="006909F2">
        <w:trPr>
          <w:trHeight w:val="266"/>
        </w:trPr>
        <w:tc>
          <w:tcPr>
            <w:tcW w:w="6212" w:type="dxa"/>
            <w:shd w:val="clear" w:color="auto" w:fill="auto"/>
            <w:vAlign w:val="bottom"/>
            <w:hideMark/>
          </w:tcPr>
          <w:p w14:paraId="00D08E93" w14:textId="07C449ED" w:rsidR="00AB623D" w:rsidRPr="00866299" w:rsidRDefault="00AB623D" w:rsidP="00AB623D">
            <w:pPr>
              <w:spacing w:before="40"/>
              <w:rPr>
                <w:rFonts w:asciiTheme="majorBidi" w:hAnsiTheme="majorBidi" w:cstheme="majorBidi"/>
                <w:sz w:val="20"/>
              </w:rPr>
            </w:pPr>
            <w:r w:rsidRPr="007E393D">
              <w:rPr>
                <w:rFonts w:asciiTheme="majorBidi" w:hAnsiTheme="majorBidi" w:cstheme="majorBidi"/>
                <w:color w:val="000000"/>
                <w:sz w:val="20"/>
              </w:rPr>
              <w:t>Taxes on income</w:t>
            </w:r>
          </w:p>
        </w:tc>
        <w:tc>
          <w:tcPr>
            <w:tcW w:w="1247" w:type="dxa"/>
            <w:shd w:val="clear" w:color="auto" w:fill="auto"/>
            <w:noWrap/>
            <w:vAlign w:val="bottom"/>
          </w:tcPr>
          <w:p w14:paraId="5BFA3B13" w14:textId="20ABDA07" w:rsidR="00AB623D" w:rsidRPr="00AB623D" w:rsidRDefault="00AB623D" w:rsidP="00AB623D">
            <w:pPr>
              <w:pBdr>
                <w:bottom w:val="single" w:sz="4" w:space="1" w:color="auto"/>
              </w:pBdr>
              <w:spacing w:before="40"/>
              <w:jc w:val="right"/>
              <w:rPr>
                <w:color w:val="000000"/>
                <w:sz w:val="20"/>
              </w:rPr>
            </w:pPr>
            <w:r w:rsidRPr="00AB623D">
              <w:rPr>
                <w:color w:val="000000"/>
                <w:sz w:val="20"/>
              </w:rPr>
              <w:t>34,513</w:t>
            </w:r>
          </w:p>
        </w:tc>
        <w:tc>
          <w:tcPr>
            <w:tcW w:w="1247" w:type="dxa"/>
            <w:shd w:val="clear" w:color="auto" w:fill="auto"/>
            <w:noWrap/>
            <w:vAlign w:val="bottom"/>
          </w:tcPr>
          <w:p w14:paraId="29B91F0C" w14:textId="16808982" w:rsidR="00AB623D" w:rsidRPr="00844735" w:rsidRDefault="00AB623D" w:rsidP="00AB623D">
            <w:pPr>
              <w:pBdr>
                <w:bottom w:val="single" w:sz="4" w:space="1" w:color="auto"/>
              </w:pBdr>
              <w:spacing w:before="40"/>
              <w:jc w:val="right"/>
              <w:rPr>
                <w:rFonts w:asciiTheme="majorBidi" w:hAnsiTheme="majorBidi" w:cstheme="majorBidi"/>
                <w:sz w:val="20"/>
              </w:rPr>
            </w:pPr>
            <w:r w:rsidRPr="009645F5">
              <w:rPr>
                <w:color w:val="000000"/>
                <w:sz w:val="20"/>
              </w:rPr>
              <w:t xml:space="preserve">11,586 </w:t>
            </w:r>
          </w:p>
        </w:tc>
        <w:tc>
          <w:tcPr>
            <w:tcW w:w="1247" w:type="dxa"/>
            <w:shd w:val="clear" w:color="auto" w:fill="auto"/>
            <w:noWrap/>
            <w:vAlign w:val="bottom"/>
          </w:tcPr>
          <w:p w14:paraId="3DE8D7D1" w14:textId="03B19295" w:rsidR="00AB623D" w:rsidRPr="00866299" w:rsidRDefault="00AB623D" w:rsidP="00AB623D">
            <w:pPr>
              <w:pBdr>
                <w:bottom w:val="single" w:sz="4" w:space="1" w:color="auto"/>
              </w:pBdr>
              <w:spacing w:before="40"/>
              <w:jc w:val="right"/>
              <w:rPr>
                <w:rFonts w:asciiTheme="majorBidi" w:hAnsiTheme="majorBidi" w:cstheme="majorBidi"/>
                <w:sz w:val="20"/>
              </w:rPr>
            </w:pPr>
            <w:r w:rsidRPr="00844735">
              <w:rPr>
                <w:color w:val="000000"/>
                <w:sz w:val="20"/>
              </w:rPr>
              <w:t>24,665</w:t>
            </w:r>
          </w:p>
        </w:tc>
      </w:tr>
      <w:tr w:rsidR="00AB623D" w:rsidRPr="00866299" w14:paraId="35BC1A65" w14:textId="77777777" w:rsidTr="006909F2">
        <w:trPr>
          <w:trHeight w:val="266"/>
        </w:trPr>
        <w:tc>
          <w:tcPr>
            <w:tcW w:w="6212" w:type="dxa"/>
            <w:shd w:val="clear" w:color="auto" w:fill="auto"/>
            <w:vAlign w:val="bottom"/>
            <w:hideMark/>
          </w:tcPr>
          <w:p w14:paraId="721B5648" w14:textId="385D0D3F" w:rsidR="00AB623D" w:rsidRPr="00866299" w:rsidRDefault="00AB623D" w:rsidP="00AB623D">
            <w:pPr>
              <w:spacing w:before="40"/>
              <w:rPr>
                <w:rFonts w:asciiTheme="majorBidi" w:hAnsiTheme="majorBidi" w:cstheme="majorBidi"/>
                <w:sz w:val="20"/>
              </w:rPr>
            </w:pPr>
          </w:p>
        </w:tc>
        <w:tc>
          <w:tcPr>
            <w:tcW w:w="1247" w:type="dxa"/>
            <w:shd w:val="clear" w:color="auto" w:fill="auto"/>
            <w:noWrap/>
            <w:vAlign w:val="bottom"/>
          </w:tcPr>
          <w:p w14:paraId="1DC9F28F" w14:textId="2B4083E1" w:rsidR="00AB623D" w:rsidRPr="00AB623D" w:rsidRDefault="00AB623D" w:rsidP="00AB623D">
            <w:pPr>
              <w:spacing w:before="40"/>
              <w:jc w:val="right"/>
              <w:rPr>
                <w:rFonts w:asciiTheme="majorBidi" w:hAnsiTheme="majorBidi" w:cstheme="majorBidi"/>
                <w:color w:val="000000"/>
                <w:sz w:val="18"/>
                <w:szCs w:val="18"/>
              </w:rPr>
            </w:pPr>
            <w:r w:rsidRPr="00AB623D">
              <w:rPr>
                <w:rFonts w:asciiTheme="majorBidi" w:hAnsiTheme="majorBidi" w:cstheme="majorBidi"/>
                <w:color w:val="000000"/>
                <w:sz w:val="18"/>
                <w:szCs w:val="18"/>
              </w:rPr>
              <w:t>172,997</w:t>
            </w:r>
          </w:p>
        </w:tc>
        <w:tc>
          <w:tcPr>
            <w:tcW w:w="1247" w:type="dxa"/>
            <w:shd w:val="clear" w:color="auto" w:fill="auto"/>
            <w:noWrap/>
            <w:vAlign w:val="bottom"/>
          </w:tcPr>
          <w:p w14:paraId="676B08BA" w14:textId="4E5121A4" w:rsidR="00AB623D" w:rsidRPr="00844735" w:rsidRDefault="00AB623D" w:rsidP="00AB623D">
            <w:pPr>
              <w:spacing w:before="40"/>
              <w:jc w:val="right"/>
              <w:rPr>
                <w:rFonts w:asciiTheme="majorBidi" w:hAnsiTheme="majorBidi" w:cstheme="majorBidi"/>
                <w:sz w:val="20"/>
                <w:szCs w:val="16"/>
              </w:rPr>
            </w:pPr>
            <w:r w:rsidRPr="003A3CFD">
              <w:rPr>
                <w:sz w:val="20"/>
              </w:rPr>
              <w:t xml:space="preserve">147,101 </w:t>
            </w:r>
          </w:p>
        </w:tc>
        <w:tc>
          <w:tcPr>
            <w:tcW w:w="1247" w:type="dxa"/>
            <w:shd w:val="clear" w:color="auto" w:fill="auto"/>
            <w:noWrap/>
            <w:vAlign w:val="bottom"/>
          </w:tcPr>
          <w:p w14:paraId="103AAAEE" w14:textId="05FC532E" w:rsidR="00AB623D" w:rsidRPr="00866299" w:rsidRDefault="00AB623D" w:rsidP="00AB623D">
            <w:pPr>
              <w:spacing w:before="40"/>
              <w:jc w:val="right"/>
              <w:rPr>
                <w:rFonts w:asciiTheme="majorBidi" w:hAnsiTheme="majorBidi" w:cstheme="majorBidi"/>
                <w:sz w:val="20"/>
              </w:rPr>
            </w:pPr>
            <w:r w:rsidRPr="00844735">
              <w:rPr>
                <w:sz w:val="20"/>
              </w:rPr>
              <w:t>118,266</w:t>
            </w:r>
          </w:p>
        </w:tc>
      </w:tr>
      <w:tr w:rsidR="00AB623D" w:rsidRPr="00866299" w14:paraId="7B8A6F30" w14:textId="77777777" w:rsidTr="006909F2">
        <w:trPr>
          <w:trHeight w:val="266"/>
        </w:trPr>
        <w:tc>
          <w:tcPr>
            <w:tcW w:w="6212" w:type="dxa"/>
            <w:shd w:val="clear" w:color="auto" w:fill="auto"/>
            <w:vAlign w:val="bottom"/>
            <w:hideMark/>
          </w:tcPr>
          <w:p w14:paraId="0C4D556F" w14:textId="69FE2AC1" w:rsidR="00AB623D" w:rsidRPr="00866299" w:rsidRDefault="00AB623D" w:rsidP="00AB623D">
            <w:pPr>
              <w:spacing w:before="40"/>
              <w:rPr>
                <w:rFonts w:asciiTheme="majorBidi" w:hAnsiTheme="majorBidi" w:cstheme="majorBidi"/>
                <w:sz w:val="20"/>
              </w:rPr>
            </w:pPr>
            <w:r w:rsidRPr="002B698D">
              <w:rPr>
                <w:rFonts w:asciiTheme="majorBidi" w:hAnsiTheme="majorBidi" w:cstheme="majorBidi"/>
                <w:color w:val="000000"/>
                <w:sz w:val="20"/>
              </w:rPr>
              <w:t xml:space="preserve">Change in </w:t>
            </w:r>
            <w:r>
              <w:rPr>
                <w:rFonts w:asciiTheme="majorBidi" w:hAnsiTheme="majorBidi" w:cstheme="majorBidi"/>
                <w:color w:val="000000"/>
                <w:sz w:val="20"/>
              </w:rPr>
              <w:t>i</w:t>
            </w:r>
            <w:r w:rsidRPr="002B698D">
              <w:rPr>
                <w:rFonts w:asciiTheme="majorBidi" w:hAnsiTheme="majorBidi" w:cstheme="majorBidi"/>
                <w:color w:val="000000"/>
                <w:sz w:val="20"/>
              </w:rPr>
              <w:t>nventories</w:t>
            </w:r>
          </w:p>
        </w:tc>
        <w:tc>
          <w:tcPr>
            <w:tcW w:w="1247" w:type="dxa"/>
            <w:shd w:val="clear" w:color="auto" w:fill="auto"/>
            <w:noWrap/>
            <w:vAlign w:val="bottom"/>
          </w:tcPr>
          <w:p w14:paraId="0DD33468" w14:textId="651020C8" w:rsidR="00AB623D" w:rsidRPr="00AB623D" w:rsidRDefault="00AB623D" w:rsidP="00AB623D">
            <w:pPr>
              <w:spacing w:before="40"/>
              <w:jc w:val="right"/>
              <w:rPr>
                <w:rFonts w:asciiTheme="majorBidi" w:hAnsiTheme="majorBidi" w:cstheme="majorBidi"/>
                <w:color w:val="000000"/>
                <w:sz w:val="18"/>
                <w:szCs w:val="18"/>
              </w:rPr>
            </w:pPr>
            <w:r w:rsidRPr="00AB623D">
              <w:rPr>
                <w:rFonts w:asciiTheme="majorBidi" w:hAnsiTheme="majorBidi" w:cstheme="majorBidi"/>
                <w:color w:val="000000"/>
                <w:sz w:val="18"/>
                <w:szCs w:val="18"/>
              </w:rPr>
              <w:t>(3,574)</w:t>
            </w:r>
          </w:p>
        </w:tc>
        <w:tc>
          <w:tcPr>
            <w:tcW w:w="1247" w:type="dxa"/>
            <w:shd w:val="clear" w:color="auto" w:fill="auto"/>
            <w:noWrap/>
            <w:vAlign w:val="bottom"/>
          </w:tcPr>
          <w:p w14:paraId="7A8E2C48" w14:textId="3C0FB705" w:rsidR="00AB623D" w:rsidRPr="00844735" w:rsidRDefault="00AB623D" w:rsidP="00AB623D">
            <w:pPr>
              <w:spacing w:before="40"/>
              <w:jc w:val="right"/>
              <w:rPr>
                <w:rFonts w:asciiTheme="majorBidi" w:hAnsiTheme="majorBidi" w:cstheme="majorBidi"/>
                <w:sz w:val="20"/>
              </w:rPr>
            </w:pPr>
            <w:r w:rsidRPr="009645F5">
              <w:rPr>
                <w:sz w:val="20"/>
              </w:rPr>
              <w:t>(7,286)</w:t>
            </w:r>
          </w:p>
        </w:tc>
        <w:tc>
          <w:tcPr>
            <w:tcW w:w="1247" w:type="dxa"/>
            <w:shd w:val="clear" w:color="auto" w:fill="auto"/>
            <w:noWrap/>
            <w:vAlign w:val="bottom"/>
          </w:tcPr>
          <w:p w14:paraId="3B45B055" w14:textId="3F2D037B" w:rsidR="00AB623D" w:rsidRPr="00866299" w:rsidRDefault="00AB623D" w:rsidP="00AB623D">
            <w:pPr>
              <w:spacing w:before="40"/>
              <w:jc w:val="right"/>
              <w:rPr>
                <w:rFonts w:asciiTheme="majorBidi" w:hAnsiTheme="majorBidi" w:cstheme="majorBidi"/>
                <w:sz w:val="20"/>
              </w:rPr>
            </w:pPr>
            <w:r w:rsidRPr="00844735">
              <w:rPr>
                <w:sz w:val="20"/>
              </w:rPr>
              <w:t>(15,831)</w:t>
            </w:r>
          </w:p>
        </w:tc>
      </w:tr>
      <w:tr w:rsidR="00AB623D" w:rsidRPr="00866299" w14:paraId="73317C77" w14:textId="77777777" w:rsidTr="006909F2">
        <w:trPr>
          <w:trHeight w:val="266"/>
        </w:trPr>
        <w:tc>
          <w:tcPr>
            <w:tcW w:w="6212" w:type="dxa"/>
            <w:shd w:val="clear" w:color="auto" w:fill="auto"/>
            <w:vAlign w:val="bottom"/>
            <w:hideMark/>
          </w:tcPr>
          <w:p w14:paraId="08D87B21" w14:textId="3323FCD6" w:rsidR="00AB623D" w:rsidRPr="002B698D" w:rsidRDefault="00AB623D" w:rsidP="00AB623D">
            <w:pPr>
              <w:spacing w:before="40"/>
              <w:rPr>
                <w:rFonts w:asciiTheme="majorBidi" w:hAnsiTheme="majorBidi" w:cstheme="majorBidi"/>
                <w:sz w:val="20"/>
              </w:rPr>
            </w:pPr>
            <w:r w:rsidRPr="002B698D">
              <w:rPr>
                <w:rFonts w:asciiTheme="majorBidi" w:hAnsiTheme="majorBidi" w:cstheme="majorBidi"/>
                <w:color w:val="000000"/>
                <w:sz w:val="20"/>
              </w:rPr>
              <w:t>Change in trade and other receivables</w:t>
            </w:r>
          </w:p>
        </w:tc>
        <w:tc>
          <w:tcPr>
            <w:tcW w:w="1247" w:type="dxa"/>
            <w:shd w:val="clear" w:color="auto" w:fill="auto"/>
            <w:noWrap/>
            <w:vAlign w:val="bottom"/>
          </w:tcPr>
          <w:p w14:paraId="73F849AC" w14:textId="7B4AA872" w:rsidR="00AB623D" w:rsidRPr="00AB623D" w:rsidRDefault="00AB623D" w:rsidP="00AB623D">
            <w:pPr>
              <w:spacing w:before="40"/>
              <w:jc w:val="right"/>
              <w:rPr>
                <w:rFonts w:asciiTheme="majorBidi" w:hAnsiTheme="majorBidi" w:cstheme="majorBidi"/>
                <w:color w:val="000000"/>
                <w:sz w:val="18"/>
                <w:szCs w:val="18"/>
              </w:rPr>
            </w:pPr>
            <w:r w:rsidRPr="00AB623D">
              <w:rPr>
                <w:rFonts w:asciiTheme="majorBidi" w:hAnsiTheme="majorBidi" w:cstheme="majorBidi"/>
                <w:color w:val="000000"/>
                <w:sz w:val="18"/>
                <w:szCs w:val="18"/>
              </w:rPr>
              <w:t>11,534</w:t>
            </w:r>
          </w:p>
        </w:tc>
        <w:tc>
          <w:tcPr>
            <w:tcW w:w="1247" w:type="dxa"/>
            <w:shd w:val="clear" w:color="auto" w:fill="auto"/>
            <w:noWrap/>
            <w:vAlign w:val="bottom"/>
          </w:tcPr>
          <w:p w14:paraId="172F3D87" w14:textId="3CEB5170" w:rsidR="00AB623D" w:rsidRPr="00844735" w:rsidRDefault="00AB623D" w:rsidP="00AB623D">
            <w:pPr>
              <w:spacing w:before="40"/>
              <w:jc w:val="right"/>
              <w:rPr>
                <w:rFonts w:asciiTheme="majorBidi" w:hAnsiTheme="majorBidi" w:cstheme="majorBidi"/>
                <w:sz w:val="20"/>
              </w:rPr>
            </w:pPr>
            <w:r w:rsidRPr="009645F5">
              <w:rPr>
                <w:sz w:val="20"/>
              </w:rPr>
              <w:t>(13,323)</w:t>
            </w:r>
          </w:p>
        </w:tc>
        <w:tc>
          <w:tcPr>
            <w:tcW w:w="1247" w:type="dxa"/>
            <w:shd w:val="clear" w:color="auto" w:fill="auto"/>
            <w:noWrap/>
            <w:vAlign w:val="bottom"/>
          </w:tcPr>
          <w:p w14:paraId="0A582935" w14:textId="576CB7A4" w:rsidR="00AB623D" w:rsidRPr="00866299" w:rsidRDefault="00AB623D" w:rsidP="00AB623D">
            <w:pPr>
              <w:spacing w:before="40"/>
              <w:jc w:val="right"/>
              <w:rPr>
                <w:rFonts w:asciiTheme="majorBidi" w:hAnsiTheme="majorBidi" w:cstheme="majorBidi"/>
                <w:sz w:val="20"/>
              </w:rPr>
            </w:pPr>
            <w:r w:rsidRPr="00844735">
              <w:rPr>
                <w:sz w:val="20"/>
              </w:rPr>
              <w:t>120</w:t>
            </w:r>
          </w:p>
        </w:tc>
      </w:tr>
      <w:tr w:rsidR="00AB623D" w:rsidRPr="00866299" w14:paraId="16E1F574" w14:textId="77777777" w:rsidTr="006909F2">
        <w:trPr>
          <w:trHeight w:val="266"/>
        </w:trPr>
        <w:tc>
          <w:tcPr>
            <w:tcW w:w="6212" w:type="dxa"/>
            <w:shd w:val="clear" w:color="auto" w:fill="auto"/>
            <w:vAlign w:val="bottom"/>
            <w:hideMark/>
          </w:tcPr>
          <w:p w14:paraId="2B00678A" w14:textId="75F93A83" w:rsidR="00AB623D" w:rsidRPr="002B698D" w:rsidRDefault="00AB623D" w:rsidP="00AB623D">
            <w:pPr>
              <w:spacing w:before="40"/>
              <w:rPr>
                <w:rFonts w:asciiTheme="majorBidi" w:hAnsiTheme="majorBidi" w:cstheme="majorBidi"/>
                <w:sz w:val="20"/>
              </w:rPr>
            </w:pPr>
            <w:r w:rsidRPr="002B698D">
              <w:rPr>
                <w:rFonts w:asciiTheme="majorBidi" w:hAnsiTheme="majorBidi" w:cstheme="majorBidi"/>
                <w:color w:val="000000"/>
                <w:sz w:val="20"/>
              </w:rPr>
              <w:t>Change in trade and other payables</w:t>
            </w:r>
          </w:p>
        </w:tc>
        <w:tc>
          <w:tcPr>
            <w:tcW w:w="1247" w:type="dxa"/>
            <w:shd w:val="clear" w:color="auto" w:fill="auto"/>
            <w:noWrap/>
            <w:vAlign w:val="bottom"/>
          </w:tcPr>
          <w:p w14:paraId="4990E256" w14:textId="2E017D27" w:rsidR="00AB623D" w:rsidRPr="00AB623D" w:rsidRDefault="00AB623D" w:rsidP="00AB623D">
            <w:pPr>
              <w:pBdr>
                <w:bottom w:val="single" w:sz="4" w:space="1" w:color="auto"/>
              </w:pBdr>
              <w:spacing w:before="40"/>
              <w:jc w:val="right"/>
              <w:rPr>
                <w:sz w:val="20"/>
              </w:rPr>
            </w:pPr>
            <w:r w:rsidRPr="00AB623D">
              <w:rPr>
                <w:sz w:val="20"/>
              </w:rPr>
              <w:t>2,067</w:t>
            </w:r>
          </w:p>
        </w:tc>
        <w:tc>
          <w:tcPr>
            <w:tcW w:w="1247" w:type="dxa"/>
            <w:shd w:val="clear" w:color="auto" w:fill="auto"/>
            <w:noWrap/>
            <w:vAlign w:val="bottom"/>
          </w:tcPr>
          <w:p w14:paraId="5647E8D7" w14:textId="00CDE31A" w:rsidR="00AB623D" w:rsidRPr="00844735" w:rsidRDefault="00AB623D" w:rsidP="00AB623D">
            <w:pPr>
              <w:pBdr>
                <w:bottom w:val="single" w:sz="4" w:space="1" w:color="auto"/>
              </w:pBdr>
              <w:spacing w:before="40"/>
              <w:jc w:val="right"/>
              <w:rPr>
                <w:rFonts w:asciiTheme="majorBidi" w:hAnsiTheme="majorBidi" w:cstheme="majorBidi"/>
                <w:sz w:val="20"/>
              </w:rPr>
            </w:pPr>
            <w:r w:rsidRPr="009645F5">
              <w:rPr>
                <w:sz w:val="20"/>
              </w:rPr>
              <w:t xml:space="preserve">4,779 </w:t>
            </w:r>
          </w:p>
        </w:tc>
        <w:tc>
          <w:tcPr>
            <w:tcW w:w="1247" w:type="dxa"/>
            <w:shd w:val="clear" w:color="auto" w:fill="auto"/>
            <w:noWrap/>
            <w:vAlign w:val="bottom"/>
          </w:tcPr>
          <w:p w14:paraId="1FBC53A7" w14:textId="6564A9A6" w:rsidR="00AB623D" w:rsidRPr="00866299" w:rsidRDefault="00AB623D" w:rsidP="00AB623D">
            <w:pPr>
              <w:pBdr>
                <w:bottom w:val="single" w:sz="4" w:space="1" w:color="auto"/>
              </w:pBdr>
              <w:spacing w:before="40"/>
              <w:jc w:val="right"/>
              <w:rPr>
                <w:rFonts w:asciiTheme="majorBidi" w:hAnsiTheme="majorBidi" w:cstheme="majorBidi"/>
                <w:sz w:val="20"/>
              </w:rPr>
            </w:pPr>
            <w:r>
              <w:rPr>
                <w:color w:val="000000"/>
                <w:sz w:val="20"/>
              </w:rPr>
              <w:t xml:space="preserve">24,643 </w:t>
            </w:r>
          </w:p>
        </w:tc>
      </w:tr>
      <w:tr w:rsidR="00AB623D" w:rsidRPr="00866299" w14:paraId="7E376F67" w14:textId="77777777" w:rsidTr="006909F2">
        <w:trPr>
          <w:trHeight w:val="324"/>
        </w:trPr>
        <w:tc>
          <w:tcPr>
            <w:tcW w:w="6212" w:type="dxa"/>
            <w:shd w:val="clear" w:color="auto" w:fill="auto"/>
            <w:vAlign w:val="bottom"/>
            <w:hideMark/>
          </w:tcPr>
          <w:p w14:paraId="75921710" w14:textId="4B13D546" w:rsidR="00AB623D" w:rsidRPr="002B698D" w:rsidRDefault="00AB623D" w:rsidP="00AB623D">
            <w:pPr>
              <w:spacing w:before="40"/>
              <w:rPr>
                <w:rFonts w:asciiTheme="majorBidi" w:hAnsiTheme="majorBidi" w:cstheme="majorBidi"/>
                <w:sz w:val="20"/>
              </w:rPr>
            </w:pPr>
          </w:p>
        </w:tc>
        <w:tc>
          <w:tcPr>
            <w:tcW w:w="1247" w:type="dxa"/>
            <w:shd w:val="clear" w:color="auto" w:fill="auto"/>
            <w:noWrap/>
            <w:vAlign w:val="bottom"/>
          </w:tcPr>
          <w:p w14:paraId="008BBC4C" w14:textId="2FD80E82" w:rsidR="00AB623D" w:rsidRPr="00AB623D" w:rsidRDefault="00AB623D" w:rsidP="00AB623D">
            <w:pPr>
              <w:spacing w:before="40"/>
              <w:jc w:val="right"/>
              <w:rPr>
                <w:rFonts w:asciiTheme="majorBidi" w:hAnsiTheme="majorBidi" w:cstheme="majorBidi"/>
                <w:color w:val="000000"/>
                <w:sz w:val="18"/>
                <w:szCs w:val="18"/>
              </w:rPr>
            </w:pPr>
            <w:r w:rsidRPr="00AB623D">
              <w:rPr>
                <w:rFonts w:asciiTheme="majorBidi" w:hAnsiTheme="majorBidi" w:cstheme="majorBidi"/>
                <w:color w:val="000000"/>
                <w:sz w:val="18"/>
                <w:szCs w:val="18"/>
              </w:rPr>
              <w:t>183,024</w:t>
            </w:r>
          </w:p>
        </w:tc>
        <w:tc>
          <w:tcPr>
            <w:tcW w:w="1247" w:type="dxa"/>
            <w:shd w:val="clear" w:color="auto" w:fill="auto"/>
            <w:noWrap/>
            <w:vAlign w:val="bottom"/>
          </w:tcPr>
          <w:p w14:paraId="0BC37047" w14:textId="61CD2AD5" w:rsidR="00AB623D" w:rsidRPr="00844735" w:rsidRDefault="00AB623D" w:rsidP="00AB623D">
            <w:pPr>
              <w:spacing w:before="40"/>
              <w:jc w:val="right"/>
              <w:rPr>
                <w:rFonts w:asciiTheme="majorBidi" w:hAnsiTheme="majorBidi" w:cstheme="majorBidi"/>
                <w:sz w:val="20"/>
              </w:rPr>
            </w:pPr>
            <w:r w:rsidRPr="0020502A">
              <w:rPr>
                <w:sz w:val="20"/>
              </w:rPr>
              <w:t>131,271</w:t>
            </w:r>
          </w:p>
        </w:tc>
        <w:tc>
          <w:tcPr>
            <w:tcW w:w="1247" w:type="dxa"/>
            <w:shd w:val="clear" w:color="auto" w:fill="auto"/>
            <w:noWrap/>
            <w:vAlign w:val="bottom"/>
          </w:tcPr>
          <w:p w14:paraId="63B6FDE7" w14:textId="3863D8DE" w:rsidR="00AB623D" w:rsidRPr="00866299" w:rsidRDefault="00AB623D" w:rsidP="00AB623D">
            <w:pPr>
              <w:spacing w:before="40"/>
              <w:jc w:val="right"/>
              <w:rPr>
                <w:rFonts w:asciiTheme="majorBidi" w:hAnsiTheme="majorBidi" w:cstheme="majorBidi"/>
                <w:sz w:val="20"/>
              </w:rPr>
            </w:pPr>
            <w:r w:rsidRPr="00844735">
              <w:rPr>
                <w:sz w:val="20"/>
              </w:rPr>
              <w:t>127,198</w:t>
            </w:r>
          </w:p>
        </w:tc>
      </w:tr>
      <w:tr w:rsidR="00AB623D" w:rsidRPr="00866299" w14:paraId="34F39B81" w14:textId="77777777" w:rsidTr="006909F2">
        <w:trPr>
          <w:trHeight w:val="266"/>
        </w:trPr>
        <w:tc>
          <w:tcPr>
            <w:tcW w:w="6212" w:type="dxa"/>
            <w:shd w:val="clear" w:color="auto" w:fill="auto"/>
            <w:vAlign w:val="bottom"/>
            <w:hideMark/>
          </w:tcPr>
          <w:p w14:paraId="2FB9BAE7" w14:textId="54C9B2DA" w:rsidR="00AB623D" w:rsidRPr="00866299" w:rsidRDefault="00AB623D" w:rsidP="00AB623D">
            <w:pPr>
              <w:spacing w:before="40"/>
              <w:rPr>
                <w:rFonts w:asciiTheme="majorBidi" w:hAnsiTheme="majorBidi" w:cstheme="majorBidi"/>
                <w:sz w:val="20"/>
              </w:rPr>
            </w:pPr>
            <w:r w:rsidRPr="00866299">
              <w:rPr>
                <w:rFonts w:asciiTheme="majorBidi" w:hAnsiTheme="majorBidi" w:cstheme="majorBidi"/>
                <w:color w:val="000000"/>
                <w:sz w:val="20"/>
              </w:rPr>
              <w:t>Income taxes paid</w:t>
            </w:r>
          </w:p>
        </w:tc>
        <w:tc>
          <w:tcPr>
            <w:tcW w:w="1247" w:type="dxa"/>
            <w:shd w:val="clear" w:color="auto" w:fill="auto"/>
            <w:noWrap/>
            <w:vAlign w:val="bottom"/>
          </w:tcPr>
          <w:p w14:paraId="03440CC2" w14:textId="0EB15770" w:rsidR="00AB623D" w:rsidRPr="00AB623D" w:rsidRDefault="00AB623D" w:rsidP="00AB623D">
            <w:pPr>
              <w:pBdr>
                <w:bottom w:val="single" w:sz="4" w:space="1" w:color="auto"/>
              </w:pBdr>
              <w:spacing w:before="40"/>
              <w:jc w:val="right"/>
              <w:rPr>
                <w:sz w:val="20"/>
              </w:rPr>
            </w:pPr>
            <w:r w:rsidRPr="00AB623D">
              <w:rPr>
                <w:sz w:val="20"/>
              </w:rPr>
              <w:t>(12,623)</w:t>
            </w:r>
          </w:p>
        </w:tc>
        <w:tc>
          <w:tcPr>
            <w:tcW w:w="1247" w:type="dxa"/>
            <w:shd w:val="clear" w:color="auto" w:fill="auto"/>
            <w:noWrap/>
            <w:vAlign w:val="bottom"/>
          </w:tcPr>
          <w:p w14:paraId="64AA23F9" w14:textId="69839EF4" w:rsidR="00AB623D" w:rsidRPr="00844735" w:rsidRDefault="00AB623D" w:rsidP="00AB623D">
            <w:pPr>
              <w:pBdr>
                <w:bottom w:val="single" w:sz="4" w:space="1" w:color="auto"/>
              </w:pBdr>
              <w:spacing w:before="40"/>
              <w:jc w:val="right"/>
              <w:rPr>
                <w:rFonts w:asciiTheme="majorBidi" w:hAnsiTheme="majorBidi" w:cstheme="majorBidi"/>
                <w:sz w:val="20"/>
              </w:rPr>
            </w:pPr>
            <w:r w:rsidRPr="0095659A">
              <w:rPr>
                <w:sz w:val="20"/>
              </w:rPr>
              <w:t>(10,935)</w:t>
            </w:r>
          </w:p>
        </w:tc>
        <w:tc>
          <w:tcPr>
            <w:tcW w:w="1247" w:type="dxa"/>
            <w:shd w:val="clear" w:color="auto" w:fill="auto"/>
            <w:noWrap/>
            <w:vAlign w:val="bottom"/>
          </w:tcPr>
          <w:p w14:paraId="6E32FBD2" w14:textId="3997BBAA" w:rsidR="00AB623D" w:rsidRPr="00EF559A" w:rsidRDefault="00AB623D" w:rsidP="00AB623D">
            <w:pPr>
              <w:pBdr>
                <w:bottom w:val="single" w:sz="4" w:space="1" w:color="auto"/>
              </w:pBdr>
              <w:spacing w:before="40"/>
              <w:jc w:val="right"/>
              <w:rPr>
                <w:rFonts w:asciiTheme="majorBidi" w:hAnsiTheme="majorBidi" w:cstheme="majorBidi"/>
                <w:sz w:val="20"/>
              </w:rPr>
            </w:pPr>
            <w:r w:rsidRPr="00844735">
              <w:rPr>
                <w:sz w:val="20"/>
              </w:rPr>
              <w:t>(9,608)</w:t>
            </w:r>
          </w:p>
        </w:tc>
      </w:tr>
      <w:tr w:rsidR="00AB623D" w:rsidRPr="00866299" w14:paraId="70015F34" w14:textId="77777777" w:rsidTr="006909F2">
        <w:trPr>
          <w:trHeight w:val="266"/>
        </w:trPr>
        <w:tc>
          <w:tcPr>
            <w:tcW w:w="6212" w:type="dxa"/>
            <w:shd w:val="clear" w:color="auto" w:fill="auto"/>
            <w:vAlign w:val="bottom"/>
            <w:hideMark/>
          </w:tcPr>
          <w:p w14:paraId="00A17337" w14:textId="486D16A7" w:rsidR="00AB623D" w:rsidRPr="00866299" w:rsidRDefault="00AB623D" w:rsidP="00AB623D">
            <w:pPr>
              <w:spacing w:before="40"/>
              <w:rPr>
                <w:rFonts w:asciiTheme="majorBidi" w:hAnsiTheme="majorBidi" w:cstheme="majorBidi"/>
                <w:sz w:val="20"/>
              </w:rPr>
            </w:pPr>
            <w:r w:rsidRPr="00866299">
              <w:rPr>
                <w:rFonts w:asciiTheme="majorBidi" w:hAnsiTheme="majorBidi" w:cstheme="majorBidi"/>
                <w:b/>
                <w:bCs/>
                <w:color w:val="000000"/>
                <w:sz w:val="20"/>
              </w:rPr>
              <w:t>Cash flows from operating activities</w:t>
            </w:r>
          </w:p>
        </w:tc>
        <w:tc>
          <w:tcPr>
            <w:tcW w:w="1247" w:type="dxa"/>
            <w:shd w:val="clear" w:color="auto" w:fill="auto"/>
            <w:noWrap/>
            <w:vAlign w:val="bottom"/>
          </w:tcPr>
          <w:p w14:paraId="4CCDC62B" w14:textId="35CBCADE" w:rsidR="00AB623D" w:rsidRPr="00AB623D" w:rsidRDefault="00AB623D" w:rsidP="00AB623D">
            <w:pPr>
              <w:pBdr>
                <w:bottom w:val="single" w:sz="4" w:space="1" w:color="auto"/>
              </w:pBdr>
              <w:spacing w:before="40"/>
              <w:jc w:val="right"/>
              <w:rPr>
                <w:sz w:val="20"/>
              </w:rPr>
            </w:pPr>
            <w:r w:rsidRPr="00AB623D">
              <w:rPr>
                <w:sz w:val="20"/>
              </w:rPr>
              <w:t>170,401</w:t>
            </w:r>
          </w:p>
        </w:tc>
        <w:tc>
          <w:tcPr>
            <w:tcW w:w="1247" w:type="dxa"/>
            <w:shd w:val="clear" w:color="auto" w:fill="auto"/>
            <w:noWrap/>
            <w:vAlign w:val="bottom"/>
          </w:tcPr>
          <w:p w14:paraId="0D383A84" w14:textId="0D073B1C" w:rsidR="00AB623D" w:rsidRPr="00844735" w:rsidRDefault="00AB623D" w:rsidP="00AB623D">
            <w:pPr>
              <w:pBdr>
                <w:bottom w:val="single" w:sz="4" w:space="1" w:color="auto"/>
              </w:pBdr>
              <w:spacing w:before="40"/>
              <w:jc w:val="right"/>
              <w:rPr>
                <w:rFonts w:asciiTheme="majorBidi" w:hAnsiTheme="majorBidi" w:cstheme="majorBidi"/>
                <w:sz w:val="20"/>
              </w:rPr>
            </w:pPr>
            <w:r w:rsidRPr="0020502A">
              <w:rPr>
                <w:sz w:val="20"/>
              </w:rPr>
              <w:t>120,336</w:t>
            </w:r>
          </w:p>
        </w:tc>
        <w:tc>
          <w:tcPr>
            <w:tcW w:w="1247" w:type="dxa"/>
            <w:shd w:val="clear" w:color="auto" w:fill="auto"/>
            <w:noWrap/>
            <w:vAlign w:val="bottom"/>
          </w:tcPr>
          <w:p w14:paraId="41297F31" w14:textId="06586EF1" w:rsidR="00AB623D" w:rsidRPr="00866299" w:rsidRDefault="00AB623D" w:rsidP="00AB623D">
            <w:pPr>
              <w:pBdr>
                <w:bottom w:val="single" w:sz="4" w:space="1" w:color="auto"/>
              </w:pBdr>
              <w:spacing w:before="40"/>
              <w:jc w:val="right"/>
              <w:rPr>
                <w:rFonts w:asciiTheme="majorBidi" w:hAnsiTheme="majorBidi" w:cstheme="majorBidi"/>
                <w:sz w:val="20"/>
              </w:rPr>
            </w:pPr>
            <w:r w:rsidRPr="00844735">
              <w:rPr>
                <w:sz w:val="20"/>
              </w:rPr>
              <w:t>117,590</w:t>
            </w:r>
          </w:p>
        </w:tc>
      </w:tr>
      <w:tr w:rsidR="003B2B96" w:rsidRPr="00866299" w14:paraId="17554E52" w14:textId="77777777" w:rsidTr="006909F2">
        <w:trPr>
          <w:trHeight w:val="137"/>
        </w:trPr>
        <w:tc>
          <w:tcPr>
            <w:tcW w:w="6212" w:type="dxa"/>
            <w:shd w:val="clear" w:color="auto" w:fill="auto"/>
            <w:vAlign w:val="bottom"/>
          </w:tcPr>
          <w:p w14:paraId="14AA30ED" w14:textId="77777777" w:rsidR="003B2B96" w:rsidRDefault="003B2B96" w:rsidP="003B2B96">
            <w:pPr>
              <w:spacing w:before="40"/>
              <w:rPr>
                <w:rFonts w:asciiTheme="majorBidi" w:hAnsiTheme="majorBidi" w:cstheme="majorBidi"/>
                <w:b/>
                <w:bCs/>
                <w:color w:val="000000"/>
                <w:sz w:val="20"/>
              </w:rPr>
            </w:pPr>
          </w:p>
          <w:p w14:paraId="0F574ADD" w14:textId="2AC9A420" w:rsidR="003B2B96" w:rsidRPr="00440C55" w:rsidRDefault="003B2B96" w:rsidP="003B2B96">
            <w:pPr>
              <w:spacing w:before="40"/>
              <w:rPr>
                <w:rFonts w:asciiTheme="majorBidi" w:hAnsiTheme="majorBidi" w:cstheme="majorBidi"/>
                <w:b/>
                <w:bCs/>
                <w:color w:val="000000"/>
                <w:sz w:val="12"/>
                <w:szCs w:val="12"/>
              </w:rPr>
            </w:pPr>
            <w:r w:rsidRPr="00866299">
              <w:rPr>
                <w:rFonts w:asciiTheme="majorBidi" w:hAnsiTheme="majorBidi" w:cstheme="majorBidi"/>
                <w:b/>
                <w:bCs/>
                <w:color w:val="000000"/>
                <w:sz w:val="20"/>
              </w:rPr>
              <w:t>Cash flows from investing activities</w:t>
            </w:r>
          </w:p>
        </w:tc>
        <w:tc>
          <w:tcPr>
            <w:tcW w:w="1247" w:type="dxa"/>
            <w:shd w:val="clear" w:color="auto" w:fill="auto"/>
            <w:noWrap/>
            <w:vAlign w:val="bottom"/>
          </w:tcPr>
          <w:p w14:paraId="22DFB6AF" w14:textId="77777777" w:rsidR="003B2B96" w:rsidRPr="00AB623D" w:rsidRDefault="003B2B96" w:rsidP="00AB623D">
            <w:pPr>
              <w:spacing w:before="40"/>
              <w:jc w:val="right"/>
              <w:rPr>
                <w:rFonts w:asciiTheme="majorBidi" w:hAnsiTheme="majorBidi" w:cstheme="majorBidi"/>
                <w:color w:val="000000"/>
                <w:sz w:val="18"/>
                <w:szCs w:val="18"/>
              </w:rPr>
            </w:pPr>
          </w:p>
        </w:tc>
        <w:tc>
          <w:tcPr>
            <w:tcW w:w="1247" w:type="dxa"/>
            <w:shd w:val="clear" w:color="auto" w:fill="auto"/>
            <w:noWrap/>
            <w:vAlign w:val="bottom"/>
          </w:tcPr>
          <w:p w14:paraId="7B702C77" w14:textId="77777777" w:rsidR="003B2B96" w:rsidRPr="00844735" w:rsidRDefault="003B2B96" w:rsidP="003B2B96">
            <w:pPr>
              <w:spacing w:before="40"/>
              <w:jc w:val="right"/>
              <w:rPr>
                <w:rFonts w:asciiTheme="majorBidi" w:hAnsiTheme="majorBidi" w:cstheme="majorBidi"/>
                <w:sz w:val="20"/>
              </w:rPr>
            </w:pPr>
          </w:p>
        </w:tc>
        <w:tc>
          <w:tcPr>
            <w:tcW w:w="1247" w:type="dxa"/>
            <w:shd w:val="clear" w:color="auto" w:fill="auto"/>
            <w:noWrap/>
            <w:vAlign w:val="bottom"/>
          </w:tcPr>
          <w:p w14:paraId="1966C9B8" w14:textId="77777777" w:rsidR="003B2B96" w:rsidRPr="00866299" w:rsidRDefault="003B2B96" w:rsidP="003B2B96">
            <w:pPr>
              <w:spacing w:before="40"/>
              <w:jc w:val="right"/>
              <w:rPr>
                <w:rFonts w:asciiTheme="majorBidi" w:hAnsiTheme="majorBidi" w:cstheme="majorBidi"/>
                <w:sz w:val="20"/>
              </w:rPr>
            </w:pPr>
          </w:p>
        </w:tc>
      </w:tr>
      <w:tr w:rsidR="00AB623D" w:rsidRPr="00866299" w14:paraId="0F3C1E10" w14:textId="77777777" w:rsidTr="006909F2">
        <w:trPr>
          <w:trHeight w:val="266"/>
        </w:trPr>
        <w:tc>
          <w:tcPr>
            <w:tcW w:w="6212" w:type="dxa"/>
            <w:shd w:val="clear" w:color="auto" w:fill="auto"/>
            <w:vAlign w:val="bottom"/>
            <w:hideMark/>
          </w:tcPr>
          <w:p w14:paraId="2E4889B0" w14:textId="0B1025F5" w:rsidR="00AB623D" w:rsidRPr="00866299" w:rsidRDefault="00AB623D" w:rsidP="00AB623D">
            <w:pPr>
              <w:spacing w:before="40"/>
              <w:rPr>
                <w:rFonts w:asciiTheme="majorBidi" w:hAnsiTheme="majorBidi" w:cstheme="majorBidi"/>
                <w:b/>
                <w:bCs/>
                <w:sz w:val="20"/>
              </w:rPr>
            </w:pPr>
            <w:r>
              <w:rPr>
                <w:rFonts w:asciiTheme="majorBidi" w:hAnsiTheme="majorBidi" w:cstheme="majorBidi"/>
                <w:color w:val="000000"/>
                <w:sz w:val="20"/>
              </w:rPr>
              <w:t xml:space="preserve">Investment in and </w:t>
            </w:r>
            <w:r w:rsidRPr="00EF559A">
              <w:rPr>
                <w:rFonts w:asciiTheme="majorBidi" w:hAnsiTheme="majorBidi" w:cstheme="majorBidi"/>
                <w:color w:val="000000"/>
                <w:sz w:val="20"/>
              </w:rPr>
              <w:t xml:space="preserve">grant of loan to </w:t>
            </w:r>
            <w:r>
              <w:rPr>
                <w:rFonts w:asciiTheme="majorBidi" w:hAnsiTheme="majorBidi" w:cstheme="majorBidi"/>
                <w:color w:val="000000"/>
                <w:sz w:val="20"/>
              </w:rPr>
              <w:t>companies accounted for at equity, net</w:t>
            </w:r>
          </w:p>
        </w:tc>
        <w:tc>
          <w:tcPr>
            <w:tcW w:w="1247" w:type="dxa"/>
            <w:shd w:val="clear" w:color="auto" w:fill="auto"/>
            <w:noWrap/>
            <w:vAlign w:val="bottom"/>
          </w:tcPr>
          <w:p w14:paraId="2FD6F32A" w14:textId="663285CE" w:rsidR="00AB623D" w:rsidRPr="00AB623D" w:rsidRDefault="00AB623D" w:rsidP="00AB623D">
            <w:pPr>
              <w:spacing w:before="40"/>
              <w:jc w:val="right"/>
              <w:rPr>
                <w:rFonts w:asciiTheme="majorBidi" w:hAnsiTheme="majorBidi" w:cstheme="majorBidi"/>
                <w:color w:val="000000"/>
                <w:sz w:val="18"/>
                <w:szCs w:val="18"/>
              </w:rPr>
            </w:pPr>
            <w:r w:rsidRPr="00AB623D">
              <w:rPr>
                <w:rFonts w:asciiTheme="majorBidi" w:hAnsiTheme="majorBidi" w:cstheme="majorBidi"/>
                <w:color w:val="000000"/>
                <w:sz w:val="18"/>
                <w:szCs w:val="18"/>
              </w:rPr>
              <w:t>(41,992)</w:t>
            </w:r>
          </w:p>
        </w:tc>
        <w:tc>
          <w:tcPr>
            <w:tcW w:w="1247" w:type="dxa"/>
            <w:shd w:val="clear" w:color="auto" w:fill="auto"/>
            <w:noWrap/>
            <w:vAlign w:val="bottom"/>
          </w:tcPr>
          <w:p w14:paraId="643B5E02" w14:textId="09A4BC51" w:rsidR="00AB623D" w:rsidRPr="00844735" w:rsidRDefault="00AB623D" w:rsidP="00AB623D">
            <w:pPr>
              <w:spacing w:before="40"/>
              <w:jc w:val="right"/>
              <w:rPr>
                <w:rFonts w:asciiTheme="majorBidi" w:hAnsiTheme="majorBidi" w:cstheme="majorBidi"/>
                <w:sz w:val="20"/>
              </w:rPr>
            </w:pPr>
            <w:r w:rsidRPr="0095659A">
              <w:rPr>
                <w:sz w:val="20"/>
              </w:rPr>
              <w:t>(3,407)</w:t>
            </w:r>
          </w:p>
        </w:tc>
        <w:tc>
          <w:tcPr>
            <w:tcW w:w="1247" w:type="dxa"/>
            <w:shd w:val="clear" w:color="auto" w:fill="auto"/>
            <w:noWrap/>
            <w:vAlign w:val="bottom"/>
          </w:tcPr>
          <w:p w14:paraId="54926511" w14:textId="1708D602" w:rsidR="00AB623D" w:rsidRPr="00866299" w:rsidRDefault="00AB623D" w:rsidP="00AB623D">
            <w:pPr>
              <w:spacing w:before="40"/>
              <w:jc w:val="right"/>
              <w:rPr>
                <w:rFonts w:asciiTheme="majorBidi" w:hAnsiTheme="majorBidi" w:cstheme="majorBidi"/>
                <w:sz w:val="20"/>
              </w:rPr>
            </w:pPr>
            <w:r w:rsidRPr="00844735">
              <w:rPr>
                <w:sz w:val="20"/>
              </w:rPr>
              <w:t>(1,968)</w:t>
            </w:r>
          </w:p>
        </w:tc>
      </w:tr>
      <w:tr w:rsidR="00AB623D" w:rsidRPr="00866299" w14:paraId="5728C4FD" w14:textId="77777777" w:rsidTr="006909F2">
        <w:trPr>
          <w:trHeight w:val="266"/>
        </w:trPr>
        <w:tc>
          <w:tcPr>
            <w:tcW w:w="6212" w:type="dxa"/>
            <w:shd w:val="clear" w:color="auto" w:fill="auto"/>
            <w:vAlign w:val="bottom"/>
            <w:hideMark/>
          </w:tcPr>
          <w:p w14:paraId="1059F9F9" w14:textId="797BCD14" w:rsidR="00AB623D" w:rsidRPr="00866299" w:rsidRDefault="00AB623D" w:rsidP="00AB623D">
            <w:pPr>
              <w:spacing w:before="40"/>
              <w:rPr>
                <w:rFonts w:asciiTheme="majorBidi" w:hAnsiTheme="majorBidi" w:cstheme="majorBidi"/>
                <w:sz w:val="20"/>
              </w:rPr>
            </w:pPr>
            <w:r w:rsidRPr="00B03403">
              <w:rPr>
                <w:rFonts w:asciiTheme="majorBidi" w:hAnsiTheme="majorBidi" w:cstheme="majorBidi"/>
                <w:color w:val="000000"/>
                <w:sz w:val="20"/>
              </w:rPr>
              <w:t>Acquisition of subsidiar</w:t>
            </w:r>
            <w:r>
              <w:rPr>
                <w:rFonts w:asciiTheme="majorBidi" w:hAnsiTheme="majorBidi" w:cstheme="majorBidi"/>
                <w:color w:val="000000"/>
                <w:sz w:val="20"/>
              </w:rPr>
              <w:t>ies</w:t>
            </w:r>
            <w:r w:rsidRPr="00B03403">
              <w:rPr>
                <w:rFonts w:asciiTheme="majorBidi" w:hAnsiTheme="majorBidi" w:cstheme="majorBidi"/>
                <w:color w:val="000000"/>
                <w:sz w:val="20"/>
              </w:rPr>
              <w:t>, net of cash acquired</w:t>
            </w:r>
            <w:r>
              <w:rPr>
                <w:rFonts w:asciiTheme="majorBidi" w:hAnsiTheme="majorBidi" w:cstheme="majorBidi" w:hint="cs"/>
                <w:color w:val="000000"/>
                <w:sz w:val="20"/>
                <w:rtl/>
                <w:lang w:bidi="he-IL"/>
              </w:rPr>
              <w:t xml:space="preserve"> </w:t>
            </w:r>
            <w:r>
              <w:rPr>
                <w:rFonts w:asciiTheme="majorBidi" w:hAnsiTheme="majorBidi" w:cstheme="majorBidi"/>
                <w:color w:val="000000"/>
                <w:sz w:val="20"/>
                <w:lang w:bidi="he-IL"/>
              </w:rPr>
              <w:t>(B)</w:t>
            </w:r>
          </w:p>
        </w:tc>
        <w:tc>
          <w:tcPr>
            <w:tcW w:w="1247" w:type="dxa"/>
            <w:shd w:val="clear" w:color="auto" w:fill="auto"/>
            <w:noWrap/>
            <w:vAlign w:val="bottom"/>
          </w:tcPr>
          <w:p w14:paraId="66D774BC" w14:textId="40221641" w:rsidR="00AB623D" w:rsidRPr="00AB623D" w:rsidRDefault="00AB623D" w:rsidP="00AB623D">
            <w:pPr>
              <w:spacing w:before="40"/>
              <w:jc w:val="right"/>
              <w:rPr>
                <w:rFonts w:asciiTheme="majorBidi" w:hAnsiTheme="majorBidi" w:cstheme="majorBidi"/>
                <w:color w:val="000000"/>
                <w:sz w:val="18"/>
                <w:szCs w:val="18"/>
              </w:rPr>
            </w:pPr>
            <w:r w:rsidRPr="00AB623D">
              <w:rPr>
                <w:rFonts w:asciiTheme="majorBidi" w:hAnsiTheme="majorBidi" w:cstheme="majorBidi"/>
                <w:color w:val="000000"/>
                <w:sz w:val="18"/>
                <w:szCs w:val="18"/>
              </w:rPr>
              <w:t>-</w:t>
            </w:r>
          </w:p>
        </w:tc>
        <w:tc>
          <w:tcPr>
            <w:tcW w:w="1247" w:type="dxa"/>
            <w:shd w:val="clear" w:color="auto" w:fill="auto"/>
            <w:noWrap/>
            <w:vAlign w:val="bottom"/>
          </w:tcPr>
          <w:p w14:paraId="72A641BC" w14:textId="4906C9BE" w:rsidR="00AB623D" w:rsidRPr="00844735" w:rsidRDefault="00AB623D" w:rsidP="00AB623D">
            <w:pPr>
              <w:spacing w:before="40"/>
              <w:jc w:val="right"/>
              <w:rPr>
                <w:rFonts w:asciiTheme="majorBidi" w:hAnsiTheme="majorBidi" w:cstheme="majorBidi"/>
                <w:sz w:val="20"/>
              </w:rPr>
            </w:pPr>
            <w:r w:rsidRPr="0095659A">
              <w:rPr>
                <w:sz w:val="20"/>
              </w:rPr>
              <w:t>-</w:t>
            </w:r>
          </w:p>
        </w:tc>
        <w:tc>
          <w:tcPr>
            <w:tcW w:w="1247" w:type="dxa"/>
            <w:shd w:val="clear" w:color="auto" w:fill="auto"/>
            <w:noWrap/>
            <w:vAlign w:val="bottom"/>
          </w:tcPr>
          <w:p w14:paraId="6F34C9A6" w14:textId="69B3FADD" w:rsidR="00AB623D" w:rsidRPr="00866299" w:rsidRDefault="00AB623D" w:rsidP="00AB623D">
            <w:pPr>
              <w:spacing w:before="40"/>
              <w:jc w:val="right"/>
              <w:rPr>
                <w:rFonts w:asciiTheme="majorBidi" w:hAnsiTheme="majorBidi" w:cstheme="majorBidi"/>
                <w:sz w:val="20"/>
              </w:rPr>
            </w:pPr>
            <w:r w:rsidRPr="00844735">
              <w:rPr>
                <w:sz w:val="20"/>
              </w:rPr>
              <w:t>(57,180)</w:t>
            </w:r>
          </w:p>
        </w:tc>
      </w:tr>
      <w:tr w:rsidR="00AB623D" w:rsidRPr="00866299" w14:paraId="50487AB5" w14:textId="77777777" w:rsidTr="006909F2">
        <w:trPr>
          <w:trHeight w:val="266"/>
        </w:trPr>
        <w:tc>
          <w:tcPr>
            <w:tcW w:w="6212" w:type="dxa"/>
            <w:shd w:val="clear" w:color="auto" w:fill="auto"/>
            <w:vAlign w:val="bottom"/>
            <w:hideMark/>
          </w:tcPr>
          <w:p w14:paraId="5D0D91D0" w14:textId="01DC91E8" w:rsidR="00AB623D" w:rsidRPr="00541143" w:rsidRDefault="00AB623D" w:rsidP="00AB623D">
            <w:pPr>
              <w:spacing w:before="40"/>
              <w:rPr>
                <w:rFonts w:asciiTheme="majorBidi" w:hAnsiTheme="majorBidi" w:cstheme="majorBidi"/>
                <w:sz w:val="20"/>
              </w:rPr>
            </w:pPr>
            <w:r w:rsidRPr="0020502A">
              <w:rPr>
                <w:color w:val="000000"/>
                <w:sz w:val="20"/>
              </w:rPr>
              <w:t>Proceeds from sale of Subsidiaries, including advances</w:t>
            </w:r>
          </w:p>
        </w:tc>
        <w:tc>
          <w:tcPr>
            <w:tcW w:w="1247" w:type="dxa"/>
            <w:shd w:val="clear" w:color="auto" w:fill="auto"/>
            <w:noWrap/>
            <w:vAlign w:val="bottom"/>
          </w:tcPr>
          <w:p w14:paraId="6C9FB698" w14:textId="3DFD3AF3" w:rsidR="00AB623D" w:rsidRPr="00AB623D" w:rsidRDefault="00AB623D" w:rsidP="00AB623D">
            <w:pPr>
              <w:spacing w:before="40"/>
              <w:jc w:val="right"/>
              <w:rPr>
                <w:rFonts w:asciiTheme="majorBidi" w:hAnsiTheme="majorBidi" w:cstheme="majorBidi"/>
                <w:color w:val="000000"/>
                <w:sz w:val="18"/>
                <w:szCs w:val="18"/>
              </w:rPr>
            </w:pPr>
            <w:r w:rsidRPr="00AB623D">
              <w:rPr>
                <w:rFonts w:asciiTheme="majorBidi" w:hAnsiTheme="majorBidi" w:cstheme="majorBidi"/>
                <w:color w:val="000000"/>
                <w:sz w:val="18"/>
                <w:szCs w:val="18"/>
              </w:rPr>
              <w:t>-</w:t>
            </w:r>
          </w:p>
        </w:tc>
        <w:tc>
          <w:tcPr>
            <w:tcW w:w="1247" w:type="dxa"/>
            <w:shd w:val="clear" w:color="auto" w:fill="auto"/>
            <w:noWrap/>
            <w:vAlign w:val="bottom"/>
          </w:tcPr>
          <w:p w14:paraId="462CE3D9" w14:textId="38ABD1D8" w:rsidR="00AB623D" w:rsidRPr="00844735" w:rsidRDefault="00AB623D" w:rsidP="00AB623D">
            <w:pPr>
              <w:spacing w:before="40"/>
              <w:jc w:val="right"/>
              <w:rPr>
                <w:rFonts w:asciiTheme="majorBidi" w:hAnsiTheme="majorBidi" w:cstheme="majorBidi"/>
                <w:sz w:val="20"/>
              </w:rPr>
            </w:pPr>
            <w:r w:rsidRPr="0095659A">
              <w:rPr>
                <w:sz w:val="20"/>
              </w:rPr>
              <w:t>-</w:t>
            </w:r>
          </w:p>
        </w:tc>
        <w:tc>
          <w:tcPr>
            <w:tcW w:w="1247" w:type="dxa"/>
            <w:shd w:val="clear" w:color="auto" w:fill="auto"/>
            <w:noWrap/>
            <w:vAlign w:val="bottom"/>
          </w:tcPr>
          <w:p w14:paraId="432DD4C6" w14:textId="75247ABC" w:rsidR="00AB623D" w:rsidRPr="00866299" w:rsidRDefault="00AB623D" w:rsidP="00AB623D">
            <w:pPr>
              <w:spacing w:before="40"/>
              <w:jc w:val="right"/>
              <w:rPr>
                <w:rFonts w:asciiTheme="majorBidi" w:hAnsiTheme="majorBidi" w:cstheme="majorBidi"/>
                <w:sz w:val="20"/>
              </w:rPr>
            </w:pPr>
            <w:r w:rsidRPr="00844735">
              <w:rPr>
                <w:sz w:val="20"/>
              </w:rPr>
              <w:t>1,902</w:t>
            </w:r>
          </w:p>
        </w:tc>
      </w:tr>
      <w:tr w:rsidR="00AB623D" w:rsidRPr="00866299" w14:paraId="09ADA784" w14:textId="77777777" w:rsidTr="006909F2">
        <w:trPr>
          <w:trHeight w:val="266"/>
        </w:trPr>
        <w:tc>
          <w:tcPr>
            <w:tcW w:w="6212" w:type="dxa"/>
            <w:shd w:val="clear" w:color="auto" w:fill="auto"/>
            <w:vAlign w:val="bottom"/>
          </w:tcPr>
          <w:p w14:paraId="0FDA82F1" w14:textId="72DDB75A" w:rsidR="00AB623D" w:rsidRPr="00866299" w:rsidRDefault="00502C08" w:rsidP="00AB623D">
            <w:pPr>
              <w:spacing w:before="40"/>
              <w:rPr>
                <w:rFonts w:asciiTheme="majorBidi" w:hAnsiTheme="majorBidi" w:cstheme="majorBidi"/>
                <w:color w:val="000000"/>
                <w:sz w:val="20"/>
              </w:rPr>
            </w:pPr>
            <w:r>
              <w:rPr>
                <w:rFonts w:asciiTheme="majorBidi" w:hAnsiTheme="majorBidi" w:cstheme="majorBidi"/>
                <w:color w:val="000000"/>
                <w:sz w:val="20"/>
              </w:rPr>
              <w:t>I</w:t>
            </w:r>
            <w:r w:rsidR="00AB623D" w:rsidRPr="00DA6402">
              <w:rPr>
                <w:rFonts w:asciiTheme="majorBidi" w:hAnsiTheme="majorBidi" w:cstheme="majorBidi"/>
                <w:color w:val="000000"/>
                <w:sz w:val="20"/>
              </w:rPr>
              <w:t xml:space="preserve">nvestments </w:t>
            </w:r>
            <w:r>
              <w:rPr>
                <w:rFonts w:asciiTheme="majorBidi" w:hAnsiTheme="majorBidi" w:cstheme="majorBidi"/>
                <w:color w:val="000000"/>
                <w:sz w:val="20"/>
              </w:rPr>
              <w:t>in</w:t>
            </w:r>
            <w:r w:rsidR="00AB623D" w:rsidRPr="00DA6402">
              <w:rPr>
                <w:rFonts w:asciiTheme="majorBidi" w:hAnsiTheme="majorBidi" w:cstheme="majorBidi"/>
                <w:color w:val="000000"/>
                <w:sz w:val="20"/>
              </w:rPr>
              <w:t xml:space="preserve"> </w:t>
            </w:r>
            <w:proofErr w:type="gramStart"/>
            <w:r w:rsidR="00AB623D" w:rsidRPr="00DA6402">
              <w:rPr>
                <w:rFonts w:asciiTheme="majorBidi" w:hAnsiTheme="majorBidi" w:cstheme="majorBidi"/>
                <w:color w:val="000000"/>
                <w:sz w:val="20"/>
              </w:rPr>
              <w:t>short term</w:t>
            </w:r>
            <w:proofErr w:type="gramEnd"/>
            <w:r w:rsidR="00AB623D" w:rsidRPr="00DA6402">
              <w:rPr>
                <w:rFonts w:asciiTheme="majorBidi" w:hAnsiTheme="majorBidi" w:cstheme="majorBidi"/>
                <w:color w:val="000000"/>
                <w:sz w:val="20"/>
              </w:rPr>
              <w:t xml:space="preserve"> investments, net</w:t>
            </w:r>
          </w:p>
        </w:tc>
        <w:tc>
          <w:tcPr>
            <w:tcW w:w="1247" w:type="dxa"/>
            <w:shd w:val="clear" w:color="auto" w:fill="auto"/>
            <w:noWrap/>
            <w:vAlign w:val="bottom"/>
          </w:tcPr>
          <w:p w14:paraId="4CDE0FBF" w14:textId="36CB433C" w:rsidR="00AB623D" w:rsidRPr="00AB623D" w:rsidRDefault="00AB623D" w:rsidP="00AB623D">
            <w:pPr>
              <w:spacing w:before="40"/>
              <w:jc w:val="right"/>
              <w:rPr>
                <w:rFonts w:asciiTheme="majorBidi" w:hAnsiTheme="majorBidi" w:cstheme="majorBidi"/>
                <w:color w:val="000000"/>
                <w:sz w:val="18"/>
                <w:szCs w:val="18"/>
              </w:rPr>
            </w:pPr>
            <w:r w:rsidRPr="00AB623D">
              <w:rPr>
                <w:rFonts w:asciiTheme="majorBidi" w:hAnsiTheme="majorBidi" w:cstheme="majorBidi"/>
                <w:color w:val="000000"/>
                <w:sz w:val="18"/>
                <w:szCs w:val="18"/>
              </w:rPr>
              <w:t>(2,029)</w:t>
            </w:r>
          </w:p>
        </w:tc>
        <w:tc>
          <w:tcPr>
            <w:tcW w:w="1247" w:type="dxa"/>
            <w:shd w:val="clear" w:color="auto" w:fill="auto"/>
            <w:noWrap/>
            <w:vAlign w:val="bottom"/>
          </w:tcPr>
          <w:p w14:paraId="7E0EF510" w14:textId="1385731D" w:rsidR="00AB623D" w:rsidRPr="00844735" w:rsidRDefault="00AB623D" w:rsidP="00AB623D">
            <w:pPr>
              <w:spacing w:before="40"/>
              <w:jc w:val="right"/>
              <w:rPr>
                <w:rFonts w:asciiTheme="majorBidi" w:hAnsiTheme="majorBidi" w:cstheme="majorBidi"/>
                <w:sz w:val="20"/>
              </w:rPr>
            </w:pPr>
            <w:r w:rsidRPr="0095659A">
              <w:rPr>
                <w:sz w:val="20"/>
              </w:rPr>
              <w:t>(7,681)</w:t>
            </w:r>
          </w:p>
        </w:tc>
        <w:tc>
          <w:tcPr>
            <w:tcW w:w="1247" w:type="dxa"/>
            <w:shd w:val="clear" w:color="auto" w:fill="auto"/>
            <w:noWrap/>
            <w:vAlign w:val="bottom"/>
          </w:tcPr>
          <w:p w14:paraId="1EDC6F7C" w14:textId="1FBD5FDE" w:rsidR="00AB623D" w:rsidRPr="008E761A" w:rsidRDefault="00AB623D" w:rsidP="00AB623D">
            <w:pPr>
              <w:spacing w:before="40"/>
              <w:jc w:val="right"/>
              <w:rPr>
                <w:rFonts w:asciiTheme="majorBidi" w:hAnsiTheme="majorBidi" w:cstheme="majorBidi"/>
                <w:color w:val="000000"/>
                <w:sz w:val="20"/>
              </w:rPr>
            </w:pPr>
            <w:r w:rsidRPr="00844735">
              <w:rPr>
                <w:sz w:val="20"/>
              </w:rPr>
              <w:t>(13,412)</w:t>
            </w:r>
          </w:p>
        </w:tc>
      </w:tr>
      <w:tr w:rsidR="00AB623D" w:rsidRPr="00866299" w14:paraId="78E5A98E" w14:textId="77777777" w:rsidTr="006909F2">
        <w:trPr>
          <w:trHeight w:val="266"/>
        </w:trPr>
        <w:tc>
          <w:tcPr>
            <w:tcW w:w="6212" w:type="dxa"/>
            <w:shd w:val="clear" w:color="auto" w:fill="auto"/>
            <w:vAlign w:val="bottom"/>
            <w:hideMark/>
          </w:tcPr>
          <w:p w14:paraId="4D2D1754" w14:textId="768AC789" w:rsidR="00AB623D" w:rsidRPr="00866299" w:rsidRDefault="00AB623D" w:rsidP="00AB623D">
            <w:pPr>
              <w:spacing w:before="40"/>
              <w:rPr>
                <w:rFonts w:asciiTheme="majorBidi" w:hAnsiTheme="majorBidi" w:cstheme="majorBidi"/>
                <w:sz w:val="20"/>
              </w:rPr>
            </w:pPr>
            <w:r w:rsidRPr="00866299">
              <w:rPr>
                <w:rFonts w:asciiTheme="majorBidi" w:hAnsiTheme="majorBidi" w:cstheme="majorBidi"/>
                <w:color w:val="000000"/>
                <w:sz w:val="20"/>
              </w:rPr>
              <w:t>Acquisition of property, plant and equipment</w:t>
            </w:r>
          </w:p>
        </w:tc>
        <w:tc>
          <w:tcPr>
            <w:tcW w:w="1247" w:type="dxa"/>
            <w:shd w:val="clear" w:color="auto" w:fill="auto"/>
            <w:noWrap/>
            <w:vAlign w:val="bottom"/>
          </w:tcPr>
          <w:p w14:paraId="55E4D039" w14:textId="2EDF2F29" w:rsidR="00AB623D" w:rsidRPr="00AB623D" w:rsidRDefault="00AB623D" w:rsidP="00AB623D">
            <w:pPr>
              <w:spacing w:before="40"/>
              <w:jc w:val="right"/>
              <w:rPr>
                <w:rFonts w:asciiTheme="majorBidi" w:hAnsiTheme="majorBidi" w:cstheme="majorBidi"/>
                <w:color w:val="000000"/>
                <w:sz w:val="18"/>
                <w:szCs w:val="18"/>
              </w:rPr>
            </w:pPr>
            <w:r w:rsidRPr="00AB623D">
              <w:rPr>
                <w:rFonts w:asciiTheme="majorBidi" w:hAnsiTheme="majorBidi" w:cstheme="majorBidi"/>
                <w:color w:val="000000"/>
                <w:sz w:val="18"/>
                <w:szCs w:val="18"/>
              </w:rPr>
              <w:t>(5,339)</w:t>
            </w:r>
          </w:p>
        </w:tc>
        <w:tc>
          <w:tcPr>
            <w:tcW w:w="1247" w:type="dxa"/>
            <w:shd w:val="clear" w:color="auto" w:fill="auto"/>
            <w:noWrap/>
            <w:vAlign w:val="bottom"/>
          </w:tcPr>
          <w:p w14:paraId="46150B53" w14:textId="3F137F2C" w:rsidR="00AB623D" w:rsidRPr="00844735" w:rsidRDefault="00AB623D" w:rsidP="00AB623D">
            <w:pPr>
              <w:spacing w:before="40"/>
              <w:jc w:val="right"/>
              <w:rPr>
                <w:rFonts w:asciiTheme="majorBidi" w:hAnsiTheme="majorBidi" w:cstheme="majorBidi"/>
                <w:sz w:val="20"/>
              </w:rPr>
            </w:pPr>
            <w:r w:rsidRPr="0095659A">
              <w:rPr>
                <w:sz w:val="20"/>
              </w:rPr>
              <w:t>(2,120)</w:t>
            </w:r>
          </w:p>
        </w:tc>
        <w:tc>
          <w:tcPr>
            <w:tcW w:w="1247" w:type="dxa"/>
            <w:shd w:val="clear" w:color="auto" w:fill="auto"/>
            <w:noWrap/>
            <w:vAlign w:val="bottom"/>
          </w:tcPr>
          <w:p w14:paraId="30604938" w14:textId="7F7A6B34" w:rsidR="00AB623D" w:rsidRPr="00866299" w:rsidRDefault="00AB623D" w:rsidP="00AB623D">
            <w:pPr>
              <w:spacing w:before="40"/>
              <w:jc w:val="right"/>
              <w:rPr>
                <w:rFonts w:asciiTheme="majorBidi" w:hAnsiTheme="majorBidi" w:cstheme="majorBidi"/>
                <w:sz w:val="20"/>
              </w:rPr>
            </w:pPr>
            <w:r w:rsidRPr="00844735">
              <w:rPr>
                <w:sz w:val="20"/>
              </w:rPr>
              <w:t>(886)</w:t>
            </w:r>
          </w:p>
        </w:tc>
      </w:tr>
      <w:tr w:rsidR="00AB623D" w:rsidRPr="00866299" w14:paraId="65BCC983" w14:textId="77777777" w:rsidTr="006909F2">
        <w:trPr>
          <w:trHeight w:val="266"/>
        </w:trPr>
        <w:tc>
          <w:tcPr>
            <w:tcW w:w="6212" w:type="dxa"/>
            <w:shd w:val="clear" w:color="auto" w:fill="auto"/>
            <w:vAlign w:val="bottom"/>
            <w:hideMark/>
          </w:tcPr>
          <w:p w14:paraId="1DA69FFA" w14:textId="3601C465" w:rsidR="00AB623D" w:rsidRPr="00866299" w:rsidRDefault="00AB623D" w:rsidP="00AB623D">
            <w:pPr>
              <w:spacing w:before="40"/>
              <w:rPr>
                <w:rFonts w:asciiTheme="majorBidi" w:hAnsiTheme="majorBidi" w:cstheme="majorBidi"/>
                <w:sz w:val="20"/>
              </w:rPr>
            </w:pPr>
            <w:r w:rsidRPr="00866299">
              <w:rPr>
                <w:rFonts w:asciiTheme="majorBidi" w:hAnsiTheme="majorBidi" w:cstheme="majorBidi"/>
                <w:color w:val="000000"/>
                <w:sz w:val="20"/>
              </w:rPr>
              <w:t>Investment in investment property</w:t>
            </w:r>
          </w:p>
        </w:tc>
        <w:tc>
          <w:tcPr>
            <w:tcW w:w="1247" w:type="dxa"/>
            <w:shd w:val="clear" w:color="auto" w:fill="auto"/>
            <w:noWrap/>
            <w:vAlign w:val="bottom"/>
          </w:tcPr>
          <w:p w14:paraId="1C54092C" w14:textId="432113FB" w:rsidR="00AB623D" w:rsidRPr="00AB623D" w:rsidRDefault="00AB623D" w:rsidP="00AB623D">
            <w:pPr>
              <w:spacing w:before="40"/>
              <w:jc w:val="right"/>
              <w:rPr>
                <w:rFonts w:asciiTheme="majorBidi" w:hAnsiTheme="majorBidi" w:cstheme="majorBidi"/>
                <w:color w:val="000000"/>
                <w:sz w:val="18"/>
                <w:szCs w:val="18"/>
              </w:rPr>
            </w:pPr>
            <w:r w:rsidRPr="00AB623D">
              <w:rPr>
                <w:rFonts w:asciiTheme="majorBidi" w:hAnsiTheme="majorBidi" w:cstheme="majorBidi"/>
                <w:color w:val="000000"/>
                <w:sz w:val="18"/>
                <w:szCs w:val="18"/>
              </w:rPr>
              <w:t>(47,579)</w:t>
            </w:r>
          </w:p>
        </w:tc>
        <w:tc>
          <w:tcPr>
            <w:tcW w:w="1247" w:type="dxa"/>
            <w:shd w:val="clear" w:color="auto" w:fill="auto"/>
            <w:noWrap/>
            <w:vAlign w:val="bottom"/>
          </w:tcPr>
          <w:p w14:paraId="5EF09E2C" w14:textId="166F9C75" w:rsidR="00AB623D" w:rsidRPr="00844735" w:rsidRDefault="00AB623D" w:rsidP="00AB623D">
            <w:pPr>
              <w:spacing w:before="40"/>
              <w:jc w:val="right"/>
              <w:rPr>
                <w:rFonts w:asciiTheme="majorBidi" w:hAnsiTheme="majorBidi" w:cstheme="majorBidi"/>
                <w:sz w:val="20"/>
              </w:rPr>
            </w:pPr>
            <w:r w:rsidRPr="0095659A">
              <w:rPr>
                <w:sz w:val="20"/>
              </w:rPr>
              <w:t>(46,292)</w:t>
            </w:r>
          </w:p>
        </w:tc>
        <w:tc>
          <w:tcPr>
            <w:tcW w:w="1247" w:type="dxa"/>
            <w:shd w:val="clear" w:color="auto" w:fill="auto"/>
            <w:noWrap/>
            <w:vAlign w:val="bottom"/>
          </w:tcPr>
          <w:p w14:paraId="4FF0D8DF" w14:textId="5DF0697C" w:rsidR="00AB623D" w:rsidRPr="00866299" w:rsidRDefault="00AB623D" w:rsidP="00AB623D">
            <w:pPr>
              <w:spacing w:before="40"/>
              <w:jc w:val="right"/>
              <w:rPr>
                <w:rFonts w:asciiTheme="majorBidi" w:hAnsiTheme="majorBidi" w:cstheme="majorBidi"/>
                <w:sz w:val="20"/>
              </w:rPr>
            </w:pPr>
            <w:r w:rsidRPr="00844735">
              <w:rPr>
                <w:sz w:val="20"/>
              </w:rPr>
              <w:t>(46,737)</w:t>
            </w:r>
          </w:p>
        </w:tc>
      </w:tr>
      <w:tr w:rsidR="00AB623D" w:rsidRPr="00866299" w14:paraId="1D148F9E" w14:textId="77777777" w:rsidTr="006909F2">
        <w:trPr>
          <w:trHeight w:val="266"/>
        </w:trPr>
        <w:tc>
          <w:tcPr>
            <w:tcW w:w="6212" w:type="dxa"/>
            <w:shd w:val="clear" w:color="auto" w:fill="auto"/>
            <w:vAlign w:val="bottom"/>
          </w:tcPr>
          <w:p w14:paraId="7256E8CA" w14:textId="4DA1F976" w:rsidR="00AB623D" w:rsidRPr="00866299" w:rsidRDefault="00AB623D" w:rsidP="00AB623D">
            <w:pPr>
              <w:spacing w:before="40"/>
              <w:rPr>
                <w:rFonts w:asciiTheme="majorBidi" w:hAnsiTheme="majorBidi" w:cstheme="majorBidi"/>
                <w:color w:val="000000"/>
                <w:sz w:val="20"/>
              </w:rPr>
            </w:pPr>
            <w:r w:rsidRPr="002B698D">
              <w:rPr>
                <w:rFonts w:asciiTheme="majorBidi" w:hAnsiTheme="majorBidi" w:cstheme="majorBidi"/>
                <w:color w:val="000000"/>
                <w:sz w:val="20"/>
              </w:rPr>
              <w:t xml:space="preserve">Investment </w:t>
            </w:r>
            <w:r>
              <w:rPr>
                <w:rFonts w:asciiTheme="majorBidi" w:hAnsiTheme="majorBidi" w:cstheme="majorBidi"/>
                <w:color w:val="000000"/>
                <w:sz w:val="20"/>
              </w:rPr>
              <w:t>in</w:t>
            </w:r>
            <w:r w:rsidRPr="002B698D">
              <w:rPr>
                <w:rFonts w:asciiTheme="majorBidi" w:hAnsiTheme="majorBidi" w:cstheme="majorBidi"/>
                <w:color w:val="000000"/>
                <w:sz w:val="20"/>
              </w:rPr>
              <w:t xml:space="preserve"> investment property under development</w:t>
            </w:r>
            <w:r>
              <w:rPr>
                <w:rFonts w:asciiTheme="majorBidi" w:hAnsiTheme="majorBidi" w:cstheme="majorBidi"/>
                <w:color w:val="000000"/>
                <w:sz w:val="20"/>
              </w:rPr>
              <w:t xml:space="preserve"> (**)</w:t>
            </w:r>
          </w:p>
        </w:tc>
        <w:tc>
          <w:tcPr>
            <w:tcW w:w="1247" w:type="dxa"/>
            <w:shd w:val="clear" w:color="auto" w:fill="auto"/>
            <w:noWrap/>
            <w:vAlign w:val="bottom"/>
          </w:tcPr>
          <w:p w14:paraId="0B2D7251" w14:textId="67086716" w:rsidR="00AB623D" w:rsidRPr="00AB623D" w:rsidDel="00BA5A7E" w:rsidRDefault="00AB623D" w:rsidP="00AB623D">
            <w:pPr>
              <w:pBdr>
                <w:bottom w:val="single" w:sz="4" w:space="1" w:color="auto"/>
              </w:pBdr>
              <w:spacing w:before="40"/>
              <w:jc w:val="right"/>
              <w:rPr>
                <w:sz w:val="20"/>
              </w:rPr>
            </w:pPr>
            <w:r w:rsidRPr="00AB623D">
              <w:rPr>
                <w:sz w:val="20"/>
              </w:rPr>
              <w:t>(205,265)</w:t>
            </w:r>
          </w:p>
        </w:tc>
        <w:tc>
          <w:tcPr>
            <w:tcW w:w="1247" w:type="dxa"/>
            <w:shd w:val="clear" w:color="auto" w:fill="auto"/>
            <w:noWrap/>
            <w:vAlign w:val="bottom"/>
          </w:tcPr>
          <w:p w14:paraId="69873450" w14:textId="4C1DA9B0" w:rsidR="00AB623D" w:rsidRPr="00844735" w:rsidRDefault="00AB623D" w:rsidP="00AB623D">
            <w:pPr>
              <w:pBdr>
                <w:bottom w:val="single" w:sz="4" w:space="1" w:color="auto"/>
              </w:pBdr>
              <w:spacing w:before="40"/>
              <w:jc w:val="right"/>
              <w:rPr>
                <w:sz w:val="20"/>
                <w:szCs w:val="16"/>
              </w:rPr>
            </w:pPr>
            <w:r w:rsidRPr="0095659A">
              <w:rPr>
                <w:sz w:val="20"/>
              </w:rPr>
              <w:t>(196,788)</w:t>
            </w:r>
          </w:p>
        </w:tc>
        <w:tc>
          <w:tcPr>
            <w:tcW w:w="1247" w:type="dxa"/>
            <w:shd w:val="clear" w:color="auto" w:fill="auto"/>
            <w:noWrap/>
            <w:vAlign w:val="bottom"/>
          </w:tcPr>
          <w:p w14:paraId="02EEC552" w14:textId="0900A036" w:rsidR="00AB623D" w:rsidRPr="005862F2" w:rsidRDefault="00AB623D" w:rsidP="00AB623D">
            <w:pPr>
              <w:pBdr>
                <w:bottom w:val="single" w:sz="4" w:space="1" w:color="auto"/>
              </w:pBdr>
              <w:spacing w:before="40"/>
              <w:jc w:val="right"/>
              <w:rPr>
                <w:sz w:val="20"/>
                <w:szCs w:val="16"/>
              </w:rPr>
            </w:pPr>
            <w:r w:rsidRPr="00844735">
              <w:rPr>
                <w:sz w:val="20"/>
              </w:rPr>
              <w:t>(184,920)</w:t>
            </w:r>
          </w:p>
        </w:tc>
      </w:tr>
      <w:tr w:rsidR="00AB623D" w:rsidRPr="00866299" w14:paraId="1D4647A9" w14:textId="77777777" w:rsidTr="006909F2">
        <w:trPr>
          <w:trHeight w:val="266"/>
        </w:trPr>
        <w:tc>
          <w:tcPr>
            <w:tcW w:w="6212" w:type="dxa"/>
            <w:shd w:val="clear" w:color="auto" w:fill="auto"/>
            <w:vAlign w:val="bottom"/>
            <w:hideMark/>
          </w:tcPr>
          <w:p w14:paraId="0AA773B7" w14:textId="61C056C9" w:rsidR="00AB623D" w:rsidRPr="002B698D" w:rsidRDefault="00AB623D" w:rsidP="00AB623D">
            <w:pPr>
              <w:spacing w:before="40"/>
              <w:rPr>
                <w:rFonts w:asciiTheme="majorBidi" w:hAnsiTheme="majorBidi" w:cstheme="majorBidi"/>
                <w:sz w:val="20"/>
              </w:rPr>
            </w:pPr>
            <w:r w:rsidRPr="002B698D">
              <w:rPr>
                <w:rFonts w:asciiTheme="majorBidi" w:hAnsiTheme="majorBidi" w:cstheme="majorBidi"/>
                <w:b/>
                <w:bCs/>
                <w:color w:val="000000"/>
                <w:sz w:val="20"/>
              </w:rPr>
              <w:t>Cash flows used in investing activities</w:t>
            </w:r>
          </w:p>
        </w:tc>
        <w:tc>
          <w:tcPr>
            <w:tcW w:w="1247" w:type="dxa"/>
            <w:shd w:val="clear" w:color="auto" w:fill="auto"/>
            <w:noWrap/>
            <w:vAlign w:val="bottom"/>
          </w:tcPr>
          <w:p w14:paraId="550EF92A" w14:textId="4867AE34" w:rsidR="00AB623D" w:rsidRPr="00AB623D" w:rsidRDefault="00AB623D" w:rsidP="00AB623D">
            <w:pPr>
              <w:pBdr>
                <w:bottom w:val="single" w:sz="4" w:space="1" w:color="auto"/>
              </w:pBdr>
              <w:spacing w:before="40"/>
              <w:jc w:val="right"/>
              <w:rPr>
                <w:sz w:val="20"/>
              </w:rPr>
            </w:pPr>
            <w:r w:rsidRPr="00AB623D">
              <w:rPr>
                <w:sz w:val="20"/>
              </w:rPr>
              <w:t>(302,204)</w:t>
            </w:r>
          </w:p>
        </w:tc>
        <w:tc>
          <w:tcPr>
            <w:tcW w:w="1247" w:type="dxa"/>
            <w:shd w:val="clear" w:color="auto" w:fill="auto"/>
            <w:noWrap/>
            <w:vAlign w:val="bottom"/>
          </w:tcPr>
          <w:p w14:paraId="3A799740" w14:textId="5005D868" w:rsidR="00AB623D" w:rsidRPr="00844735" w:rsidRDefault="00AB623D" w:rsidP="00AB623D">
            <w:pPr>
              <w:pBdr>
                <w:bottom w:val="single" w:sz="4" w:space="1" w:color="auto"/>
              </w:pBdr>
              <w:spacing w:before="40"/>
              <w:jc w:val="right"/>
              <w:rPr>
                <w:rFonts w:asciiTheme="majorBidi" w:hAnsiTheme="majorBidi" w:cstheme="majorBidi"/>
                <w:sz w:val="20"/>
              </w:rPr>
            </w:pPr>
            <w:r w:rsidRPr="0020502A">
              <w:rPr>
                <w:rFonts w:asciiTheme="majorBidi" w:hAnsiTheme="majorBidi" w:cstheme="majorBidi"/>
                <w:color w:val="000000"/>
                <w:sz w:val="20"/>
                <w:szCs w:val="16"/>
              </w:rPr>
              <w:t>(256,288)</w:t>
            </w:r>
          </w:p>
        </w:tc>
        <w:tc>
          <w:tcPr>
            <w:tcW w:w="1247" w:type="dxa"/>
            <w:shd w:val="clear" w:color="auto" w:fill="auto"/>
            <w:noWrap/>
            <w:vAlign w:val="bottom"/>
          </w:tcPr>
          <w:p w14:paraId="65AC47AB" w14:textId="79243A63" w:rsidR="00AB623D" w:rsidRPr="00866299" w:rsidRDefault="00AB623D" w:rsidP="00AB623D">
            <w:pPr>
              <w:pBdr>
                <w:bottom w:val="single" w:sz="4" w:space="1" w:color="auto"/>
              </w:pBdr>
              <w:spacing w:before="40"/>
              <w:jc w:val="right"/>
              <w:rPr>
                <w:rFonts w:asciiTheme="majorBidi" w:hAnsiTheme="majorBidi" w:cstheme="majorBidi"/>
                <w:sz w:val="20"/>
              </w:rPr>
            </w:pPr>
            <w:r w:rsidRPr="00844735">
              <w:rPr>
                <w:sz w:val="20"/>
              </w:rPr>
              <w:t>(303,201)</w:t>
            </w:r>
          </w:p>
        </w:tc>
      </w:tr>
      <w:tr w:rsidR="003B2B96" w:rsidRPr="00866299" w14:paraId="0DDBAB4F" w14:textId="77777777" w:rsidTr="006909F2">
        <w:trPr>
          <w:trHeight w:val="173"/>
        </w:trPr>
        <w:tc>
          <w:tcPr>
            <w:tcW w:w="6212" w:type="dxa"/>
            <w:shd w:val="clear" w:color="auto" w:fill="auto"/>
            <w:vAlign w:val="bottom"/>
          </w:tcPr>
          <w:p w14:paraId="1B219793" w14:textId="77777777" w:rsidR="003B2B96" w:rsidRDefault="003B2B96" w:rsidP="003B2B96">
            <w:pPr>
              <w:spacing w:before="40"/>
              <w:rPr>
                <w:rFonts w:asciiTheme="majorBidi" w:hAnsiTheme="majorBidi" w:cstheme="majorBidi"/>
                <w:b/>
                <w:bCs/>
                <w:color w:val="000000"/>
                <w:sz w:val="20"/>
              </w:rPr>
            </w:pPr>
          </w:p>
          <w:p w14:paraId="151516BB" w14:textId="5C17E10D" w:rsidR="003B2B96" w:rsidRPr="00440C55" w:rsidRDefault="003B2B96" w:rsidP="003B2B96">
            <w:pPr>
              <w:spacing w:before="40"/>
              <w:rPr>
                <w:rFonts w:asciiTheme="majorBidi" w:hAnsiTheme="majorBidi" w:cstheme="majorBidi"/>
                <w:b/>
                <w:bCs/>
                <w:color w:val="000000"/>
                <w:sz w:val="8"/>
                <w:szCs w:val="8"/>
              </w:rPr>
            </w:pPr>
            <w:r w:rsidRPr="002B698D">
              <w:rPr>
                <w:rFonts w:asciiTheme="majorBidi" w:hAnsiTheme="majorBidi" w:cstheme="majorBidi"/>
                <w:b/>
                <w:bCs/>
                <w:color w:val="000000"/>
                <w:sz w:val="20"/>
              </w:rPr>
              <w:t>Cash flows from financing activities</w:t>
            </w:r>
          </w:p>
        </w:tc>
        <w:tc>
          <w:tcPr>
            <w:tcW w:w="1247" w:type="dxa"/>
            <w:shd w:val="clear" w:color="auto" w:fill="auto"/>
            <w:noWrap/>
            <w:vAlign w:val="bottom"/>
          </w:tcPr>
          <w:p w14:paraId="6515BE4D" w14:textId="77777777" w:rsidR="003B2B96" w:rsidRPr="00AB623D" w:rsidRDefault="003B2B96" w:rsidP="00AB623D">
            <w:pPr>
              <w:spacing w:before="40"/>
              <w:jc w:val="right"/>
              <w:rPr>
                <w:rFonts w:asciiTheme="majorBidi" w:hAnsiTheme="majorBidi" w:cstheme="majorBidi"/>
                <w:color w:val="000000"/>
                <w:sz w:val="18"/>
                <w:szCs w:val="18"/>
              </w:rPr>
            </w:pPr>
          </w:p>
        </w:tc>
        <w:tc>
          <w:tcPr>
            <w:tcW w:w="1247" w:type="dxa"/>
            <w:shd w:val="clear" w:color="auto" w:fill="auto"/>
            <w:noWrap/>
            <w:vAlign w:val="bottom"/>
          </w:tcPr>
          <w:p w14:paraId="0E327CEC" w14:textId="77777777" w:rsidR="003B2B96" w:rsidRPr="00844735" w:rsidRDefault="003B2B96" w:rsidP="003B2B96">
            <w:pPr>
              <w:spacing w:before="40"/>
              <w:jc w:val="right"/>
              <w:rPr>
                <w:rFonts w:asciiTheme="majorBidi" w:hAnsiTheme="majorBidi" w:cstheme="majorBidi"/>
                <w:sz w:val="20"/>
              </w:rPr>
            </w:pPr>
          </w:p>
        </w:tc>
        <w:tc>
          <w:tcPr>
            <w:tcW w:w="1247" w:type="dxa"/>
            <w:shd w:val="clear" w:color="auto" w:fill="auto"/>
            <w:noWrap/>
            <w:vAlign w:val="bottom"/>
          </w:tcPr>
          <w:p w14:paraId="41EF2142" w14:textId="77777777" w:rsidR="003B2B96" w:rsidRPr="00866299" w:rsidRDefault="003B2B96" w:rsidP="003B2B96">
            <w:pPr>
              <w:spacing w:before="40"/>
              <w:jc w:val="right"/>
              <w:rPr>
                <w:rFonts w:asciiTheme="majorBidi" w:hAnsiTheme="majorBidi" w:cstheme="majorBidi"/>
                <w:sz w:val="20"/>
              </w:rPr>
            </w:pPr>
          </w:p>
        </w:tc>
      </w:tr>
      <w:tr w:rsidR="00AB623D" w:rsidRPr="00866299" w14:paraId="075BD467" w14:textId="77777777" w:rsidTr="006909F2">
        <w:trPr>
          <w:trHeight w:val="266"/>
        </w:trPr>
        <w:tc>
          <w:tcPr>
            <w:tcW w:w="6212" w:type="dxa"/>
            <w:shd w:val="clear" w:color="auto" w:fill="auto"/>
            <w:vAlign w:val="bottom"/>
          </w:tcPr>
          <w:p w14:paraId="4C77465F" w14:textId="28D6DD22" w:rsidR="00AB623D" w:rsidRPr="002B698D" w:rsidRDefault="00AB623D" w:rsidP="00AB623D">
            <w:pPr>
              <w:spacing w:before="40"/>
              <w:rPr>
                <w:rFonts w:asciiTheme="majorBidi" w:hAnsiTheme="majorBidi" w:cstheme="majorBidi"/>
                <w:color w:val="000000"/>
                <w:sz w:val="20"/>
              </w:rPr>
            </w:pPr>
            <w:r w:rsidRPr="002B698D">
              <w:rPr>
                <w:rFonts w:asciiTheme="majorBidi" w:hAnsiTheme="majorBidi" w:cstheme="majorBidi"/>
                <w:color w:val="000000"/>
                <w:sz w:val="20"/>
              </w:rPr>
              <w:t>Repayment of non-current loans and borrowings</w:t>
            </w:r>
            <w:r>
              <w:rPr>
                <w:rFonts w:asciiTheme="majorBidi" w:hAnsiTheme="majorBidi" w:cstheme="majorBidi"/>
                <w:color w:val="000000"/>
                <w:sz w:val="20"/>
              </w:rPr>
              <w:t xml:space="preserve"> (*)</w:t>
            </w:r>
          </w:p>
        </w:tc>
        <w:tc>
          <w:tcPr>
            <w:tcW w:w="1247" w:type="dxa"/>
            <w:shd w:val="clear" w:color="auto" w:fill="auto"/>
            <w:noWrap/>
            <w:vAlign w:val="bottom"/>
          </w:tcPr>
          <w:p w14:paraId="16D3857A" w14:textId="4C92DA5B" w:rsidR="00AB623D" w:rsidRPr="00AB623D" w:rsidRDefault="00AB623D" w:rsidP="00AB623D">
            <w:pPr>
              <w:spacing w:before="40"/>
              <w:jc w:val="right"/>
              <w:rPr>
                <w:rFonts w:asciiTheme="majorBidi" w:hAnsiTheme="majorBidi" w:cstheme="majorBidi"/>
                <w:color w:val="000000"/>
                <w:sz w:val="18"/>
                <w:szCs w:val="18"/>
              </w:rPr>
            </w:pPr>
            <w:r w:rsidRPr="00AB623D">
              <w:rPr>
                <w:rFonts w:asciiTheme="majorBidi" w:hAnsiTheme="majorBidi" w:cstheme="majorBidi"/>
                <w:color w:val="000000"/>
                <w:sz w:val="18"/>
                <w:szCs w:val="18"/>
              </w:rPr>
              <w:t>(157,222)</w:t>
            </w:r>
          </w:p>
        </w:tc>
        <w:tc>
          <w:tcPr>
            <w:tcW w:w="1247" w:type="dxa"/>
            <w:shd w:val="clear" w:color="auto" w:fill="auto"/>
            <w:noWrap/>
            <w:vAlign w:val="bottom"/>
          </w:tcPr>
          <w:p w14:paraId="4BB4606D" w14:textId="7DE0F221" w:rsidR="00AB623D" w:rsidRPr="00844735" w:rsidRDefault="00AB623D" w:rsidP="00AB623D">
            <w:pPr>
              <w:spacing w:before="40"/>
              <w:jc w:val="right"/>
              <w:rPr>
                <w:sz w:val="20"/>
                <w:szCs w:val="16"/>
              </w:rPr>
            </w:pPr>
            <w:r w:rsidRPr="0095659A">
              <w:rPr>
                <w:sz w:val="20"/>
              </w:rPr>
              <w:t>(233,995)</w:t>
            </w:r>
          </w:p>
        </w:tc>
        <w:tc>
          <w:tcPr>
            <w:tcW w:w="1247" w:type="dxa"/>
            <w:shd w:val="clear" w:color="auto" w:fill="auto"/>
            <w:noWrap/>
            <w:vAlign w:val="bottom"/>
          </w:tcPr>
          <w:p w14:paraId="61E41DE5" w14:textId="107C992C" w:rsidR="00AB623D" w:rsidRPr="00866299" w:rsidRDefault="00AB623D" w:rsidP="00AB623D">
            <w:pPr>
              <w:spacing w:before="40"/>
              <w:jc w:val="right"/>
              <w:rPr>
                <w:rFonts w:asciiTheme="majorBidi" w:hAnsiTheme="majorBidi" w:cstheme="majorBidi"/>
                <w:color w:val="000000"/>
                <w:sz w:val="20"/>
              </w:rPr>
            </w:pPr>
            <w:r w:rsidRPr="00844735">
              <w:rPr>
                <w:sz w:val="20"/>
              </w:rPr>
              <w:t>(521,239)</w:t>
            </w:r>
          </w:p>
        </w:tc>
      </w:tr>
      <w:tr w:rsidR="00AB623D" w:rsidRPr="00866299" w14:paraId="2168442E" w14:textId="77777777" w:rsidTr="006909F2">
        <w:trPr>
          <w:trHeight w:val="266"/>
        </w:trPr>
        <w:tc>
          <w:tcPr>
            <w:tcW w:w="6212" w:type="dxa"/>
            <w:shd w:val="clear" w:color="auto" w:fill="auto"/>
            <w:vAlign w:val="bottom"/>
            <w:hideMark/>
          </w:tcPr>
          <w:p w14:paraId="13A61C54" w14:textId="7A37602E" w:rsidR="00AB623D" w:rsidRPr="002B698D" w:rsidRDefault="00AB623D" w:rsidP="00AB623D">
            <w:pPr>
              <w:spacing w:before="40"/>
              <w:rPr>
                <w:rFonts w:asciiTheme="majorBidi" w:hAnsiTheme="majorBidi" w:cstheme="majorBidi"/>
                <w:sz w:val="20"/>
              </w:rPr>
            </w:pPr>
            <w:r w:rsidRPr="002B698D">
              <w:rPr>
                <w:rFonts w:asciiTheme="majorBidi" w:hAnsiTheme="majorBidi" w:cstheme="majorBidi"/>
                <w:color w:val="000000"/>
                <w:sz w:val="20"/>
              </w:rPr>
              <w:t>Proceeds from non-current loans and borrowings</w:t>
            </w:r>
            <w:r>
              <w:rPr>
                <w:rFonts w:asciiTheme="majorBidi" w:hAnsiTheme="majorBidi" w:cstheme="majorBidi"/>
                <w:color w:val="000000"/>
                <w:sz w:val="20"/>
              </w:rPr>
              <w:t xml:space="preserve"> (*)</w:t>
            </w:r>
          </w:p>
        </w:tc>
        <w:tc>
          <w:tcPr>
            <w:tcW w:w="1247" w:type="dxa"/>
            <w:shd w:val="clear" w:color="auto" w:fill="auto"/>
            <w:noWrap/>
            <w:vAlign w:val="bottom"/>
          </w:tcPr>
          <w:p w14:paraId="66999190" w14:textId="11C3473F" w:rsidR="00AB623D" w:rsidRPr="00AB623D" w:rsidRDefault="00AB623D" w:rsidP="00AB623D">
            <w:pPr>
              <w:spacing w:before="40"/>
              <w:jc w:val="right"/>
              <w:rPr>
                <w:rFonts w:asciiTheme="majorBidi" w:hAnsiTheme="majorBidi" w:cstheme="majorBidi"/>
                <w:color w:val="000000"/>
                <w:sz w:val="18"/>
                <w:szCs w:val="18"/>
              </w:rPr>
            </w:pPr>
            <w:r w:rsidRPr="00AB623D">
              <w:rPr>
                <w:rFonts w:asciiTheme="majorBidi" w:hAnsiTheme="majorBidi" w:cstheme="majorBidi"/>
                <w:color w:val="000000"/>
                <w:sz w:val="18"/>
                <w:szCs w:val="18"/>
              </w:rPr>
              <w:t>373,924</w:t>
            </w:r>
          </w:p>
        </w:tc>
        <w:tc>
          <w:tcPr>
            <w:tcW w:w="1247" w:type="dxa"/>
            <w:shd w:val="clear" w:color="auto" w:fill="auto"/>
            <w:noWrap/>
            <w:vAlign w:val="bottom"/>
          </w:tcPr>
          <w:p w14:paraId="2C72335B" w14:textId="170CE748" w:rsidR="00AB623D" w:rsidRPr="00844735" w:rsidRDefault="00AB623D" w:rsidP="00AB623D">
            <w:pPr>
              <w:spacing w:before="40"/>
              <w:jc w:val="right"/>
              <w:rPr>
                <w:rFonts w:asciiTheme="majorBidi" w:hAnsiTheme="majorBidi" w:cstheme="majorBidi"/>
                <w:sz w:val="20"/>
              </w:rPr>
            </w:pPr>
            <w:r w:rsidRPr="0095659A">
              <w:rPr>
                <w:sz w:val="20"/>
              </w:rPr>
              <w:t>382,192</w:t>
            </w:r>
          </w:p>
        </w:tc>
        <w:tc>
          <w:tcPr>
            <w:tcW w:w="1247" w:type="dxa"/>
            <w:shd w:val="clear" w:color="auto" w:fill="auto"/>
            <w:noWrap/>
            <w:vAlign w:val="bottom"/>
          </w:tcPr>
          <w:p w14:paraId="3428EF12" w14:textId="69B98B92" w:rsidR="00AB623D" w:rsidRPr="00866299" w:rsidRDefault="00AB623D" w:rsidP="00AB623D">
            <w:pPr>
              <w:spacing w:before="40"/>
              <w:jc w:val="right"/>
              <w:rPr>
                <w:rFonts w:asciiTheme="majorBidi" w:hAnsiTheme="majorBidi" w:cstheme="majorBidi"/>
                <w:sz w:val="20"/>
              </w:rPr>
            </w:pPr>
            <w:r w:rsidRPr="00844735">
              <w:rPr>
                <w:sz w:val="20"/>
              </w:rPr>
              <w:t>769,319</w:t>
            </w:r>
          </w:p>
        </w:tc>
      </w:tr>
      <w:tr w:rsidR="00AB623D" w:rsidRPr="00866299" w14:paraId="3CF49EC5" w14:textId="77777777" w:rsidTr="006909F2">
        <w:trPr>
          <w:trHeight w:val="266"/>
        </w:trPr>
        <w:tc>
          <w:tcPr>
            <w:tcW w:w="6212" w:type="dxa"/>
            <w:shd w:val="clear" w:color="auto" w:fill="auto"/>
            <w:vAlign w:val="bottom"/>
            <w:hideMark/>
          </w:tcPr>
          <w:p w14:paraId="380C6CDB" w14:textId="46FAF6CE" w:rsidR="00AB623D" w:rsidRPr="002B698D" w:rsidRDefault="00AB623D" w:rsidP="00AB623D">
            <w:pPr>
              <w:spacing w:before="40"/>
              <w:rPr>
                <w:rFonts w:asciiTheme="majorBidi" w:hAnsiTheme="majorBidi" w:cstheme="majorBidi"/>
                <w:sz w:val="20"/>
              </w:rPr>
            </w:pPr>
            <w:r w:rsidRPr="002B698D">
              <w:rPr>
                <w:rFonts w:asciiTheme="majorBidi" w:hAnsiTheme="majorBidi" w:cstheme="majorBidi"/>
                <w:color w:val="000000"/>
                <w:sz w:val="20"/>
              </w:rPr>
              <w:t>Change in current loans and borrowings, net</w:t>
            </w:r>
          </w:p>
        </w:tc>
        <w:tc>
          <w:tcPr>
            <w:tcW w:w="1247" w:type="dxa"/>
            <w:shd w:val="clear" w:color="auto" w:fill="auto"/>
            <w:noWrap/>
            <w:vAlign w:val="bottom"/>
          </w:tcPr>
          <w:p w14:paraId="4FB8E6B9" w14:textId="0B91083E" w:rsidR="00AB623D" w:rsidRPr="00AB623D" w:rsidRDefault="00AB623D" w:rsidP="00AB623D">
            <w:pPr>
              <w:spacing w:before="40"/>
              <w:jc w:val="right"/>
              <w:rPr>
                <w:rFonts w:asciiTheme="majorBidi" w:hAnsiTheme="majorBidi" w:cstheme="majorBidi"/>
                <w:color w:val="000000"/>
                <w:sz w:val="18"/>
                <w:szCs w:val="18"/>
              </w:rPr>
            </w:pPr>
            <w:r w:rsidRPr="00AB623D">
              <w:rPr>
                <w:rFonts w:asciiTheme="majorBidi" w:hAnsiTheme="majorBidi" w:cstheme="majorBidi"/>
                <w:color w:val="000000"/>
                <w:sz w:val="18"/>
                <w:szCs w:val="18"/>
              </w:rPr>
              <w:t>(2,970)</w:t>
            </w:r>
          </w:p>
        </w:tc>
        <w:tc>
          <w:tcPr>
            <w:tcW w:w="1247" w:type="dxa"/>
            <w:shd w:val="clear" w:color="auto" w:fill="auto"/>
            <w:noWrap/>
            <w:vAlign w:val="bottom"/>
          </w:tcPr>
          <w:p w14:paraId="037826E5" w14:textId="0E2C505C" w:rsidR="00AB623D" w:rsidRPr="00844735" w:rsidRDefault="00AB623D" w:rsidP="00AB623D">
            <w:pPr>
              <w:spacing w:before="40"/>
              <w:jc w:val="right"/>
              <w:rPr>
                <w:rFonts w:asciiTheme="majorBidi" w:hAnsiTheme="majorBidi" w:cstheme="majorBidi"/>
                <w:sz w:val="20"/>
              </w:rPr>
            </w:pPr>
            <w:r w:rsidRPr="0095659A">
              <w:rPr>
                <w:sz w:val="20"/>
              </w:rPr>
              <w:t>8,064</w:t>
            </w:r>
          </w:p>
        </w:tc>
        <w:tc>
          <w:tcPr>
            <w:tcW w:w="1247" w:type="dxa"/>
            <w:shd w:val="clear" w:color="auto" w:fill="auto"/>
            <w:noWrap/>
            <w:vAlign w:val="bottom"/>
          </w:tcPr>
          <w:p w14:paraId="3378D0F2" w14:textId="6BAC32BB" w:rsidR="00AB623D" w:rsidRPr="00866299" w:rsidRDefault="00AB623D" w:rsidP="00AB623D">
            <w:pPr>
              <w:spacing w:before="40"/>
              <w:jc w:val="right"/>
              <w:rPr>
                <w:rFonts w:asciiTheme="majorBidi" w:hAnsiTheme="majorBidi" w:cstheme="majorBidi"/>
                <w:sz w:val="20"/>
              </w:rPr>
            </w:pPr>
            <w:r w:rsidRPr="00844735">
              <w:rPr>
                <w:sz w:val="20"/>
              </w:rPr>
              <w:t>(3,707)</w:t>
            </w:r>
          </w:p>
        </w:tc>
      </w:tr>
      <w:tr w:rsidR="00AB623D" w:rsidRPr="00866299" w14:paraId="05C44765" w14:textId="77777777" w:rsidTr="006909F2">
        <w:trPr>
          <w:trHeight w:val="266"/>
        </w:trPr>
        <w:tc>
          <w:tcPr>
            <w:tcW w:w="6212" w:type="dxa"/>
            <w:shd w:val="clear" w:color="auto" w:fill="auto"/>
            <w:vAlign w:val="bottom"/>
            <w:hideMark/>
          </w:tcPr>
          <w:p w14:paraId="0F7BB0A7" w14:textId="6AD55299" w:rsidR="00AB623D" w:rsidRPr="002B698D" w:rsidRDefault="00AB623D" w:rsidP="00AB623D">
            <w:pPr>
              <w:spacing w:before="40"/>
              <w:rPr>
                <w:rFonts w:asciiTheme="majorBidi" w:hAnsiTheme="majorBidi" w:cstheme="majorBidi"/>
                <w:sz w:val="20"/>
              </w:rPr>
            </w:pPr>
            <w:r w:rsidRPr="002B698D">
              <w:rPr>
                <w:rFonts w:asciiTheme="majorBidi" w:hAnsiTheme="majorBidi" w:cstheme="majorBidi"/>
                <w:color w:val="000000"/>
                <w:sz w:val="20"/>
              </w:rPr>
              <w:t>Payment of finance lease liabilities</w:t>
            </w:r>
          </w:p>
        </w:tc>
        <w:tc>
          <w:tcPr>
            <w:tcW w:w="1247" w:type="dxa"/>
            <w:shd w:val="clear" w:color="auto" w:fill="auto"/>
            <w:noWrap/>
            <w:vAlign w:val="bottom"/>
          </w:tcPr>
          <w:p w14:paraId="1734BC47" w14:textId="55F5E985" w:rsidR="00AB623D" w:rsidRPr="00AB623D" w:rsidRDefault="00AB623D" w:rsidP="00AB623D">
            <w:pPr>
              <w:spacing w:before="40"/>
              <w:jc w:val="right"/>
              <w:rPr>
                <w:rFonts w:asciiTheme="majorBidi" w:hAnsiTheme="majorBidi" w:cstheme="majorBidi"/>
                <w:color w:val="000000"/>
                <w:sz w:val="18"/>
                <w:szCs w:val="18"/>
              </w:rPr>
            </w:pPr>
            <w:r w:rsidRPr="00AB623D">
              <w:rPr>
                <w:rFonts w:asciiTheme="majorBidi" w:hAnsiTheme="majorBidi" w:cstheme="majorBidi"/>
                <w:color w:val="000000"/>
                <w:sz w:val="18"/>
                <w:szCs w:val="18"/>
              </w:rPr>
              <w:t>(1,775)</w:t>
            </w:r>
          </w:p>
        </w:tc>
        <w:tc>
          <w:tcPr>
            <w:tcW w:w="1247" w:type="dxa"/>
            <w:shd w:val="clear" w:color="auto" w:fill="auto"/>
            <w:noWrap/>
            <w:vAlign w:val="bottom"/>
          </w:tcPr>
          <w:p w14:paraId="5D27BFD1" w14:textId="482321D3" w:rsidR="00AB623D" w:rsidRPr="00844735" w:rsidRDefault="00AB623D" w:rsidP="00AB623D">
            <w:pPr>
              <w:spacing w:before="40"/>
              <w:jc w:val="right"/>
              <w:rPr>
                <w:rFonts w:asciiTheme="majorBidi" w:hAnsiTheme="majorBidi" w:cstheme="majorBidi"/>
                <w:sz w:val="20"/>
              </w:rPr>
            </w:pPr>
            <w:r w:rsidRPr="0095659A">
              <w:rPr>
                <w:sz w:val="20"/>
              </w:rPr>
              <w:t>(1,808)</w:t>
            </w:r>
          </w:p>
        </w:tc>
        <w:tc>
          <w:tcPr>
            <w:tcW w:w="1247" w:type="dxa"/>
            <w:shd w:val="clear" w:color="auto" w:fill="auto"/>
            <w:noWrap/>
            <w:vAlign w:val="bottom"/>
          </w:tcPr>
          <w:p w14:paraId="58F68E77" w14:textId="46932E3D" w:rsidR="00AB623D" w:rsidRPr="00866299" w:rsidRDefault="00AB623D" w:rsidP="00AB623D">
            <w:pPr>
              <w:spacing w:before="40"/>
              <w:jc w:val="right"/>
              <w:rPr>
                <w:rFonts w:asciiTheme="majorBidi" w:hAnsiTheme="majorBidi" w:cstheme="majorBidi"/>
                <w:sz w:val="20"/>
              </w:rPr>
            </w:pPr>
            <w:r w:rsidRPr="00844735">
              <w:rPr>
                <w:sz w:val="20"/>
              </w:rPr>
              <w:t>(1,363)</w:t>
            </w:r>
          </w:p>
        </w:tc>
      </w:tr>
      <w:tr w:rsidR="00AB623D" w:rsidRPr="00866299" w14:paraId="1F67444F" w14:textId="77777777" w:rsidTr="006909F2">
        <w:trPr>
          <w:trHeight w:val="266"/>
        </w:trPr>
        <w:tc>
          <w:tcPr>
            <w:tcW w:w="6212" w:type="dxa"/>
            <w:shd w:val="clear" w:color="auto" w:fill="auto"/>
            <w:vAlign w:val="bottom"/>
            <w:hideMark/>
          </w:tcPr>
          <w:p w14:paraId="55F3B133" w14:textId="002F684D" w:rsidR="00AB623D" w:rsidRPr="002B698D" w:rsidRDefault="00AB623D" w:rsidP="00AB623D">
            <w:pPr>
              <w:spacing w:before="40"/>
              <w:rPr>
                <w:rFonts w:asciiTheme="majorBidi" w:hAnsiTheme="majorBidi" w:cstheme="majorBidi"/>
                <w:sz w:val="20"/>
              </w:rPr>
            </w:pPr>
            <w:r w:rsidRPr="002B698D">
              <w:rPr>
                <w:rFonts w:asciiTheme="majorBidi" w:hAnsiTheme="majorBidi" w:cstheme="majorBidi"/>
                <w:color w:val="000000"/>
                <w:sz w:val="20"/>
              </w:rPr>
              <w:t>Interest paid</w:t>
            </w:r>
          </w:p>
        </w:tc>
        <w:tc>
          <w:tcPr>
            <w:tcW w:w="1247" w:type="dxa"/>
            <w:shd w:val="clear" w:color="auto" w:fill="auto"/>
            <w:noWrap/>
            <w:vAlign w:val="bottom"/>
          </w:tcPr>
          <w:p w14:paraId="00E1E49F" w14:textId="560C7998" w:rsidR="00AB623D" w:rsidRPr="00AB623D" w:rsidRDefault="00AB623D" w:rsidP="00AB623D">
            <w:pPr>
              <w:pBdr>
                <w:bottom w:val="single" w:sz="4" w:space="1" w:color="auto"/>
              </w:pBdr>
              <w:spacing w:before="40"/>
              <w:jc w:val="right"/>
              <w:rPr>
                <w:sz w:val="20"/>
              </w:rPr>
            </w:pPr>
            <w:r w:rsidRPr="00AB623D">
              <w:rPr>
                <w:sz w:val="20"/>
              </w:rPr>
              <w:t>(59,003)</w:t>
            </w:r>
          </w:p>
        </w:tc>
        <w:tc>
          <w:tcPr>
            <w:tcW w:w="1247" w:type="dxa"/>
            <w:shd w:val="clear" w:color="auto" w:fill="auto"/>
            <w:noWrap/>
            <w:vAlign w:val="bottom"/>
          </w:tcPr>
          <w:p w14:paraId="750C5B3C" w14:textId="1761AD8F" w:rsidR="00AB623D" w:rsidRPr="00844735" w:rsidRDefault="00AB623D" w:rsidP="00AB623D">
            <w:pPr>
              <w:pBdr>
                <w:bottom w:val="single" w:sz="4" w:space="1" w:color="auto"/>
              </w:pBdr>
              <w:spacing w:before="40"/>
              <w:jc w:val="right"/>
              <w:rPr>
                <w:rFonts w:asciiTheme="majorBidi" w:hAnsiTheme="majorBidi" w:cstheme="majorBidi"/>
                <w:sz w:val="20"/>
              </w:rPr>
            </w:pPr>
            <w:r w:rsidRPr="0095659A">
              <w:rPr>
                <w:sz w:val="20"/>
              </w:rPr>
              <w:t>(41,989)</w:t>
            </w:r>
          </w:p>
        </w:tc>
        <w:tc>
          <w:tcPr>
            <w:tcW w:w="1247" w:type="dxa"/>
            <w:shd w:val="clear" w:color="auto" w:fill="auto"/>
            <w:noWrap/>
            <w:vAlign w:val="bottom"/>
          </w:tcPr>
          <w:p w14:paraId="761504D5" w14:textId="13C74E48" w:rsidR="00AB623D" w:rsidRPr="00866299" w:rsidRDefault="00AB623D" w:rsidP="00AB623D">
            <w:pPr>
              <w:pBdr>
                <w:bottom w:val="single" w:sz="4" w:space="1" w:color="auto"/>
              </w:pBdr>
              <w:spacing w:before="40"/>
              <w:jc w:val="right"/>
              <w:rPr>
                <w:rFonts w:asciiTheme="majorBidi" w:hAnsiTheme="majorBidi" w:cstheme="majorBidi"/>
                <w:sz w:val="20"/>
              </w:rPr>
            </w:pPr>
            <w:r w:rsidRPr="00844735">
              <w:rPr>
                <w:sz w:val="20"/>
              </w:rPr>
              <w:t>(31,466)</w:t>
            </w:r>
          </w:p>
        </w:tc>
      </w:tr>
      <w:tr w:rsidR="00AB623D" w:rsidRPr="00866299" w14:paraId="3BC0935F" w14:textId="77777777" w:rsidTr="006909F2">
        <w:trPr>
          <w:trHeight w:val="80"/>
        </w:trPr>
        <w:tc>
          <w:tcPr>
            <w:tcW w:w="6212" w:type="dxa"/>
            <w:shd w:val="clear" w:color="auto" w:fill="auto"/>
            <w:vAlign w:val="bottom"/>
            <w:hideMark/>
          </w:tcPr>
          <w:p w14:paraId="57B457F3" w14:textId="3797C0E9" w:rsidR="00AB623D" w:rsidRPr="002B698D" w:rsidRDefault="00AB623D" w:rsidP="00AB623D">
            <w:pPr>
              <w:spacing w:before="40"/>
              <w:rPr>
                <w:rFonts w:asciiTheme="majorBidi" w:hAnsiTheme="majorBidi" w:cstheme="majorBidi"/>
                <w:sz w:val="20"/>
              </w:rPr>
            </w:pPr>
            <w:r w:rsidRPr="002B698D">
              <w:rPr>
                <w:rFonts w:asciiTheme="majorBidi" w:hAnsiTheme="majorBidi" w:cstheme="majorBidi"/>
                <w:b/>
                <w:bCs/>
                <w:color w:val="000000"/>
                <w:sz w:val="20"/>
              </w:rPr>
              <w:t>Cash flows from financing activities</w:t>
            </w:r>
          </w:p>
        </w:tc>
        <w:tc>
          <w:tcPr>
            <w:tcW w:w="1247" w:type="dxa"/>
            <w:shd w:val="clear" w:color="auto" w:fill="auto"/>
            <w:noWrap/>
            <w:vAlign w:val="bottom"/>
          </w:tcPr>
          <w:p w14:paraId="3C9EE988" w14:textId="4CAD7321" w:rsidR="00AB623D" w:rsidRPr="00AB623D" w:rsidRDefault="00AB623D" w:rsidP="00AB623D">
            <w:pPr>
              <w:pBdr>
                <w:bottom w:val="single" w:sz="4" w:space="1" w:color="auto"/>
              </w:pBdr>
              <w:spacing w:before="40"/>
              <w:jc w:val="right"/>
              <w:rPr>
                <w:sz w:val="20"/>
              </w:rPr>
            </w:pPr>
            <w:r w:rsidRPr="00AB623D">
              <w:rPr>
                <w:sz w:val="20"/>
              </w:rPr>
              <w:t>152,954</w:t>
            </w:r>
          </w:p>
        </w:tc>
        <w:tc>
          <w:tcPr>
            <w:tcW w:w="1247" w:type="dxa"/>
            <w:shd w:val="clear" w:color="auto" w:fill="auto"/>
            <w:noWrap/>
            <w:vAlign w:val="bottom"/>
          </w:tcPr>
          <w:p w14:paraId="3771E198" w14:textId="6012CE29" w:rsidR="00AB623D" w:rsidRPr="00844735" w:rsidRDefault="00AB623D" w:rsidP="00AB623D">
            <w:pPr>
              <w:pBdr>
                <w:bottom w:val="single" w:sz="4" w:space="1" w:color="auto"/>
              </w:pBdr>
              <w:spacing w:before="40"/>
              <w:jc w:val="right"/>
              <w:rPr>
                <w:rFonts w:asciiTheme="majorBidi" w:hAnsiTheme="majorBidi" w:cstheme="majorBidi"/>
                <w:sz w:val="20"/>
              </w:rPr>
            </w:pPr>
            <w:r w:rsidRPr="0020502A">
              <w:rPr>
                <w:sz w:val="20"/>
              </w:rPr>
              <w:t>112,464</w:t>
            </w:r>
          </w:p>
        </w:tc>
        <w:tc>
          <w:tcPr>
            <w:tcW w:w="1247" w:type="dxa"/>
            <w:shd w:val="clear" w:color="auto" w:fill="auto"/>
            <w:noWrap/>
            <w:vAlign w:val="bottom"/>
          </w:tcPr>
          <w:p w14:paraId="26E8603C" w14:textId="48A51F0D" w:rsidR="00AB623D" w:rsidRPr="00866299" w:rsidRDefault="00AB623D" w:rsidP="00AB623D">
            <w:pPr>
              <w:pBdr>
                <w:bottom w:val="single" w:sz="4" w:space="1" w:color="auto"/>
              </w:pBdr>
              <w:spacing w:before="40"/>
              <w:jc w:val="right"/>
              <w:rPr>
                <w:rFonts w:asciiTheme="majorBidi" w:hAnsiTheme="majorBidi" w:cstheme="majorBidi"/>
                <w:sz w:val="20"/>
              </w:rPr>
            </w:pPr>
            <w:r w:rsidRPr="00844735">
              <w:rPr>
                <w:sz w:val="20"/>
              </w:rPr>
              <w:t>211,544</w:t>
            </w:r>
          </w:p>
        </w:tc>
      </w:tr>
    </w:tbl>
    <w:p w14:paraId="3AF8ACAC" w14:textId="77777777" w:rsidR="00844735" w:rsidRDefault="00844735" w:rsidP="00EB3BEF">
      <w:pPr>
        <w:spacing w:before="40"/>
        <w:rPr>
          <w:color w:val="000000"/>
          <w:sz w:val="18"/>
          <w:szCs w:val="18"/>
        </w:rPr>
      </w:pPr>
    </w:p>
    <w:p w14:paraId="51564D53" w14:textId="6FCD8874" w:rsidR="00EB3BEF" w:rsidRPr="00A46CBC" w:rsidDel="00566D1C" w:rsidRDefault="00EB3BEF" w:rsidP="00EB3BEF">
      <w:pPr>
        <w:spacing w:before="40"/>
        <w:rPr>
          <w:sz w:val="20"/>
          <w:szCs w:val="16"/>
        </w:rPr>
      </w:pPr>
      <w:r w:rsidRPr="00610192">
        <w:rPr>
          <w:color w:val="000000"/>
          <w:sz w:val="18"/>
          <w:szCs w:val="18"/>
        </w:rPr>
        <w:t xml:space="preserve">(*) </w:t>
      </w:r>
      <w:r>
        <w:rPr>
          <w:color w:val="000000"/>
          <w:sz w:val="18"/>
          <w:szCs w:val="18"/>
        </w:rPr>
        <w:t xml:space="preserve">including </w:t>
      </w:r>
      <w:r>
        <w:rPr>
          <w:color w:val="000000"/>
          <w:sz w:val="20"/>
        </w:rPr>
        <w:t>l</w:t>
      </w:r>
      <w:r w:rsidRPr="00FC7FC1">
        <w:rPr>
          <w:color w:val="000000"/>
          <w:sz w:val="20"/>
        </w:rPr>
        <w:t>oans</w:t>
      </w:r>
      <w:r>
        <w:rPr>
          <w:color w:val="000000"/>
          <w:sz w:val="20"/>
        </w:rPr>
        <w:t xml:space="preserve"> </w:t>
      </w:r>
      <w:r w:rsidRPr="00FC7FC1">
        <w:rPr>
          <w:color w:val="000000"/>
          <w:sz w:val="20"/>
        </w:rPr>
        <w:t>from related parties</w:t>
      </w:r>
      <w:r w:rsidRPr="00610192">
        <w:rPr>
          <w:color w:val="000000"/>
          <w:sz w:val="18"/>
          <w:szCs w:val="18"/>
        </w:rPr>
        <w:t xml:space="preserve"> </w:t>
      </w:r>
      <w:r w:rsidRPr="00590609" w:rsidDel="007C4D9C">
        <w:rPr>
          <w:rFonts w:asciiTheme="majorBidi" w:hAnsiTheme="majorBidi" w:cstheme="majorBidi"/>
          <w:b/>
          <w:bCs/>
          <w:color w:val="000000"/>
          <w:sz w:val="20"/>
          <w:highlight w:val="yellow"/>
        </w:rPr>
        <w:t xml:space="preserve"> </w:t>
      </w:r>
      <w:r w:rsidRPr="002D0A26" w:rsidDel="00D41AEF">
        <w:rPr>
          <w:sz w:val="20"/>
          <w:szCs w:val="16"/>
        </w:rPr>
        <w:t xml:space="preserve"> </w:t>
      </w:r>
    </w:p>
    <w:p w14:paraId="76E14024" w14:textId="68D053F4" w:rsidR="00EB3BEF" w:rsidRPr="00866299" w:rsidRDefault="00EB3BEF" w:rsidP="00EB3BEF">
      <w:pPr>
        <w:spacing w:before="40"/>
        <w:rPr>
          <w:rFonts w:asciiTheme="majorBidi" w:hAnsiTheme="majorBidi" w:cstheme="majorBidi"/>
          <w:sz w:val="20"/>
        </w:rPr>
      </w:pPr>
      <w:r>
        <w:rPr>
          <w:color w:val="000000"/>
          <w:sz w:val="18"/>
          <w:szCs w:val="18"/>
        </w:rPr>
        <w:t xml:space="preserve">(**) including </w:t>
      </w:r>
      <w:r>
        <w:rPr>
          <w:color w:val="000000"/>
          <w:sz w:val="20"/>
        </w:rPr>
        <w:t>advances for investment properties under development</w:t>
      </w:r>
    </w:p>
    <w:p w14:paraId="04CED9DF" w14:textId="0E88FC55" w:rsidR="007E393D" w:rsidRDefault="007E393D" w:rsidP="00E6453F">
      <w:pPr>
        <w:rPr>
          <w:rFonts w:asciiTheme="majorBidi" w:hAnsiTheme="majorBidi" w:cstheme="majorBidi"/>
          <w:b/>
          <w:bCs/>
          <w:color w:val="000000"/>
          <w:sz w:val="20"/>
        </w:rPr>
      </w:pPr>
    </w:p>
    <w:p w14:paraId="4174AA75" w14:textId="1C6657BB" w:rsidR="00844735" w:rsidRDefault="00513FAC" w:rsidP="00844735">
      <w:pPr>
        <w:rPr>
          <w:spacing w:val="-2"/>
          <w:sz w:val="20"/>
        </w:rPr>
      </w:pPr>
      <w:r>
        <w:rPr>
          <w:sz w:val="20"/>
        </w:rPr>
        <w:t>The accompanying notes are an integral part of these consolidated financial statements.</w:t>
      </w:r>
    </w:p>
    <w:p w14:paraId="384504D3" w14:textId="5301DEB1" w:rsidR="00844735" w:rsidRDefault="00844735">
      <w:pPr>
        <w:rPr>
          <w:rFonts w:asciiTheme="majorBidi" w:hAnsiTheme="majorBidi" w:cstheme="majorBidi"/>
          <w:b/>
          <w:bCs/>
          <w:color w:val="000000"/>
          <w:sz w:val="20"/>
        </w:rPr>
      </w:pPr>
      <w:r>
        <w:rPr>
          <w:rFonts w:asciiTheme="majorBidi" w:hAnsiTheme="majorBidi" w:cstheme="majorBidi"/>
          <w:b/>
          <w:bCs/>
          <w:color w:val="000000"/>
          <w:sz w:val="20"/>
        </w:rPr>
        <w:br w:type="page"/>
      </w:r>
    </w:p>
    <w:p w14:paraId="000E02B1" w14:textId="77777777" w:rsidR="007E393D" w:rsidRDefault="007E393D" w:rsidP="00E6453F">
      <w:pPr>
        <w:rPr>
          <w:rFonts w:asciiTheme="majorBidi" w:hAnsiTheme="majorBidi" w:cstheme="majorBidi"/>
          <w:b/>
          <w:bCs/>
          <w:color w:val="000000"/>
          <w:sz w:val="20"/>
        </w:rPr>
      </w:pPr>
    </w:p>
    <w:p w14:paraId="65B4C508" w14:textId="7719DA9F" w:rsidR="008D51EF" w:rsidRPr="00E6453F" w:rsidRDefault="008D51EF" w:rsidP="00E6453F">
      <w:pPr>
        <w:rPr>
          <w:bCs/>
          <w:i/>
          <w:iCs/>
          <w:sz w:val="18"/>
        </w:rPr>
      </w:pPr>
      <w:r w:rsidRPr="002B698D">
        <w:rPr>
          <w:rFonts w:asciiTheme="majorBidi" w:hAnsiTheme="majorBidi" w:cstheme="majorBidi"/>
          <w:b/>
          <w:bCs/>
          <w:color w:val="000000"/>
          <w:sz w:val="20"/>
        </w:rPr>
        <w:t xml:space="preserve"> </w:t>
      </w:r>
      <w:r w:rsidR="00E6453F" w:rsidRPr="00F02921">
        <w:rPr>
          <w:rStyle w:val="Koteret"/>
          <w:b w:val="0"/>
          <w:bCs/>
          <w:i/>
          <w:iCs/>
        </w:rPr>
        <w:t>In thousands of Euros</w:t>
      </w:r>
    </w:p>
    <w:tbl>
      <w:tblPr>
        <w:tblW w:w="9953" w:type="dxa"/>
        <w:tblLayout w:type="fixed"/>
        <w:tblLook w:val="06A0" w:firstRow="1" w:lastRow="0" w:firstColumn="1" w:lastColumn="0" w:noHBand="1" w:noVBand="1"/>
        <w:tblCaption w:val="AHR01"/>
        <w:tblDescription w:val="Consolidated statement of cash flows"/>
      </w:tblPr>
      <w:tblGrid>
        <w:gridCol w:w="6212"/>
        <w:gridCol w:w="1247"/>
        <w:gridCol w:w="1247"/>
        <w:gridCol w:w="1247"/>
      </w:tblGrid>
      <w:tr w:rsidR="003B2B96" w:rsidRPr="00866299" w14:paraId="3614FDA7" w14:textId="77777777" w:rsidTr="006909F2">
        <w:trPr>
          <w:cantSplit/>
          <w:trHeight w:val="266"/>
          <w:tblHeader/>
        </w:trPr>
        <w:tc>
          <w:tcPr>
            <w:tcW w:w="6212" w:type="dxa"/>
            <w:shd w:val="clear" w:color="auto" w:fill="auto"/>
            <w:vAlign w:val="bottom"/>
          </w:tcPr>
          <w:p w14:paraId="4205954C" w14:textId="77777777" w:rsidR="003B2B96" w:rsidRPr="002B698D" w:rsidRDefault="003B2B96" w:rsidP="003B2B96">
            <w:pPr>
              <w:spacing w:before="40"/>
              <w:rPr>
                <w:rFonts w:asciiTheme="majorBidi" w:hAnsiTheme="majorBidi" w:cstheme="majorBidi"/>
                <w:b/>
                <w:bCs/>
                <w:color w:val="000000"/>
                <w:sz w:val="20"/>
              </w:rPr>
            </w:pPr>
          </w:p>
        </w:tc>
        <w:tc>
          <w:tcPr>
            <w:tcW w:w="1247" w:type="dxa"/>
            <w:shd w:val="clear" w:color="auto" w:fill="auto"/>
            <w:noWrap/>
            <w:vAlign w:val="bottom"/>
          </w:tcPr>
          <w:p w14:paraId="6B3D5933" w14:textId="1A680FD0" w:rsidR="003B2B96" w:rsidRPr="00844735" w:rsidRDefault="003B2B96" w:rsidP="003B2B96">
            <w:pPr>
              <w:pBdr>
                <w:bottom w:val="single" w:sz="4" w:space="1" w:color="auto"/>
              </w:pBdr>
              <w:spacing w:before="40"/>
              <w:ind w:left="57"/>
              <w:jc w:val="center"/>
              <w:rPr>
                <w:rFonts w:asciiTheme="majorBidi" w:hAnsiTheme="majorBidi" w:cstheme="majorBidi"/>
                <w:b/>
                <w:bCs/>
                <w:color w:val="000000"/>
                <w:sz w:val="18"/>
                <w:szCs w:val="18"/>
                <w:lang w:bidi="he-IL"/>
              </w:rPr>
            </w:pPr>
            <w:r w:rsidRPr="00844735">
              <w:rPr>
                <w:rFonts w:asciiTheme="majorBidi" w:hAnsiTheme="majorBidi" w:cstheme="majorBidi"/>
                <w:b/>
                <w:bCs/>
                <w:color w:val="000000"/>
                <w:sz w:val="18"/>
                <w:szCs w:val="18"/>
                <w:lang w:bidi="he-IL"/>
              </w:rPr>
              <w:t>20</w:t>
            </w:r>
            <w:r>
              <w:rPr>
                <w:rFonts w:asciiTheme="majorBidi" w:hAnsiTheme="majorBidi" w:cstheme="majorBidi" w:hint="cs"/>
                <w:b/>
                <w:bCs/>
                <w:color w:val="000000"/>
                <w:sz w:val="18"/>
                <w:szCs w:val="18"/>
                <w:rtl/>
                <w:lang w:bidi="he-IL"/>
              </w:rPr>
              <w:t>24</w:t>
            </w:r>
          </w:p>
        </w:tc>
        <w:tc>
          <w:tcPr>
            <w:tcW w:w="1247" w:type="dxa"/>
            <w:shd w:val="clear" w:color="auto" w:fill="auto"/>
            <w:noWrap/>
            <w:vAlign w:val="bottom"/>
          </w:tcPr>
          <w:p w14:paraId="2B93FC81" w14:textId="2A7224A0" w:rsidR="003B2B96" w:rsidRPr="00844735" w:rsidRDefault="003B2B96" w:rsidP="003B2B96">
            <w:pPr>
              <w:pBdr>
                <w:bottom w:val="single" w:sz="4" w:space="1" w:color="auto"/>
              </w:pBdr>
              <w:bidi/>
              <w:spacing w:before="40"/>
              <w:ind w:left="57"/>
              <w:jc w:val="center"/>
              <w:rPr>
                <w:rFonts w:asciiTheme="majorBidi" w:hAnsiTheme="majorBidi" w:cstheme="majorBidi"/>
                <w:b/>
                <w:bCs/>
                <w:color w:val="000000"/>
                <w:sz w:val="18"/>
                <w:szCs w:val="18"/>
                <w:rtl/>
                <w:lang w:bidi="he-IL"/>
              </w:rPr>
            </w:pPr>
            <w:r w:rsidRPr="00844735">
              <w:rPr>
                <w:rFonts w:asciiTheme="majorBidi" w:hAnsiTheme="majorBidi" w:cstheme="majorBidi"/>
                <w:b/>
                <w:bCs/>
                <w:color w:val="000000"/>
                <w:sz w:val="18"/>
                <w:szCs w:val="18"/>
                <w:lang w:bidi="he-IL"/>
              </w:rPr>
              <w:t>2023</w:t>
            </w:r>
          </w:p>
        </w:tc>
        <w:tc>
          <w:tcPr>
            <w:tcW w:w="1247" w:type="dxa"/>
            <w:shd w:val="clear" w:color="auto" w:fill="auto"/>
            <w:noWrap/>
            <w:vAlign w:val="bottom"/>
          </w:tcPr>
          <w:p w14:paraId="674AA7D1" w14:textId="60DABA23" w:rsidR="003B2B96" w:rsidRPr="00844735" w:rsidRDefault="003B2B96" w:rsidP="003B2B96">
            <w:pPr>
              <w:pBdr>
                <w:bottom w:val="single" w:sz="4" w:space="1" w:color="auto"/>
              </w:pBdr>
              <w:bidi/>
              <w:spacing w:before="40"/>
              <w:ind w:left="57"/>
              <w:jc w:val="center"/>
              <w:rPr>
                <w:rFonts w:asciiTheme="majorBidi" w:hAnsiTheme="majorBidi" w:cstheme="majorBidi"/>
                <w:b/>
                <w:bCs/>
                <w:color w:val="000000"/>
                <w:sz w:val="18"/>
                <w:szCs w:val="18"/>
                <w:lang w:bidi="he-IL"/>
              </w:rPr>
            </w:pPr>
            <w:r w:rsidRPr="00844735">
              <w:rPr>
                <w:rFonts w:asciiTheme="majorBidi" w:hAnsiTheme="majorBidi" w:cstheme="majorBidi"/>
                <w:b/>
                <w:bCs/>
                <w:color w:val="000000"/>
                <w:sz w:val="18"/>
                <w:szCs w:val="18"/>
                <w:lang w:bidi="he-IL"/>
              </w:rPr>
              <w:t>2022</w:t>
            </w:r>
          </w:p>
        </w:tc>
      </w:tr>
      <w:tr w:rsidR="002A2F94" w:rsidRPr="00866299" w14:paraId="319E20B6" w14:textId="77777777" w:rsidTr="006909F2">
        <w:trPr>
          <w:trHeight w:val="266"/>
        </w:trPr>
        <w:tc>
          <w:tcPr>
            <w:tcW w:w="6212" w:type="dxa"/>
            <w:shd w:val="clear" w:color="auto" w:fill="auto"/>
            <w:vAlign w:val="bottom"/>
          </w:tcPr>
          <w:p w14:paraId="7F6BE84A" w14:textId="77777777" w:rsidR="002A2F94" w:rsidRDefault="002A2F94" w:rsidP="002A2F94">
            <w:pPr>
              <w:spacing w:before="40"/>
              <w:rPr>
                <w:color w:val="000000"/>
                <w:sz w:val="18"/>
                <w:szCs w:val="18"/>
              </w:rPr>
            </w:pPr>
          </w:p>
          <w:p w14:paraId="1E8FFA74" w14:textId="1B31A8C9" w:rsidR="002A2F94" w:rsidRPr="002B698D" w:rsidRDefault="002A2F94" w:rsidP="002A2F94">
            <w:pPr>
              <w:spacing w:before="40"/>
              <w:rPr>
                <w:rFonts w:asciiTheme="majorBidi" w:hAnsiTheme="majorBidi" w:cstheme="majorBidi"/>
                <w:b/>
                <w:bCs/>
                <w:color w:val="000000"/>
                <w:sz w:val="20"/>
              </w:rPr>
            </w:pPr>
            <w:r w:rsidRPr="00543CAC">
              <w:rPr>
                <w:color w:val="000000"/>
                <w:sz w:val="20"/>
              </w:rPr>
              <w:t>Change in cash and cash equivalents</w:t>
            </w:r>
          </w:p>
        </w:tc>
        <w:tc>
          <w:tcPr>
            <w:tcW w:w="1247" w:type="dxa"/>
            <w:shd w:val="clear" w:color="auto" w:fill="auto"/>
            <w:noWrap/>
            <w:vAlign w:val="bottom"/>
          </w:tcPr>
          <w:p w14:paraId="1487F315" w14:textId="13424C40" w:rsidR="002A2F94" w:rsidRPr="002A2F94" w:rsidRDefault="002A2F94" w:rsidP="00502C08">
            <w:pPr>
              <w:spacing w:before="40"/>
              <w:jc w:val="right"/>
              <w:rPr>
                <w:sz w:val="20"/>
              </w:rPr>
            </w:pPr>
            <w:r w:rsidRPr="002A2F94">
              <w:rPr>
                <w:sz w:val="20"/>
              </w:rPr>
              <w:t>21,151</w:t>
            </w:r>
          </w:p>
        </w:tc>
        <w:tc>
          <w:tcPr>
            <w:tcW w:w="1247" w:type="dxa"/>
            <w:shd w:val="clear" w:color="auto" w:fill="auto"/>
            <w:noWrap/>
            <w:vAlign w:val="bottom"/>
          </w:tcPr>
          <w:p w14:paraId="3E853649" w14:textId="0531ABAE" w:rsidR="002A2F94" w:rsidRPr="00844735" w:rsidRDefault="002A2F94" w:rsidP="002A2F94">
            <w:pPr>
              <w:spacing w:before="40"/>
              <w:jc w:val="right"/>
              <w:rPr>
                <w:rFonts w:asciiTheme="majorBidi" w:hAnsiTheme="majorBidi" w:cstheme="majorBidi"/>
                <w:color w:val="000000"/>
                <w:sz w:val="20"/>
              </w:rPr>
            </w:pPr>
            <w:r w:rsidRPr="0095659A">
              <w:rPr>
                <w:sz w:val="20"/>
              </w:rPr>
              <w:t>(23,488)</w:t>
            </w:r>
          </w:p>
        </w:tc>
        <w:tc>
          <w:tcPr>
            <w:tcW w:w="1247" w:type="dxa"/>
            <w:shd w:val="clear" w:color="auto" w:fill="auto"/>
            <w:noWrap/>
            <w:vAlign w:val="bottom"/>
          </w:tcPr>
          <w:p w14:paraId="17805734" w14:textId="0ED3B79F" w:rsidR="002A2F94" w:rsidRPr="005862F2" w:rsidRDefault="002A2F94" w:rsidP="002A2F94">
            <w:pPr>
              <w:spacing w:before="40"/>
              <w:jc w:val="right"/>
              <w:rPr>
                <w:rFonts w:asciiTheme="majorBidi" w:hAnsiTheme="majorBidi" w:cstheme="majorBidi"/>
                <w:sz w:val="20"/>
              </w:rPr>
            </w:pPr>
            <w:r w:rsidRPr="00844735">
              <w:rPr>
                <w:sz w:val="20"/>
              </w:rPr>
              <w:t>25,933</w:t>
            </w:r>
          </w:p>
        </w:tc>
      </w:tr>
      <w:tr w:rsidR="002A2F94" w:rsidRPr="00866299" w14:paraId="2473F463" w14:textId="77777777" w:rsidTr="006909F2">
        <w:trPr>
          <w:trHeight w:val="266"/>
        </w:trPr>
        <w:tc>
          <w:tcPr>
            <w:tcW w:w="6212" w:type="dxa"/>
            <w:shd w:val="clear" w:color="auto" w:fill="auto"/>
            <w:vAlign w:val="bottom"/>
          </w:tcPr>
          <w:p w14:paraId="3A69D59A" w14:textId="599817C9" w:rsidR="002A2F94" w:rsidRPr="002B698D" w:rsidRDefault="002A2F94" w:rsidP="002A2F94">
            <w:pPr>
              <w:spacing w:before="40"/>
              <w:rPr>
                <w:rFonts w:asciiTheme="majorBidi" w:hAnsiTheme="majorBidi" w:cstheme="majorBidi"/>
                <w:b/>
                <w:bCs/>
                <w:color w:val="000000"/>
                <w:sz w:val="20"/>
              </w:rPr>
            </w:pPr>
            <w:r w:rsidRPr="002B698D">
              <w:rPr>
                <w:rFonts w:asciiTheme="majorBidi" w:hAnsiTheme="majorBidi" w:cstheme="majorBidi"/>
                <w:color w:val="000000"/>
                <w:sz w:val="20"/>
              </w:rPr>
              <w:t>Cash and cash equivalents at the beginning of the year</w:t>
            </w:r>
          </w:p>
        </w:tc>
        <w:tc>
          <w:tcPr>
            <w:tcW w:w="1247" w:type="dxa"/>
            <w:shd w:val="clear" w:color="auto" w:fill="auto"/>
            <w:noWrap/>
            <w:vAlign w:val="bottom"/>
          </w:tcPr>
          <w:p w14:paraId="0934457F" w14:textId="08B484BC" w:rsidR="002A2F94" w:rsidRPr="002A2F94" w:rsidRDefault="002A2F94" w:rsidP="00502C08">
            <w:pPr>
              <w:spacing w:before="40"/>
              <w:jc w:val="right"/>
              <w:rPr>
                <w:sz w:val="20"/>
              </w:rPr>
            </w:pPr>
            <w:r w:rsidRPr="002A2F94">
              <w:rPr>
                <w:sz w:val="20"/>
              </w:rPr>
              <w:t>82,818</w:t>
            </w:r>
          </w:p>
        </w:tc>
        <w:tc>
          <w:tcPr>
            <w:tcW w:w="1247" w:type="dxa"/>
            <w:shd w:val="clear" w:color="auto" w:fill="auto"/>
            <w:noWrap/>
            <w:vAlign w:val="bottom"/>
          </w:tcPr>
          <w:p w14:paraId="355AD6BB" w14:textId="6B37FCC4" w:rsidR="002A2F94" w:rsidRPr="00844735" w:rsidRDefault="002A2F94" w:rsidP="002A2F94">
            <w:pPr>
              <w:spacing w:before="40"/>
              <w:jc w:val="right"/>
              <w:rPr>
                <w:rFonts w:asciiTheme="majorBidi" w:hAnsiTheme="majorBidi" w:cstheme="majorBidi"/>
                <w:color w:val="000000"/>
                <w:sz w:val="20"/>
              </w:rPr>
            </w:pPr>
            <w:r w:rsidRPr="0095659A">
              <w:rPr>
                <w:color w:val="000000"/>
                <w:sz w:val="20"/>
              </w:rPr>
              <w:t>106,003</w:t>
            </w:r>
          </w:p>
        </w:tc>
        <w:tc>
          <w:tcPr>
            <w:tcW w:w="1247" w:type="dxa"/>
            <w:shd w:val="clear" w:color="auto" w:fill="auto"/>
            <w:noWrap/>
            <w:vAlign w:val="bottom"/>
          </w:tcPr>
          <w:p w14:paraId="78EC833F" w14:textId="48E425D3" w:rsidR="002A2F94" w:rsidRPr="005862F2" w:rsidRDefault="002A2F94" w:rsidP="002A2F94">
            <w:pPr>
              <w:spacing w:before="40"/>
              <w:jc w:val="right"/>
              <w:rPr>
                <w:rFonts w:asciiTheme="majorBidi" w:hAnsiTheme="majorBidi" w:cstheme="majorBidi"/>
                <w:sz w:val="20"/>
              </w:rPr>
            </w:pPr>
            <w:r w:rsidRPr="00844735">
              <w:rPr>
                <w:color w:val="000000"/>
                <w:sz w:val="20"/>
              </w:rPr>
              <w:t>82,286</w:t>
            </w:r>
          </w:p>
        </w:tc>
      </w:tr>
      <w:tr w:rsidR="002A2F94" w:rsidRPr="00866299" w14:paraId="154E2F14" w14:textId="77777777" w:rsidTr="006909F2">
        <w:trPr>
          <w:trHeight w:val="266"/>
        </w:trPr>
        <w:tc>
          <w:tcPr>
            <w:tcW w:w="6212" w:type="dxa"/>
            <w:shd w:val="clear" w:color="auto" w:fill="auto"/>
            <w:vAlign w:val="bottom"/>
          </w:tcPr>
          <w:p w14:paraId="484B99E7" w14:textId="5831E357" w:rsidR="002A2F94" w:rsidRPr="002B698D" w:rsidRDefault="002A2F94" w:rsidP="002A2F94">
            <w:pPr>
              <w:spacing w:before="40"/>
              <w:rPr>
                <w:rFonts w:asciiTheme="majorBidi" w:hAnsiTheme="majorBidi" w:cstheme="majorBidi"/>
                <w:b/>
                <w:bCs/>
                <w:color w:val="000000"/>
                <w:sz w:val="20"/>
              </w:rPr>
            </w:pPr>
            <w:r w:rsidRPr="002B698D">
              <w:rPr>
                <w:rFonts w:asciiTheme="majorBidi" w:hAnsiTheme="majorBidi" w:cstheme="majorBidi"/>
                <w:color w:val="000000"/>
                <w:sz w:val="20"/>
              </w:rPr>
              <w:t>Effect of exchange rate fluctuations on cash held</w:t>
            </w:r>
          </w:p>
        </w:tc>
        <w:tc>
          <w:tcPr>
            <w:tcW w:w="1247" w:type="dxa"/>
            <w:shd w:val="clear" w:color="auto" w:fill="auto"/>
            <w:noWrap/>
            <w:vAlign w:val="bottom"/>
          </w:tcPr>
          <w:p w14:paraId="175C19F2" w14:textId="211F26AC" w:rsidR="002A2F94" w:rsidRPr="002A2F94" w:rsidRDefault="002A2F94" w:rsidP="00502C08">
            <w:pPr>
              <w:pBdr>
                <w:bottom w:val="single" w:sz="4" w:space="1" w:color="auto"/>
              </w:pBdr>
              <w:spacing w:before="40"/>
              <w:jc w:val="right"/>
              <w:rPr>
                <w:sz w:val="20"/>
              </w:rPr>
            </w:pPr>
            <w:r w:rsidRPr="002A2F94">
              <w:rPr>
                <w:sz w:val="20"/>
              </w:rPr>
              <w:t>99</w:t>
            </w:r>
          </w:p>
        </w:tc>
        <w:tc>
          <w:tcPr>
            <w:tcW w:w="1247" w:type="dxa"/>
            <w:shd w:val="clear" w:color="auto" w:fill="auto"/>
            <w:noWrap/>
            <w:vAlign w:val="bottom"/>
          </w:tcPr>
          <w:p w14:paraId="435C2963" w14:textId="738BEFDC" w:rsidR="002A2F94" w:rsidRPr="00844735" w:rsidRDefault="002A2F94" w:rsidP="002A2F94">
            <w:pPr>
              <w:pBdr>
                <w:bottom w:val="single" w:sz="4" w:space="1" w:color="auto"/>
              </w:pBdr>
              <w:spacing w:before="40"/>
              <w:jc w:val="right"/>
              <w:rPr>
                <w:rFonts w:asciiTheme="majorBidi" w:hAnsiTheme="majorBidi" w:cstheme="majorBidi"/>
                <w:color w:val="000000"/>
                <w:sz w:val="20"/>
              </w:rPr>
            </w:pPr>
            <w:r w:rsidRPr="0095659A">
              <w:rPr>
                <w:color w:val="000000"/>
                <w:sz w:val="20"/>
              </w:rPr>
              <w:t>303</w:t>
            </w:r>
          </w:p>
        </w:tc>
        <w:tc>
          <w:tcPr>
            <w:tcW w:w="1247" w:type="dxa"/>
            <w:shd w:val="clear" w:color="auto" w:fill="auto"/>
            <w:noWrap/>
            <w:vAlign w:val="bottom"/>
          </w:tcPr>
          <w:p w14:paraId="41AC97F3" w14:textId="22740F96" w:rsidR="002A2F94" w:rsidRPr="005862F2" w:rsidRDefault="002A2F94" w:rsidP="002A2F94">
            <w:pPr>
              <w:pBdr>
                <w:bottom w:val="single" w:sz="4" w:space="1" w:color="auto"/>
              </w:pBdr>
              <w:spacing w:before="40"/>
              <w:jc w:val="right"/>
              <w:rPr>
                <w:rFonts w:asciiTheme="majorBidi" w:hAnsiTheme="majorBidi" w:cstheme="majorBidi"/>
                <w:sz w:val="20"/>
              </w:rPr>
            </w:pPr>
            <w:r w:rsidRPr="00844735">
              <w:rPr>
                <w:color w:val="000000"/>
                <w:sz w:val="20"/>
              </w:rPr>
              <w:t>(2,216)</w:t>
            </w:r>
          </w:p>
        </w:tc>
      </w:tr>
      <w:tr w:rsidR="002A2F94" w:rsidRPr="00866299" w14:paraId="1E91F7E6" w14:textId="77777777" w:rsidTr="006909F2">
        <w:trPr>
          <w:trHeight w:val="266"/>
        </w:trPr>
        <w:tc>
          <w:tcPr>
            <w:tcW w:w="6212" w:type="dxa"/>
            <w:shd w:val="clear" w:color="auto" w:fill="auto"/>
            <w:vAlign w:val="bottom"/>
          </w:tcPr>
          <w:p w14:paraId="538F4AA1" w14:textId="75D371D5" w:rsidR="002A2F94" w:rsidRPr="002B698D" w:rsidRDefault="002A2F94" w:rsidP="002A2F94">
            <w:pPr>
              <w:spacing w:before="40"/>
              <w:rPr>
                <w:rFonts w:asciiTheme="majorBidi" w:hAnsiTheme="majorBidi" w:cstheme="majorBidi"/>
                <w:b/>
                <w:bCs/>
                <w:color w:val="000000"/>
                <w:sz w:val="20"/>
              </w:rPr>
            </w:pPr>
            <w:r w:rsidRPr="002B698D">
              <w:rPr>
                <w:rFonts w:asciiTheme="majorBidi" w:hAnsiTheme="majorBidi" w:cstheme="majorBidi"/>
                <w:b/>
                <w:bCs/>
                <w:color w:val="000000"/>
                <w:sz w:val="20"/>
              </w:rPr>
              <w:t>Cash and cash equivalents at the end of the year</w:t>
            </w:r>
          </w:p>
        </w:tc>
        <w:tc>
          <w:tcPr>
            <w:tcW w:w="1247" w:type="dxa"/>
            <w:shd w:val="clear" w:color="auto" w:fill="auto"/>
            <w:noWrap/>
            <w:vAlign w:val="bottom"/>
          </w:tcPr>
          <w:p w14:paraId="3B2EF37B" w14:textId="0CB50B3A" w:rsidR="002A2F94" w:rsidRPr="002A2F94" w:rsidRDefault="002A2F94" w:rsidP="00502C08">
            <w:pPr>
              <w:pBdr>
                <w:bottom w:val="double" w:sz="4" w:space="1" w:color="auto"/>
              </w:pBdr>
              <w:spacing w:before="40"/>
              <w:jc w:val="right"/>
              <w:rPr>
                <w:sz w:val="20"/>
              </w:rPr>
            </w:pPr>
            <w:r w:rsidRPr="002A2F94">
              <w:rPr>
                <w:sz w:val="20"/>
              </w:rPr>
              <w:t>104,068</w:t>
            </w:r>
          </w:p>
        </w:tc>
        <w:tc>
          <w:tcPr>
            <w:tcW w:w="1247" w:type="dxa"/>
            <w:shd w:val="clear" w:color="auto" w:fill="auto"/>
            <w:noWrap/>
            <w:vAlign w:val="bottom"/>
          </w:tcPr>
          <w:p w14:paraId="133F8C3B" w14:textId="5986BC2A" w:rsidR="002A2F94" w:rsidRPr="00844735" w:rsidRDefault="002A2F94" w:rsidP="002A2F94">
            <w:pPr>
              <w:pBdr>
                <w:bottom w:val="double" w:sz="4" w:space="1" w:color="auto"/>
              </w:pBdr>
              <w:spacing w:before="40"/>
              <w:jc w:val="right"/>
              <w:rPr>
                <w:rFonts w:asciiTheme="majorBidi" w:hAnsiTheme="majorBidi" w:cstheme="majorBidi"/>
                <w:color w:val="000000"/>
                <w:sz w:val="20"/>
              </w:rPr>
            </w:pPr>
            <w:r w:rsidRPr="0020502A">
              <w:rPr>
                <w:sz w:val="20"/>
              </w:rPr>
              <w:t>82,818</w:t>
            </w:r>
          </w:p>
        </w:tc>
        <w:tc>
          <w:tcPr>
            <w:tcW w:w="1247" w:type="dxa"/>
            <w:shd w:val="clear" w:color="auto" w:fill="auto"/>
            <w:noWrap/>
            <w:vAlign w:val="bottom"/>
          </w:tcPr>
          <w:p w14:paraId="07F35F0C" w14:textId="54402DE7" w:rsidR="002A2F94" w:rsidRPr="008D69AD" w:rsidRDefault="002A2F94" w:rsidP="002A2F94">
            <w:pPr>
              <w:pBdr>
                <w:bottom w:val="double" w:sz="4" w:space="1" w:color="auto"/>
              </w:pBdr>
              <w:spacing w:before="40"/>
              <w:jc w:val="right"/>
              <w:rPr>
                <w:rFonts w:asciiTheme="majorBidi" w:hAnsiTheme="majorBidi" w:cstheme="majorBidi"/>
                <w:color w:val="000000"/>
                <w:sz w:val="20"/>
              </w:rPr>
            </w:pPr>
            <w:r w:rsidRPr="00844735">
              <w:rPr>
                <w:sz w:val="20"/>
              </w:rPr>
              <w:t>106,003</w:t>
            </w:r>
          </w:p>
        </w:tc>
      </w:tr>
      <w:tr w:rsidR="003B2B96" w:rsidRPr="00866299" w14:paraId="7EB400DF" w14:textId="77777777" w:rsidTr="006909F2">
        <w:trPr>
          <w:trHeight w:val="266"/>
        </w:trPr>
        <w:tc>
          <w:tcPr>
            <w:tcW w:w="6212" w:type="dxa"/>
            <w:shd w:val="clear" w:color="auto" w:fill="auto"/>
            <w:vAlign w:val="bottom"/>
          </w:tcPr>
          <w:p w14:paraId="3D883C3B" w14:textId="77777777" w:rsidR="003B2B96" w:rsidRDefault="003B2B96" w:rsidP="003B2B96">
            <w:pPr>
              <w:spacing w:before="40"/>
              <w:rPr>
                <w:rFonts w:asciiTheme="majorBidi" w:hAnsiTheme="majorBidi" w:cstheme="majorBidi"/>
                <w:b/>
                <w:bCs/>
                <w:color w:val="000000"/>
                <w:sz w:val="20"/>
              </w:rPr>
            </w:pPr>
          </w:p>
          <w:p w14:paraId="061AF76B" w14:textId="4A595616" w:rsidR="003B2B96" w:rsidRPr="002B698D" w:rsidRDefault="003B2B96" w:rsidP="003B2B96">
            <w:pPr>
              <w:spacing w:before="40"/>
              <w:rPr>
                <w:rFonts w:asciiTheme="majorBidi" w:hAnsiTheme="majorBidi" w:cstheme="majorBidi"/>
                <w:b/>
                <w:bCs/>
                <w:color w:val="000000"/>
                <w:sz w:val="20"/>
              </w:rPr>
            </w:pPr>
            <w:r w:rsidRPr="00BB34A5">
              <w:rPr>
                <w:rFonts w:asciiTheme="majorBidi" w:hAnsiTheme="majorBidi" w:cstheme="majorBidi"/>
                <w:b/>
                <w:bCs/>
                <w:color w:val="000000"/>
                <w:sz w:val="20"/>
              </w:rPr>
              <w:t>(</w:t>
            </w:r>
            <w:r>
              <w:rPr>
                <w:rFonts w:asciiTheme="majorBidi" w:hAnsiTheme="majorBidi" w:cstheme="majorBidi"/>
                <w:b/>
                <w:bCs/>
                <w:color w:val="000000"/>
                <w:sz w:val="20"/>
              </w:rPr>
              <w:t>A</w:t>
            </w:r>
            <w:r w:rsidRPr="00BB34A5">
              <w:rPr>
                <w:rFonts w:asciiTheme="majorBidi" w:hAnsiTheme="majorBidi" w:cstheme="majorBidi"/>
                <w:b/>
                <w:bCs/>
                <w:color w:val="000000"/>
                <w:sz w:val="20"/>
              </w:rPr>
              <w:t>) Significant non-cash transactions:</w:t>
            </w:r>
          </w:p>
        </w:tc>
        <w:tc>
          <w:tcPr>
            <w:tcW w:w="1247" w:type="dxa"/>
            <w:shd w:val="clear" w:color="auto" w:fill="auto"/>
            <w:noWrap/>
            <w:vAlign w:val="bottom"/>
          </w:tcPr>
          <w:p w14:paraId="5392806A" w14:textId="77777777" w:rsidR="003B2B96" w:rsidRPr="0020502A" w:rsidRDefault="003B2B96" w:rsidP="00502C08">
            <w:pPr>
              <w:spacing w:before="40"/>
              <w:jc w:val="right"/>
              <w:rPr>
                <w:rFonts w:asciiTheme="majorBidi" w:hAnsiTheme="majorBidi" w:cstheme="majorBidi"/>
                <w:color w:val="000000"/>
                <w:sz w:val="20"/>
                <w:highlight w:val="yellow"/>
              </w:rPr>
            </w:pPr>
          </w:p>
        </w:tc>
        <w:tc>
          <w:tcPr>
            <w:tcW w:w="1247" w:type="dxa"/>
            <w:shd w:val="clear" w:color="auto" w:fill="auto"/>
            <w:noWrap/>
            <w:vAlign w:val="bottom"/>
          </w:tcPr>
          <w:p w14:paraId="3655335B" w14:textId="77777777" w:rsidR="003B2B96" w:rsidRPr="00844735" w:rsidRDefault="003B2B96" w:rsidP="003B2B96">
            <w:pPr>
              <w:spacing w:before="40"/>
              <w:jc w:val="right"/>
              <w:rPr>
                <w:rFonts w:asciiTheme="majorBidi" w:hAnsiTheme="majorBidi" w:cstheme="majorBidi"/>
                <w:color w:val="000000"/>
                <w:sz w:val="20"/>
              </w:rPr>
            </w:pPr>
          </w:p>
        </w:tc>
        <w:tc>
          <w:tcPr>
            <w:tcW w:w="1247" w:type="dxa"/>
            <w:shd w:val="clear" w:color="auto" w:fill="auto"/>
            <w:noWrap/>
            <w:vAlign w:val="bottom"/>
          </w:tcPr>
          <w:p w14:paraId="7DA00385" w14:textId="77777777" w:rsidR="003B2B96" w:rsidRPr="005862F2" w:rsidRDefault="003B2B96" w:rsidP="003B2B96">
            <w:pPr>
              <w:spacing w:before="40"/>
              <w:jc w:val="right"/>
              <w:rPr>
                <w:rFonts w:asciiTheme="majorBidi" w:hAnsiTheme="majorBidi" w:cstheme="majorBidi"/>
                <w:sz w:val="20"/>
              </w:rPr>
            </w:pPr>
          </w:p>
        </w:tc>
      </w:tr>
      <w:tr w:rsidR="003868F4" w:rsidRPr="00866299" w14:paraId="20F40BF1" w14:textId="77777777" w:rsidTr="006909F2">
        <w:trPr>
          <w:trHeight w:val="266"/>
        </w:trPr>
        <w:tc>
          <w:tcPr>
            <w:tcW w:w="6212" w:type="dxa"/>
            <w:shd w:val="clear" w:color="auto" w:fill="auto"/>
            <w:vAlign w:val="bottom"/>
          </w:tcPr>
          <w:p w14:paraId="64A1B081" w14:textId="459E2591" w:rsidR="003868F4" w:rsidRPr="002B698D" w:rsidRDefault="003868F4" w:rsidP="003868F4">
            <w:pPr>
              <w:spacing w:before="40"/>
              <w:rPr>
                <w:rFonts w:asciiTheme="majorBidi" w:hAnsiTheme="majorBidi" w:cstheme="majorBidi"/>
                <w:b/>
                <w:bCs/>
                <w:color w:val="000000"/>
                <w:sz w:val="20"/>
              </w:rPr>
            </w:pPr>
            <w:r>
              <w:rPr>
                <w:color w:val="000000"/>
                <w:sz w:val="18"/>
                <w:szCs w:val="18"/>
              </w:rPr>
              <w:t>Current</w:t>
            </w:r>
            <w:r w:rsidRPr="0024254C">
              <w:rPr>
                <w:color w:val="000000"/>
                <w:sz w:val="18"/>
                <w:szCs w:val="18"/>
              </w:rPr>
              <w:t xml:space="preserve"> liability for acquisition of subsidiary</w:t>
            </w:r>
          </w:p>
        </w:tc>
        <w:tc>
          <w:tcPr>
            <w:tcW w:w="1247" w:type="dxa"/>
            <w:shd w:val="clear" w:color="auto" w:fill="auto"/>
            <w:noWrap/>
            <w:vAlign w:val="bottom"/>
          </w:tcPr>
          <w:p w14:paraId="29FD32EF" w14:textId="5867D6EC" w:rsidR="003868F4" w:rsidRPr="0020502A" w:rsidRDefault="003868F4" w:rsidP="00502C08">
            <w:pPr>
              <w:spacing w:before="40"/>
              <w:jc w:val="right"/>
              <w:rPr>
                <w:rFonts w:asciiTheme="majorBidi" w:hAnsiTheme="majorBidi" w:cstheme="majorBidi"/>
                <w:color w:val="000000"/>
                <w:sz w:val="20"/>
              </w:rPr>
            </w:pPr>
            <w:r w:rsidRPr="0095659A">
              <w:rPr>
                <w:rFonts w:asciiTheme="majorBidi" w:hAnsiTheme="majorBidi" w:cstheme="majorBidi"/>
                <w:color w:val="000000"/>
                <w:sz w:val="20"/>
                <w:rtl/>
                <w:lang w:bidi="he-IL"/>
              </w:rPr>
              <w:t>-</w:t>
            </w:r>
          </w:p>
        </w:tc>
        <w:tc>
          <w:tcPr>
            <w:tcW w:w="1247" w:type="dxa"/>
            <w:shd w:val="clear" w:color="auto" w:fill="auto"/>
            <w:noWrap/>
            <w:vAlign w:val="bottom"/>
          </w:tcPr>
          <w:p w14:paraId="7197CE24" w14:textId="3D2DDA0C" w:rsidR="003868F4" w:rsidRPr="00844735" w:rsidRDefault="003868F4" w:rsidP="003868F4">
            <w:pPr>
              <w:spacing w:before="40"/>
              <w:jc w:val="right"/>
              <w:rPr>
                <w:rFonts w:asciiTheme="majorBidi" w:hAnsiTheme="majorBidi" w:cstheme="majorBidi"/>
                <w:color w:val="000000"/>
                <w:sz w:val="20"/>
              </w:rPr>
            </w:pPr>
            <w:r w:rsidRPr="0095659A">
              <w:rPr>
                <w:rFonts w:asciiTheme="majorBidi" w:hAnsiTheme="majorBidi" w:cstheme="majorBidi"/>
                <w:color w:val="000000"/>
                <w:sz w:val="20"/>
                <w:rtl/>
                <w:lang w:bidi="he-IL"/>
              </w:rPr>
              <w:t>-</w:t>
            </w:r>
          </w:p>
        </w:tc>
        <w:tc>
          <w:tcPr>
            <w:tcW w:w="1247" w:type="dxa"/>
            <w:shd w:val="clear" w:color="auto" w:fill="auto"/>
            <w:noWrap/>
            <w:vAlign w:val="bottom"/>
          </w:tcPr>
          <w:p w14:paraId="67CC3AAE" w14:textId="26C5F9A3" w:rsidR="003868F4" w:rsidRPr="005862F2" w:rsidRDefault="003868F4" w:rsidP="003868F4">
            <w:pPr>
              <w:spacing w:before="40"/>
              <w:jc w:val="right"/>
              <w:rPr>
                <w:rFonts w:asciiTheme="majorBidi" w:hAnsiTheme="majorBidi" w:cstheme="majorBidi"/>
                <w:sz w:val="20"/>
              </w:rPr>
            </w:pPr>
            <w:r w:rsidRPr="00844735">
              <w:rPr>
                <w:sz w:val="20"/>
              </w:rPr>
              <w:t>(53,852)</w:t>
            </w:r>
          </w:p>
        </w:tc>
      </w:tr>
      <w:tr w:rsidR="003868F4" w:rsidRPr="00866299" w14:paraId="36C9180B" w14:textId="77777777" w:rsidTr="006909F2">
        <w:trPr>
          <w:trHeight w:val="266"/>
        </w:trPr>
        <w:tc>
          <w:tcPr>
            <w:tcW w:w="6212" w:type="dxa"/>
            <w:shd w:val="clear" w:color="auto" w:fill="auto"/>
            <w:vAlign w:val="bottom"/>
          </w:tcPr>
          <w:p w14:paraId="37763738" w14:textId="77777777" w:rsidR="003868F4" w:rsidRDefault="003868F4" w:rsidP="003868F4">
            <w:pPr>
              <w:spacing w:before="40"/>
              <w:rPr>
                <w:rFonts w:asciiTheme="majorBidi" w:hAnsiTheme="majorBidi" w:cstheme="majorBidi"/>
                <w:b/>
                <w:bCs/>
                <w:color w:val="000000"/>
                <w:sz w:val="20"/>
              </w:rPr>
            </w:pPr>
          </w:p>
          <w:p w14:paraId="17109990" w14:textId="5649FB9B" w:rsidR="003868F4" w:rsidRPr="002B698D" w:rsidRDefault="003868F4" w:rsidP="003868F4">
            <w:pPr>
              <w:spacing w:before="40"/>
              <w:rPr>
                <w:rFonts w:asciiTheme="majorBidi" w:hAnsiTheme="majorBidi" w:cstheme="majorBidi"/>
                <w:b/>
                <w:bCs/>
                <w:color w:val="000000"/>
                <w:sz w:val="20"/>
              </w:rPr>
            </w:pPr>
            <w:r w:rsidRPr="00BB34A5">
              <w:rPr>
                <w:rFonts w:asciiTheme="majorBidi" w:hAnsiTheme="majorBidi" w:cstheme="majorBidi"/>
                <w:b/>
                <w:bCs/>
                <w:color w:val="000000"/>
                <w:sz w:val="20"/>
              </w:rPr>
              <w:t>(</w:t>
            </w:r>
            <w:r>
              <w:rPr>
                <w:rFonts w:asciiTheme="majorBidi" w:hAnsiTheme="majorBidi" w:cstheme="majorBidi"/>
                <w:b/>
                <w:bCs/>
                <w:color w:val="000000"/>
                <w:sz w:val="20"/>
              </w:rPr>
              <w:t>B</w:t>
            </w:r>
            <w:r w:rsidRPr="00BB34A5">
              <w:rPr>
                <w:rFonts w:asciiTheme="majorBidi" w:hAnsiTheme="majorBidi" w:cstheme="majorBidi"/>
                <w:b/>
                <w:bCs/>
                <w:color w:val="000000"/>
                <w:sz w:val="20"/>
              </w:rPr>
              <w:t xml:space="preserve">) </w:t>
            </w:r>
            <w:r w:rsidRPr="003127FB">
              <w:rPr>
                <w:rFonts w:asciiTheme="majorBidi" w:hAnsiTheme="majorBidi" w:cstheme="majorBidi"/>
                <w:b/>
                <w:bCs/>
                <w:color w:val="000000"/>
                <w:sz w:val="20"/>
              </w:rPr>
              <w:t>Acquisition of subsidiaries</w:t>
            </w:r>
            <w:r w:rsidRPr="00BB34A5">
              <w:rPr>
                <w:rFonts w:asciiTheme="majorBidi" w:hAnsiTheme="majorBidi" w:cstheme="majorBidi"/>
                <w:b/>
                <w:bCs/>
                <w:color w:val="000000"/>
                <w:sz w:val="20"/>
              </w:rPr>
              <w:t>:</w:t>
            </w:r>
          </w:p>
        </w:tc>
        <w:tc>
          <w:tcPr>
            <w:tcW w:w="1247" w:type="dxa"/>
            <w:shd w:val="clear" w:color="auto" w:fill="auto"/>
            <w:noWrap/>
            <w:vAlign w:val="bottom"/>
          </w:tcPr>
          <w:p w14:paraId="72DFDB96" w14:textId="77777777" w:rsidR="003868F4" w:rsidRPr="0020502A" w:rsidRDefault="003868F4" w:rsidP="00502C08">
            <w:pPr>
              <w:spacing w:before="40"/>
              <w:jc w:val="right"/>
              <w:rPr>
                <w:rFonts w:asciiTheme="majorBidi" w:hAnsiTheme="majorBidi" w:cstheme="majorBidi"/>
                <w:color w:val="000000"/>
                <w:sz w:val="20"/>
                <w:highlight w:val="yellow"/>
              </w:rPr>
            </w:pPr>
          </w:p>
        </w:tc>
        <w:tc>
          <w:tcPr>
            <w:tcW w:w="1247" w:type="dxa"/>
            <w:shd w:val="clear" w:color="auto" w:fill="auto"/>
            <w:noWrap/>
            <w:vAlign w:val="bottom"/>
          </w:tcPr>
          <w:p w14:paraId="10F80521" w14:textId="77777777" w:rsidR="003868F4" w:rsidRPr="00844735" w:rsidRDefault="003868F4" w:rsidP="003868F4">
            <w:pPr>
              <w:spacing w:before="40"/>
              <w:jc w:val="right"/>
              <w:rPr>
                <w:rFonts w:asciiTheme="majorBidi" w:hAnsiTheme="majorBidi" w:cstheme="majorBidi"/>
                <w:color w:val="000000"/>
                <w:sz w:val="20"/>
              </w:rPr>
            </w:pPr>
          </w:p>
        </w:tc>
        <w:tc>
          <w:tcPr>
            <w:tcW w:w="1247" w:type="dxa"/>
            <w:shd w:val="clear" w:color="auto" w:fill="auto"/>
            <w:noWrap/>
            <w:vAlign w:val="bottom"/>
          </w:tcPr>
          <w:p w14:paraId="15E96B61" w14:textId="77777777" w:rsidR="003868F4" w:rsidRPr="005862F2" w:rsidRDefault="003868F4" w:rsidP="003868F4">
            <w:pPr>
              <w:spacing w:before="40"/>
              <w:jc w:val="right"/>
              <w:rPr>
                <w:rFonts w:asciiTheme="majorBidi" w:hAnsiTheme="majorBidi" w:cstheme="majorBidi"/>
                <w:sz w:val="20"/>
              </w:rPr>
            </w:pPr>
          </w:p>
        </w:tc>
      </w:tr>
      <w:tr w:rsidR="003868F4" w:rsidRPr="00866299" w14:paraId="01CF450D" w14:textId="77777777" w:rsidTr="006909F2">
        <w:trPr>
          <w:trHeight w:val="266"/>
        </w:trPr>
        <w:tc>
          <w:tcPr>
            <w:tcW w:w="6212" w:type="dxa"/>
            <w:shd w:val="clear" w:color="auto" w:fill="auto"/>
            <w:vAlign w:val="bottom"/>
          </w:tcPr>
          <w:p w14:paraId="37B712E1" w14:textId="55F651F1" w:rsidR="003868F4" w:rsidRPr="002B698D" w:rsidRDefault="003868F4" w:rsidP="003868F4">
            <w:pPr>
              <w:spacing w:before="40"/>
              <w:rPr>
                <w:rFonts w:asciiTheme="majorBidi" w:hAnsiTheme="majorBidi" w:cstheme="majorBidi"/>
                <w:b/>
                <w:bCs/>
                <w:color w:val="000000"/>
                <w:sz w:val="20"/>
              </w:rPr>
            </w:pPr>
            <w:r w:rsidRPr="00653087">
              <w:rPr>
                <w:rFonts w:asciiTheme="majorBidi" w:hAnsiTheme="majorBidi" w:cstheme="majorBidi"/>
                <w:color w:val="000000"/>
                <w:sz w:val="20"/>
              </w:rPr>
              <w:t>Assets and liabilities at date of acquisition:</w:t>
            </w:r>
          </w:p>
        </w:tc>
        <w:tc>
          <w:tcPr>
            <w:tcW w:w="1247" w:type="dxa"/>
            <w:shd w:val="clear" w:color="auto" w:fill="auto"/>
            <w:noWrap/>
            <w:vAlign w:val="bottom"/>
          </w:tcPr>
          <w:p w14:paraId="055C0F98" w14:textId="77777777" w:rsidR="003868F4" w:rsidRPr="0020502A" w:rsidRDefault="003868F4" w:rsidP="00502C08">
            <w:pPr>
              <w:spacing w:before="40"/>
              <w:jc w:val="right"/>
              <w:rPr>
                <w:rFonts w:asciiTheme="majorBidi" w:hAnsiTheme="majorBidi" w:cstheme="majorBidi"/>
                <w:color w:val="000000"/>
                <w:sz w:val="20"/>
                <w:highlight w:val="yellow"/>
              </w:rPr>
            </w:pPr>
          </w:p>
        </w:tc>
        <w:tc>
          <w:tcPr>
            <w:tcW w:w="1247" w:type="dxa"/>
            <w:shd w:val="clear" w:color="auto" w:fill="auto"/>
            <w:noWrap/>
            <w:vAlign w:val="bottom"/>
          </w:tcPr>
          <w:p w14:paraId="37CEE321" w14:textId="77777777" w:rsidR="003868F4" w:rsidRPr="00844735" w:rsidRDefault="003868F4" w:rsidP="003868F4">
            <w:pPr>
              <w:spacing w:before="40"/>
              <w:jc w:val="right"/>
              <w:rPr>
                <w:rFonts w:asciiTheme="majorBidi" w:hAnsiTheme="majorBidi" w:cstheme="majorBidi"/>
                <w:color w:val="000000"/>
                <w:sz w:val="20"/>
              </w:rPr>
            </w:pPr>
          </w:p>
        </w:tc>
        <w:tc>
          <w:tcPr>
            <w:tcW w:w="1247" w:type="dxa"/>
            <w:shd w:val="clear" w:color="auto" w:fill="auto"/>
            <w:noWrap/>
            <w:vAlign w:val="bottom"/>
          </w:tcPr>
          <w:p w14:paraId="16EC4993" w14:textId="77777777" w:rsidR="003868F4" w:rsidRPr="005862F2" w:rsidRDefault="003868F4" w:rsidP="003868F4">
            <w:pPr>
              <w:spacing w:before="40"/>
              <w:jc w:val="right"/>
              <w:rPr>
                <w:rFonts w:asciiTheme="majorBidi" w:hAnsiTheme="majorBidi" w:cstheme="majorBidi"/>
                <w:sz w:val="20"/>
              </w:rPr>
            </w:pPr>
          </w:p>
        </w:tc>
      </w:tr>
      <w:tr w:rsidR="003868F4" w:rsidRPr="00866299" w14:paraId="30444EBE" w14:textId="77777777" w:rsidTr="006909F2">
        <w:trPr>
          <w:trHeight w:val="266"/>
        </w:trPr>
        <w:tc>
          <w:tcPr>
            <w:tcW w:w="6212" w:type="dxa"/>
            <w:shd w:val="clear" w:color="auto" w:fill="auto"/>
            <w:vAlign w:val="bottom"/>
          </w:tcPr>
          <w:p w14:paraId="3EE07CE6" w14:textId="77777777" w:rsidR="003868F4" w:rsidRDefault="003868F4" w:rsidP="003868F4">
            <w:pPr>
              <w:spacing w:before="40"/>
              <w:rPr>
                <w:rFonts w:asciiTheme="majorBidi" w:hAnsiTheme="majorBidi" w:cstheme="majorBidi"/>
                <w:color w:val="000000"/>
                <w:sz w:val="20"/>
              </w:rPr>
            </w:pPr>
          </w:p>
          <w:p w14:paraId="7C729BD0" w14:textId="28DCEF99" w:rsidR="003868F4" w:rsidRPr="00F17A8B" w:rsidRDefault="003868F4" w:rsidP="003868F4">
            <w:pPr>
              <w:spacing w:before="40"/>
              <w:rPr>
                <w:rFonts w:asciiTheme="majorBidi" w:hAnsiTheme="majorBidi" w:cstheme="majorBidi"/>
                <w:color w:val="000000"/>
                <w:sz w:val="20"/>
              </w:rPr>
            </w:pPr>
            <w:r w:rsidRPr="008A2071">
              <w:rPr>
                <w:rFonts w:asciiTheme="majorBidi" w:hAnsiTheme="majorBidi" w:cstheme="majorBidi"/>
                <w:color w:val="000000"/>
                <w:sz w:val="20"/>
              </w:rPr>
              <w:t>Working capital (excluding cash and cash</w:t>
            </w:r>
            <w:r>
              <w:rPr>
                <w:rFonts w:asciiTheme="majorBidi" w:hAnsiTheme="majorBidi" w:cstheme="majorBidi"/>
                <w:color w:val="000000"/>
                <w:sz w:val="20"/>
              </w:rPr>
              <w:t xml:space="preserve"> </w:t>
            </w:r>
            <w:r w:rsidRPr="008A2071">
              <w:rPr>
                <w:rFonts w:asciiTheme="majorBidi" w:hAnsiTheme="majorBidi" w:cstheme="majorBidi"/>
                <w:color w:val="000000"/>
                <w:sz w:val="20"/>
              </w:rPr>
              <w:t>equivalents)</w:t>
            </w:r>
          </w:p>
        </w:tc>
        <w:tc>
          <w:tcPr>
            <w:tcW w:w="1247" w:type="dxa"/>
            <w:shd w:val="clear" w:color="auto" w:fill="auto"/>
            <w:noWrap/>
            <w:vAlign w:val="bottom"/>
          </w:tcPr>
          <w:p w14:paraId="53D07E49" w14:textId="22AD0396" w:rsidR="003868F4" w:rsidRPr="0020502A" w:rsidRDefault="003868F4" w:rsidP="00502C08">
            <w:pPr>
              <w:spacing w:before="40"/>
              <w:jc w:val="right"/>
              <w:rPr>
                <w:sz w:val="20"/>
                <w:szCs w:val="16"/>
                <w:highlight w:val="yellow"/>
              </w:rPr>
            </w:pPr>
            <w:r w:rsidRPr="0095659A">
              <w:rPr>
                <w:sz w:val="20"/>
              </w:rPr>
              <w:t>-</w:t>
            </w:r>
          </w:p>
        </w:tc>
        <w:tc>
          <w:tcPr>
            <w:tcW w:w="1247" w:type="dxa"/>
            <w:shd w:val="clear" w:color="auto" w:fill="auto"/>
            <w:noWrap/>
            <w:vAlign w:val="bottom"/>
          </w:tcPr>
          <w:p w14:paraId="00899CF3" w14:textId="1406B889" w:rsidR="003868F4" w:rsidRPr="00844735" w:rsidRDefault="003868F4" w:rsidP="003868F4">
            <w:pPr>
              <w:spacing w:before="40"/>
              <w:jc w:val="right"/>
              <w:rPr>
                <w:rFonts w:asciiTheme="majorBidi" w:hAnsiTheme="majorBidi" w:cstheme="majorBidi"/>
                <w:color w:val="000000"/>
                <w:sz w:val="20"/>
              </w:rPr>
            </w:pPr>
            <w:r w:rsidRPr="0095659A">
              <w:rPr>
                <w:sz w:val="20"/>
              </w:rPr>
              <w:t>-</w:t>
            </w:r>
          </w:p>
        </w:tc>
        <w:tc>
          <w:tcPr>
            <w:tcW w:w="1247" w:type="dxa"/>
            <w:shd w:val="clear" w:color="auto" w:fill="auto"/>
            <w:noWrap/>
            <w:vAlign w:val="bottom"/>
          </w:tcPr>
          <w:p w14:paraId="3A56D55E" w14:textId="5D791901" w:rsidR="003868F4" w:rsidRPr="005862F2" w:rsidRDefault="003868F4" w:rsidP="003868F4">
            <w:pPr>
              <w:spacing w:before="40"/>
              <w:jc w:val="right"/>
              <w:rPr>
                <w:rFonts w:asciiTheme="majorBidi" w:hAnsiTheme="majorBidi" w:cstheme="majorBidi"/>
                <w:sz w:val="20"/>
              </w:rPr>
            </w:pPr>
            <w:r w:rsidRPr="00844735">
              <w:rPr>
                <w:sz w:val="20"/>
              </w:rPr>
              <w:t>6</w:t>
            </w:r>
          </w:p>
        </w:tc>
      </w:tr>
      <w:tr w:rsidR="003868F4" w:rsidRPr="00866299" w14:paraId="00548574" w14:textId="77777777" w:rsidTr="006909F2">
        <w:trPr>
          <w:trHeight w:val="266"/>
        </w:trPr>
        <w:tc>
          <w:tcPr>
            <w:tcW w:w="6212" w:type="dxa"/>
            <w:shd w:val="clear" w:color="auto" w:fill="auto"/>
            <w:vAlign w:val="bottom"/>
          </w:tcPr>
          <w:p w14:paraId="08A6A78B" w14:textId="0C49FCFF" w:rsidR="003868F4" w:rsidRPr="008A2071" w:rsidRDefault="003868F4" w:rsidP="003868F4">
            <w:pPr>
              <w:spacing w:before="40"/>
              <w:rPr>
                <w:rFonts w:asciiTheme="majorBidi" w:hAnsiTheme="majorBidi" w:cstheme="majorBidi"/>
                <w:color w:val="000000"/>
                <w:sz w:val="20"/>
              </w:rPr>
            </w:pPr>
            <w:r w:rsidRPr="00115008">
              <w:rPr>
                <w:rFonts w:asciiTheme="majorBidi" w:hAnsiTheme="majorBidi" w:cstheme="majorBidi"/>
                <w:color w:val="000000"/>
                <w:sz w:val="20"/>
              </w:rPr>
              <w:t>Deposit for short term</w:t>
            </w:r>
          </w:p>
        </w:tc>
        <w:tc>
          <w:tcPr>
            <w:tcW w:w="1247" w:type="dxa"/>
            <w:shd w:val="clear" w:color="auto" w:fill="auto"/>
            <w:noWrap/>
            <w:vAlign w:val="bottom"/>
          </w:tcPr>
          <w:p w14:paraId="7C76342B" w14:textId="626F61E3" w:rsidR="003868F4" w:rsidRPr="0020502A" w:rsidRDefault="003868F4" w:rsidP="00502C08">
            <w:pPr>
              <w:spacing w:before="40"/>
              <w:jc w:val="right"/>
              <w:rPr>
                <w:sz w:val="20"/>
                <w:szCs w:val="16"/>
                <w:highlight w:val="yellow"/>
              </w:rPr>
            </w:pPr>
            <w:r w:rsidRPr="0095659A">
              <w:rPr>
                <w:sz w:val="20"/>
              </w:rPr>
              <w:t>-</w:t>
            </w:r>
          </w:p>
        </w:tc>
        <w:tc>
          <w:tcPr>
            <w:tcW w:w="1247" w:type="dxa"/>
            <w:shd w:val="clear" w:color="auto" w:fill="auto"/>
            <w:noWrap/>
            <w:vAlign w:val="bottom"/>
          </w:tcPr>
          <w:p w14:paraId="5DBC4A0F" w14:textId="09C11E59" w:rsidR="003868F4" w:rsidRPr="00844735" w:rsidRDefault="003868F4" w:rsidP="003868F4">
            <w:pPr>
              <w:spacing w:before="40"/>
              <w:jc w:val="right"/>
              <w:rPr>
                <w:sz w:val="20"/>
              </w:rPr>
            </w:pPr>
            <w:r w:rsidRPr="0095659A">
              <w:rPr>
                <w:sz w:val="20"/>
              </w:rPr>
              <w:t>-</w:t>
            </w:r>
          </w:p>
        </w:tc>
        <w:tc>
          <w:tcPr>
            <w:tcW w:w="1247" w:type="dxa"/>
            <w:shd w:val="clear" w:color="auto" w:fill="auto"/>
            <w:noWrap/>
            <w:vAlign w:val="bottom"/>
          </w:tcPr>
          <w:p w14:paraId="1B7205C8" w14:textId="6E700D5C" w:rsidR="003868F4" w:rsidRPr="005862F2" w:rsidRDefault="003868F4" w:rsidP="003868F4">
            <w:pPr>
              <w:spacing w:before="40"/>
              <w:jc w:val="right"/>
              <w:rPr>
                <w:rFonts w:asciiTheme="majorBidi" w:hAnsiTheme="majorBidi" w:cstheme="majorBidi"/>
                <w:sz w:val="20"/>
                <w:lang w:bidi="he-IL"/>
              </w:rPr>
            </w:pPr>
            <w:r w:rsidRPr="00844735">
              <w:rPr>
                <w:sz w:val="20"/>
              </w:rPr>
              <w:t>-</w:t>
            </w:r>
          </w:p>
        </w:tc>
      </w:tr>
      <w:tr w:rsidR="003868F4" w:rsidRPr="00866299" w14:paraId="0285B12B" w14:textId="77777777" w:rsidTr="006909F2">
        <w:trPr>
          <w:trHeight w:val="266"/>
        </w:trPr>
        <w:tc>
          <w:tcPr>
            <w:tcW w:w="6212" w:type="dxa"/>
            <w:shd w:val="clear" w:color="auto" w:fill="auto"/>
            <w:vAlign w:val="center"/>
          </w:tcPr>
          <w:p w14:paraId="7C7597A2" w14:textId="4BFF8C32" w:rsidR="003868F4" w:rsidRPr="002110B0" w:rsidRDefault="003868F4" w:rsidP="003868F4">
            <w:pPr>
              <w:spacing w:before="40"/>
              <w:rPr>
                <w:rFonts w:asciiTheme="majorBidi" w:hAnsiTheme="majorBidi" w:cstheme="majorBidi"/>
                <w:color w:val="000000"/>
                <w:sz w:val="20"/>
              </w:rPr>
            </w:pPr>
            <w:r w:rsidRPr="00B0427E">
              <w:rPr>
                <w:color w:val="000000"/>
                <w:sz w:val="20"/>
              </w:rPr>
              <w:t>Investment in associate</w:t>
            </w:r>
          </w:p>
        </w:tc>
        <w:tc>
          <w:tcPr>
            <w:tcW w:w="1247" w:type="dxa"/>
            <w:shd w:val="clear" w:color="auto" w:fill="auto"/>
            <w:noWrap/>
            <w:vAlign w:val="bottom"/>
          </w:tcPr>
          <w:p w14:paraId="46471CA9" w14:textId="660B3DD8" w:rsidR="003868F4" w:rsidRPr="0020502A" w:rsidRDefault="003868F4" w:rsidP="00502C08">
            <w:pPr>
              <w:spacing w:before="40"/>
              <w:jc w:val="right"/>
              <w:rPr>
                <w:sz w:val="20"/>
                <w:szCs w:val="16"/>
                <w:highlight w:val="yellow"/>
              </w:rPr>
            </w:pPr>
            <w:r w:rsidRPr="0095659A">
              <w:rPr>
                <w:sz w:val="20"/>
              </w:rPr>
              <w:t>-</w:t>
            </w:r>
          </w:p>
        </w:tc>
        <w:tc>
          <w:tcPr>
            <w:tcW w:w="1247" w:type="dxa"/>
            <w:shd w:val="clear" w:color="auto" w:fill="auto"/>
            <w:noWrap/>
            <w:vAlign w:val="bottom"/>
          </w:tcPr>
          <w:p w14:paraId="31234E25" w14:textId="5BBD7E5A" w:rsidR="003868F4" w:rsidRPr="00844735" w:rsidRDefault="003868F4" w:rsidP="003868F4">
            <w:pPr>
              <w:spacing w:before="40"/>
              <w:jc w:val="right"/>
              <w:rPr>
                <w:sz w:val="20"/>
              </w:rPr>
            </w:pPr>
            <w:r w:rsidRPr="0095659A">
              <w:rPr>
                <w:sz w:val="20"/>
              </w:rPr>
              <w:t>-</w:t>
            </w:r>
          </w:p>
        </w:tc>
        <w:tc>
          <w:tcPr>
            <w:tcW w:w="1247" w:type="dxa"/>
            <w:shd w:val="clear" w:color="auto" w:fill="auto"/>
            <w:noWrap/>
            <w:vAlign w:val="bottom"/>
          </w:tcPr>
          <w:p w14:paraId="3279B79C" w14:textId="4EC86879" w:rsidR="003868F4" w:rsidRPr="00F17A8B" w:rsidRDefault="003868F4" w:rsidP="003868F4">
            <w:pPr>
              <w:spacing w:before="40"/>
              <w:jc w:val="right"/>
              <w:rPr>
                <w:sz w:val="20"/>
              </w:rPr>
            </w:pPr>
            <w:r w:rsidRPr="00844735">
              <w:rPr>
                <w:sz w:val="20"/>
              </w:rPr>
              <w:t>106,049</w:t>
            </w:r>
          </w:p>
        </w:tc>
      </w:tr>
      <w:tr w:rsidR="003868F4" w:rsidRPr="00866299" w14:paraId="6CF6FAB0" w14:textId="77777777" w:rsidTr="006909F2">
        <w:trPr>
          <w:trHeight w:val="266"/>
        </w:trPr>
        <w:tc>
          <w:tcPr>
            <w:tcW w:w="6212" w:type="dxa"/>
            <w:shd w:val="clear" w:color="auto" w:fill="auto"/>
            <w:vAlign w:val="center"/>
          </w:tcPr>
          <w:p w14:paraId="1DF488EF" w14:textId="1D0C9F69" w:rsidR="003868F4" w:rsidRPr="002110B0" w:rsidRDefault="003868F4" w:rsidP="003868F4">
            <w:pPr>
              <w:spacing w:before="40"/>
              <w:rPr>
                <w:rFonts w:asciiTheme="majorBidi" w:hAnsiTheme="majorBidi" w:cstheme="majorBidi"/>
                <w:color w:val="000000"/>
                <w:sz w:val="20"/>
              </w:rPr>
            </w:pPr>
            <w:r w:rsidRPr="00B0427E">
              <w:rPr>
                <w:color w:val="000000"/>
                <w:sz w:val="20"/>
              </w:rPr>
              <w:t>Loan to associate company</w:t>
            </w:r>
          </w:p>
        </w:tc>
        <w:tc>
          <w:tcPr>
            <w:tcW w:w="1247" w:type="dxa"/>
            <w:shd w:val="clear" w:color="auto" w:fill="auto"/>
            <w:noWrap/>
            <w:vAlign w:val="bottom"/>
          </w:tcPr>
          <w:p w14:paraId="49360194" w14:textId="58507563" w:rsidR="003868F4" w:rsidRPr="0020502A" w:rsidRDefault="003868F4" w:rsidP="00502C08">
            <w:pPr>
              <w:spacing w:before="40"/>
              <w:jc w:val="right"/>
              <w:rPr>
                <w:sz w:val="20"/>
                <w:szCs w:val="16"/>
                <w:highlight w:val="yellow"/>
              </w:rPr>
            </w:pPr>
            <w:r w:rsidRPr="0095659A">
              <w:rPr>
                <w:sz w:val="20"/>
              </w:rPr>
              <w:t>-</w:t>
            </w:r>
          </w:p>
        </w:tc>
        <w:tc>
          <w:tcPr>
            <w:tcW w:w="1247" w:type="dxa"/>
            <w:shd w:val="clear" w:color="auto" w:fill="auto"/>
            <w:noWrap/>
            <w:vAlign w:val="bottom"/>
          </w:tcPr>
          <w:p w14:paraId="37E772EB" w14:textId="795CC0F2" w:rsidR="003868F4" w:rsidRPr="00844735" w:rsidRDefault="003868F4" w:rsidP="003868F4">
            <w:pPr>
              <w:spacing w:before="40"/>
              <w:jc w:val="right"/>
              <w:rPr>
                <w:sz w:val="20"/>
              </w:rPr>
            </w:pPr>
            <w:r w:rsidRPr="0095659A">
              <w:rPr>
                <w:sz w:val="20"/>
              </w:rPr>
              <w:t>-</w:t>
            </w:r>
          </w:p>
        </w:tc>
        <w:tc>
          <w:tcPr>
            <w:tcW w:w="1247" w:type="dxa"/>
            <w:shd w:val="clear" w:color="auto" w:fill="auto"/>
            <w:noWrap/>
            <w:vAlign w:val="bottom"/>
          </w:tcPr>
          <w:p w14:paraId="45306747" w14:textId="4EF82C33" w:rsidR="003868F4" w:rsidRPr="00F17A8B" w:rsidRDefault="003868F4" w:rsidP="003868F4">
            <w:pPr>
              <w:spacing w:before="40"/>
              <w:jc w:val="right"/>
              <w:rPr>
                <w:sz w:val="20"/>
              </w:rPr>
            </w:pPr>
            <w:r w:rsidRPr="00844735">
              <w:rPr>
                <w:sz w:val="20"/>
              </w:rPr>
              <w:t>4,977</w:t>
            </w:r>
          </w:p>
        </w:tc>
      </w:tr>
      <w:tr w:rsidR="003868F4" w:rsidRPr="00866299" w14:paraId="38F558E3" w14:textId="77777777" w:rsidTr="006909F2">
        <w:trPr>
          <w:trHeight w:val="266"/>
        </w:trPr>
        <w:tc>
          <w:tcPr>
            <w:tcW w:w="6212" w:type="dxa"/>
            <w:shd w:val="clear" w:color="auto" w:fill="auto"/>
            <w:vAlign w:val="bottom"/>
          </w:tcPr>
          <w:p w14:paraId="7B2F9B7D" w14:textId="203E0AAF" w:rsidR="003868F4" w:rsidRPr="002B698D" w:rsidRDefault="003868F4" w:rsidP="003868F4">
            <w:pPr>
              <w:spacing w:before="40"/>
              <w:rPr>
                <w:rFonts w:asciiTheme="majorBidi" w:hAnsiTheme="majorBidi" w:cstheme="majorBidi"/>
                <w:b/>
                <w:bCs/>
                <w:color w:val="000000"/>
                <w:sz w:val="20"/>
              </w:rPr>
            </w:pPr>
            <w:r w:rsidRPr="00653087">
              <w:rPr>
                <w:rFonts w:asciiTheme="majorBidi" w:hAnsiTheme="majorBidi" w:cstheme="majorBidi"/>
                <w:color w:val="000000"/>
                <w:sz w:val="20"/>
              </w:rPr>
              <w:t>Investment property</w:t>
            </w:r>
          </w:p>
        </w:tc>
        <w:tc>
          <w:tcPr>
            <w:tcW w:w="1247" w:type="dxa"/>
            <w:shd w:val="clear" w:color="auto" w:fill="auto"/>
            <w:noWrap/>
            <w:vAlign w:val="bottom"/>
          </w:tcPr>
          <w:p w14:paraId="6C6CF900" w14:textId="21B442B7" w:rsidR="003868F4" w:rsidRPr="0020502A" w:rsidRDefault="003868F4" w:rsidP="00502C08">
            <w:pPr>
              <w:spacing w:before="40"/>
              <w:jc w:val="right"/>
              <w:rPr>
                <w:sz w:val="20"/>
                <w:szCs w:val="16"/>
              </w:rPr>
            </w:pPr>
            <w:r w:rsidRPr="0095659A">
              <w:rPr>
                <w:sz w:val="20"/>
              </w:rPr>
              <w:t>-</w:t>
            </w:r>
          </w:p>
        </w:tc>
        <w:tc>
          <w:tcPr>
            <w:tcW w:w="1247" w:type="dxa"/>
            <w:shd w:val="clear" w:color="auto" w:fill="auto"/>
            <w:noWrap/>
            <w:vAlign w:val="bottom"/>
          </w:tcPr>
          <w:p w14:paraId="2B99791A" w14:textId="21C486F5" w:rsidR="003868F4" w:rsidRPr="00844735" w:rsidRDefault="003868F4" w:rsidP="003868F4">
            <w:pPr>
              <w:spacing w:before="40"/>
              <w:jc w:val="right"/>
              <w:rPr>
                <w:rFonts w:asciiTheme="majorBidi" w:hAnsiTheme="majorBidi" w:cstheme="majorBidi"/>
                <w:color w:val="000000"/>
                <w:sz w:val="20"/>
              </w:rPr>
            </w:pPr>
            <w:r w:rsidRPr="0095659A">
              <w:rPr>
                <w:sz w:val="20"/>
              </w:rPr>
              <w:t>-</w:t>
            </w:r>
          </w:p>
        </w:tc>
        <w:tc>
          <w:tcPr>
            <w:tcW w:w="1247" w:type="dxa"/>
            <w:shd w:val="clear" w:color="auto" w:fill="auto"/>
            <w:noWrap/>
            <w:vAlign w:val="bottom"/>
          </w:tcPr>
          <w:p w14:paraId="39C796EA" w14:textId="67C7844F" w:rsidR="003868F4" w:rsidRPr="005862F2" w:rsidRDefault="003868F4" w:rsidP="003868F4">
            <w:pPr>
              <w:spacing w:before="40"/>
              <w:jc w:val="right"/>
              <w:rPr>
                <w:rFonts w:asciiTheme="majorBidi" w:hAnsiTheme="majorBidi" w:cstheme="majorBidi"/>
                <w:sz w:val="20"/>
              </w:rPr>
            </w:pPr>
            <w:r w:rsidRPr="00844735">
              <w:rPr>
                <w:sz w:val="20"/>
              </w:rPr>
              <w:t>-</w:t>
            </w:r>
          </w:p>
        </w:tc>
      </w:tr>
      <w:tr w:rsidR="003868F4" w:rsidRPr="00866299" w14:paraId="4A112B37" w14:textId="77777777" w:rsidTr="006909F2">
        <w:trPr>
          <w:trHeight w:val="266"/>
        </w:trPr>
        <w:tc>
          <w:tcPr>
            <w:tcW w:w="6212" w:type="dxa"/>
            <w:shd w:val="clear" w:color="auto" w:fill="auto"/>
            <w:vAlign w:val="bottom"/>
          </w:tcPr>
          <w:p w14:paraId="38A5B228" w14:textId="1B401E8A" w:rsidR="003868F4" w:rsidRPr="002B698D" w:rsidRDefault="003868F4" w:rsidP="003868F4">
            <w:pPr>
              <w:spacing w:before="40"/>
              <w:rPr>
                <w:rFonts w:asciiTheme="majorBidi" w:hAnsiTheme="majorBidi" w:cstheme="majorBidi"/>
                <w:b/>
                <w:bCs/>
                <w:color w:val="000000"/>
                <w:sz w:val="20"/>
              </w:rPr>
            </w:pPr>
            <w:r>
              <w:rPr>
                <w:rFonts w:asciiTheme="majorBidi" w:hAnsiTheme="majorBidi" w:cstheme="majorBidi"/>
                <w:color w:val="000000"/>
                <w:sz w:val="20"/>
              </w:rPr>
              <w:t>Income tax receivables</w:t>
            </w:r>
          </w:p>
        </w:tc>
        <w:tc>
          <w:tcPr>
            <w:tcW w:w="1247" w:type="dxa"/>
            <w:shd w:val="clear" w:color="auto" w:fill="auto"/>
            <w:noWrap/>
            <w:vAlign w:val="bottom"/>
          </w:tcPr>
          <w:p w14:paraId="47B086B7" w14:textId="1B70219A" w:rsidR="003868F4" w:rsidRPr="0020502A" w:rsidRDefault="003868F4" w:rsidP="00502C08">
            <w:pPr>
              <w:spacing w:before="40"/>
              <w:jc w:val="right"/>
              <w:rPr>
                <w:sz w:val="20"/>
                <w:szCs w:val="16"/>
                <w:highlight w:val="yellow"/>
              </w:rPr>
            </w:pPr>
            <w:r w:rsidRPr="0095659A">
              <w:rPr>
                <w:sz w:val="20"/>
              </w:rPr>
              <w:t>-</w:t>
            </w:r>
          </w:p>
        </w:tc>
        <w:tc>
          <w:tcPr>
            <w:tcW w:w="1247" w:type="dxa"/>
            <w:shd w:val="clear" w:color="auto" w:fill="auto"/>
            <w:noWrap/>
            <w:vAlign w:val="bottom"/>
          </w:tcPr>
          <w:p w14:paraId="5A2D00AE" w14:textId="6C2BB180" w:rsidR="003868F4" w:rsidRPr="00844735" w:rsidRDefault="003868F4" w:rsidP="003868F4">
            <w:pPr>
              <w:spacing w:before="40"/>
              <w:jc w:val="right"/>
              <w:rPr>
                <w:rFonts w:asciiTheme="majorBidi" w:hAnsiTheme="majorBidi" w:cstheme="majorBidi"/>
                <w:color w:val="000000"/>
                <w:sz w:val="20"/>
                <w:lang w:bidi="he-IL"/>
              </w:rPr>
            </w:pPr>
            <w:r w:rsidRPr="0095659A">
              <w:rPr>
                <w:sz w:val="20"/>
              </w:rPr>
              <w:t>-</w:t>
            </w:r>
          </w:p>
        </w:tc>
        <w:tc>
          <w:tcPr>
            <w:tcW w:w="1247" w:type="dxa"/>
            <w:shd w:val="clear" w:color="auto" w:fill="auto"/>
            <w:noWrap/>
            <w:vAlign w:val="bottom"/>
          </w:tcPr>
          <w:p w14:paraId="0B800A20" w14:textId="771E2E62" w:rsidR="003868F4" w:rsidRPr="005862F2" w:rsidRDefault="003868F4" w:rsidP="003868F4">
            <w:pPr>
              <w:spacing w:before="40"/>
              <w:jc w:val="right"/>
              <w:rPr>
                <w:rFonts w:asciiTheme="majorBidi" w:hAnsiTheme="majorBidi" w:cstheme="majorBidi"/>
                <w:sz w:val="20"/>
              </w:rPr>
            </w:pPr>
            <w:r w:rsidRPr="00844735">
              <w:rPr>
                <w:sz w:val="20"/>
              </w:rPr>
              <w:t>-</w:t>
            </w:r>
          </w:p>
        </w:tc>
      </w:tr>
      <w:tr w:rsidR="003868F4" w:rsidRPr="00866299" w14:paraId="6F443290" w14:textId="77777777" w:rsidTr="006909F2">
        <w:trPr>
          <w:trHeight w:val="266"/>
        </w:trPr>
        <w:tc>
          <w:tcPr>
            <w:tcW w:w="6212" w:type="dxa"/>
            <w:shd w:val="clear" w:color="auto" w:fill="auto"/>
            <w:vAlign w:val="bottom"/>
          </w:tcPr>
          <w:p w14:paraId="67A3CBC6" w14:textId="1741F247" w:rsidR="003868F4" w:rsidRDefault="003868F4" w:rsidP="003868F4">
            <w:pPr>
              <w:spacing w:before="40"/>
              <w:rPr>
                <w:rFonts w:asciiTheme="majorBidi" w:hAnsiTheme="majorBidi" w:cstheme="majorBidi"/>
                <w:color w:val="000000"/>
                <w:sz w:val="20"/>
              </w:rPr>
            </w:pPr>
            <w:r w:rsidRPr="00A277BC">
              <w:rPr>
                <w:rFonts w:asciiTheme="majorBidi" w:hAnsiTheme="majorBidi" w:cstheme="majorBidi"/>
                <w:color w:val="000000"/>
                <w:sz w:val="20"/>
              </w:rPr>
              <w:t>Loans and borrowings</w:t>
            </w:r>
          </w:p>
        </w:tc>
        <w:tc>
          <w:tcPr>
            <w:tcW w:w="1247" w:type="dxa"/>
            <w:shd w:val="clear" w:color="auto" w:fill="auto"/>
            <w:noWrap/>
            <w:vAlign w:val="bottom"/>
          </w:tcPr>
          <w:p w14:paraId="11CD4D50" w14:textId="37C5D07C" w:rsidR="003868F4" w:rsidRPr="0020502A" w:rsidRDefault="003868F4" w:rsidP="00502C08">
            <w:pPr>
              <w:spacing w:before="40"/>
              <w:jc w:val="right"/>
              <w:rPr>
                <w:sz w:val="20"/>
                <w:szCs w:val="16"/>
                <w:highlight w:val="yellow"/>
              </w:rPr>
            </w:pPr>
            <w:r w:rsidRPr="0095659A">
              <w:rPr>
                <w:sz w:val="20"/>
              </w:rPr>
              <w:t>-</w:t>
            </w:r>
          </w:p>
        </w:tc>
        <w:tc>
          <w:tcPr>
            <w:tcW w:w="1247" w:type="dxa"/>
            <w:shd w:val="clear" w:color="auto" w:fill="auto"/>
            <w:noWrap/>
            <w:vAlign w:val="bottom"/>
          </w:tcPr>
          <w:p w14:paraId="0C1BBC80" w14:textId="5BE6553E" w:rsidR="003868F4" w:rsidRPr="00844735" w:rsidRDefault="003868F4" w:rsidP="003868F4">
            <w:pPr>
              <w:spacing w:before="40"/>
              <w:jc w:val="right"/>
              <w:rPr>
                <w:rFonts w:asciiTheme="majorBidi" w:hAnsiTheme="majorBidi" w:cstheme="majorBidi"/>
                <w:color w:val="000000"/>
                <w:sz w:val="20"/>
                <w:rtl/>
                <w:lang w:bidi="he-IL"/>
              </w:rPr>
            </w:pPr>
            <w:r w:rsidRPr="0095659A">
              <w:rPr>
                <w:sz w:val="20"/>
              </w:rPr>
              <w:t>-</w:t>
            </w:r>
          </w:p>
        </w:tc>
        <w:tc>
          <w:tcPr>
            <w:tcW w:w="1247" w:type="dxa"/>
            <w:shd w:val="clear" w:color="auto" w:fill="auto"/>
            <w:noWrap/>
            <w:vAlign w:val="bottom"/>
          </w:tcPr>
          <w:p w14:paraId="1F1B2416" w14:textId="5ED1E785" w:rsidR="003868F4" w:rsidRPr="005862F2" w:rsidRDefault="003868F4" w:rsidP="003868F4">
            <w:pPr>
              <w:spacing w:before="40"/>
              <w:jc w:val="right"/>
              <w:rPr>
                <w:rFonts w:asciiTheme="majorBidi" w:hAnsiTheme="majorBidi" w:cstheme="majorBidi"/>
                <w:sz w:val="20"/>
                <w:lang w:bidi="he-IL"/>
              </w:rPr>
            </w:pPr>
            <w:r w:rsidRPr="00844735">
              <w:rPr>
                <w:sz w:val="20"/>
              </w:rPr>
              <w:t>-</w:t>
            </w:r>
          </w:p>
        </w:tc>
      </w:tr>
      <w:tr w:rsidR="003868F4" w:rsidRPr="00866299" w14:paraId="761CF34B" w14:textId="77777777" w:rsidTr="006909F2">
        <w:trPr>
          <w:trHeight w:val="266"/>
        </w:trPr>
        <w:tc>
          <w:tcPr>
            <w:tcW w:w="6212" w:type="dxa"/>
            <w:shd w:val="clear" w:color="auto" w:fill="auto"/>
            <w:vAlign w:val="bottom"/>
          </w:tcPr>
          <w:p w14:paraId="64AE3CA2" w14:textId="0858DB26" w:rsidR="003868F4" w:rsidRPr="002B698D" w:rsidRDefault="003868F4" w:rsidP="003868F4">
            <w:pPr>
              <w:spacing w:before="40"/>
              <w:rPr>
                <w:rFonts w:asciiTheme="majorBidi" w:hAnsiTheme="majorBidi" w:cstheme="majorBidi"/>
                <w:b/>
                <w:bCs/>
                <w:color w:val="000000"/>
                <w:sz w:val="20"/>
              </w:rPr>
            </w:pPr>
            <w:r w:rsidRPr="00653087">
              <w:rPr>
                <w:rFonts w:asciiTheme="majorBidi" w:hAnsiTheme="majorBidi" w:cstheme="majorBidi"/>
                <w:color w:val="000000"/>
                <w:sz w:val="20"/>
              </w:rPr>
              <w:t>Non-current liabilities</w:t>
            </w:r>
          </w:p>
        </w:tc>
        <w:tc>
          <w:tcPr>
            <w:tcW w:w="1247" w:type="dxa"/>
            <w:shd w:val="clear" w:color="auto" w:fill="auto"/>
            <w:noWrap/>
            <w:vAlign w:val="bottom"/>
          </w:tcPr>
          <w:p w14:paraId="0B58F89C" w14:textId="3ADC0016" w:rsidR="003868F4" w:rsidRPr="0020502A" w:rsidRDefault="003868F4" w:rsidP="00502C08">
            <w:pPr>
              <w:spacing w:before="40"/>
              <w:jc w:val="right"/>
              <w:rPr>
                <w:sz w:val="20"/>
                <w:szCs w:val="16"/>
                <w:highlight w:val="yellow"/>
              </w:rPr>
            </w:pPr>
            <w:r w:rsidRPr="0095659A">
              <w:rPr>
                <w:sz w:val="20"/>
              </w:rPr>
              <w:t>-</w:t>
            </w:r>
          </w:p>
        </w:tc>
        <w:tc>
          <w:tcPr>
            <w:tcW w:w="1247" w:type="dxa"/>
            <w:shd w:val="clear" w:color="auto" w:fill="auto"/>
            <w:noWrap/>
            <w:vAlign w:val="bottom"/>
          </w:tcPr>
          <w:p w14:paraId="6F461F68" w14:textId="35ABBF98" w:rsidR="003868F4" w:rsidRPr="00844735" w:rsidRDefault="003868F4" w:rsidP="003868F4">
            <w:pPr>
              <w:spacing w:before="40"/>
              <w:jc w:val="right"/>
              <w:rPr>
                <w:rFonts w:asciiTheme="majorBidi" w:hAnsiTheme="majorBidi" w:cstheme="majorBidi"/>
                <w:color w:val="000000"/>
                <w:sz w:val="20"/>
              </w:rPr>
            </w:pPr>
            <w:r w:rsidRPr="0095659A">
              <w:rPr>
                <w:sz w:val="20"/>
              </w:rPr>
              <w:t>-</w:t>
            </w:r>
          </w:p>
        </w:tc>
        <w:tc>
          <w:tcPr>
            <w:tcW w:w="1247" w:type="dxa"/>
            <w:shd w:val="clear" w:color="auto" w:fill="auto"/>
            <w:noWrap/>
            <w:vAlign w:val="bottom"/>
          </w:tcPr>
          <w:p w14:paraId="702FD576" w14:textId="31696922" w:rsidR="003868F4" w:rsidRPr="00A277BC" w:rsidRDefault="003868F4" w:rsidP="003868F4">
            <w:pPr>
              <w:spacing w:before="40"/>
              <w:jc w:val="right"/>
              <w:rPr>
                <w:rFonts w:asciiTheme="majorBidi" w:hAnsiTheme="majorBidi" w:cstheme="majorBidi"/>
                <w:sz w:val="20"/>
                <w:highlight w:val="yellow"/>
              </w:rPr>
            </w:pPr>
            <w:r w:rsidRPr="00844735">
              <w:rPr>
                <w:sz w:val="20"/>
              </w:rPr>
              <w:t>-</w:t>
            </w:r>
          </w:p>
        </w:tc>
      </w:tr>
      <w:tr w:rsidR="003868F4" w:rsidRPr="00866299" w14:paraId="027ABBC0" w14:textId="77777777" w:rsidTr="006909F2">
        <w:trPr>
          <w:trHeight w:val="266"/>
        </w:trPr>
        <w:tc>
          <w:tcPr>
            <w:tcW w:w="6212" w:type="dxa"/>
            <w:shd w:val="clear" w:color="auto" w:fill="auto"/>
            <w:vAlign w:val="bottom"/>
          </w:tcPr>
          <w:p w14:paraId="5762F060" w14:textId="73258C37" w:rsidR="003868F4" w:rsidRPr="007E393D" w:rsidRDefault="003868F4" w:rsidP="003868F4">
            <w:pPr>
              <w:spacing w:before="40"/>
              <w:rPr>
                <w:rFonts w:asciiTheme="majorBidi" w:hAnsiTheme="majorBidi" w:cstheme="majorBidi"/>
                <w:color w:val="000000"/>
                <w:sz w:val="20"/>
              </w:rPr>
            </w:pPr>
            <w:r w:rsidRPr="007E393D">
              <w:rPr>
                <w:color w:val="000000"/>
                <w:sz w:val="20"/>
              </w:rPr>
              <w:t>Current liability for acquisition of subsidiary</w:t>
            </w:r>
          </w:p>
        </w:tc>
        <w:tc>
          <w:tcPr>
            <w:tcW w:w="1247" w:type="dxa"/>
            <w:shd w:val="clear" w:color="auto" w:fill="auto"/>
            <w:noWrap/>
            <w:vAlign w:val="bottom"/>
          </w:tcPr>
          <w:p w14:paraId="09AC819F" w14:textId="24FC1A12" w:rsidR="003868F4" w:rsidRPr="0020502A" w:rsidRDefault="003868F4" w:rsidP="00502C08">
            <w:pPr>
              <w:pBdr>
                <w:bottom w:val="single" w:sz="4" w:space="1" w:color="auto"/>
              </w:pBdr>
              <w:spacing w:before="40"/>
              <w:jc w:val="right"/>
              <w:rPr>
                <w:sz w:val="20"/>
                <w:szCs w:val="16"/>
                <w:highlight w:val="yellow"/>
              </w:rPr>
            </w:pPr>
            <w:r w:rsidRPr="0095659A">
              <w:rPr>
                <w:sz w:val="20"/>
              </w:rPr>
              <w:t>-</w:t>
            </w:r>
          </w:p>
        </w:tc>
        <w:tc>
          <w:tcPr>
            <w:tcW w:w="1247" w:type="dxa"/>
            <w:shd w:val="clear" w:color="auto" w:fill="auto"/>
            <w:noWrap/>
            <w:vAlign w:val="bottom"/>
          </w:tcPr>
          <w:p w14:paraId="39F57612" w14:textId="33F2FD0B" w:rsidR="003868F4" w:rsidRPr="00844735" w:rsidRDefault="003868F4" w:rsidP="003868F4">
            <w:pPr>
              <w:pBdr>
                <w:bottom w:val="single" w:sz="4" w:space="1" w:color="auto"/>
              </w:pBdr>
              <w:spacing w:before="40"/>
              <w:jc w:val="right"/>
              <w:rPr>
                <w:sz w:val="20"/>
              </w:rPr>
            </w:pPr>
            <w:r w:rsidRPr="0095659A">
              <w:rPr>
                <w:sz w:val="20"/>
              </w:rPr>
              <w:t>-</w:t>
            </w:r>
          </w:p>
        </w:tc>
        <w:tc>
          <w:tcPr>
            <w:tcW w:w="1247" w:type="dxa"/>
            <w:shd w:val="clear" w:color="auto" w:fill="auto"/>
            <w:noWrap/>
            <w:vAlign w:val="bottom"/>
          </w:tcPr>
          <w:p w14:paraId="18BF6B0E" w14:textId="04619382" w:rsidR="003868F4" w:rsidRPr="005862F2" w:rsidRDefault="003868F4" w:rsidP="003868F4">
            <w:pPr>
              <w:pBdr>
                <w:bottom w:val="single" w:sz="4" w:space="1" w:color="auto"/>
              </w:pBdr>
              <w:spacing w:before="40"/>
              <w:jc w:val="right"/>
              <w:rPr>
                <w:rFonts w:asciiTheme="majorBidi" w:hAnsiTheme="majorBidi" w:cstheme="majorBidi"/>
                <w:sz w:val="20"/>
              </w:rPr>
            </w:pPr>
            <w:r w:rsidRPr="00844735">
              <w:rPr>
                <w:sz w:val="20"/>
              </w:rPr>
              <w:t>(53,852)</w:t>
            </w:r>
          </w:p>
        </w:tc>
      </w:tr>
      <w:tr w:rsidR="003868F4" w:rsidRPr="00866299" w14:paraId="7ED9D0E6" w14:textId="77777777" w:rsidTr="006909F2">
        <w:trPr>
          <w:trHeight w:val="266"/>
        </w:trPr>
        <w:tc>
          <w:tcPr>
            <w:tcW w:w="6212" w:type="dxa"/>
            <w:shd w:val="clear" w:color="auto" w:fill="auto"/>
            <w:vAlign w:val="bottom"/>
          </w:tcPr>
          <w:p w14:paraId="7CDB98FB" w14:textId="77777777" w:rsidR="003868F4" w:rsidRPr="002B698D" w:rsidRDefault="003868F4" w:rsidP="003868F4">
            <w:pPr>
              <w:spacing w:before="40"/>
              <w:rPr>
                <w:rFonts w:asciiTheme="majorBidi" w:hAnsiTheme="majorBidi" w:cstheme="majorBidi"/>
                <w:b/>
                <w:bCs/>
                <w:color w:val="000000"/>
                <w:sz w:val="20"/>
              </w:rPr>
            </w:pPr>
          </w:p>
        </w:tc>
        <w:tc>
          <w:tcPr>
            <w:tcW w:w="1247" w:type="dxa"/>
            <w:shd w:val="clear" w:color="auto" w:fill="auto"/>
            <w:noWrap/>
            <w:vAlign w:val="bottom"/>
          </w:tcPr>
          <w:p w14:paraId="0F88CCB3" w14:textId="7680E25A" w:rsidR="003868F4" w:rsidRPr="0020502A" w:rsidRDefault="003868F4" w:rsidP="00502C08">
            <w:pPr>
              <w:pBdr>
                <w:bottom w:val="double" w:sz="4" w:space="1" w:color="auto"/>
              </w:pBdr>
              <w:spacing w:before="40"/>
              <w:jc w:val="right"/>
              <w:rPr>
                <w:sz w:val="20"/>
                <w:szCs w:val="16"/>
                <w:highlight w:val="yellow"/>
              </w:rPr>
            </w:pPr>
            <w:r w:rsidRPr="0095659A">
              <w:rPr>
                <w:sz w:val="20"/>
              </w:rPr>
              <w:t>-</w:t>
            </w:r>
          </w:p>
        </w:tc>
        <w:tc>
          <w:tcPr>
            <w:tcW w:w="1247" w:type="dxa"/>
            <w:shd w:val="clear" w:color="auto" w:fill="auto"/>
            <w:noWrap/>
            <w:vAlign w:val="bottom"/>
          </w:tcPr>
          <w:p w14:paraId="0E2197B7" w14:textId="2E64A0CB" w:rsidR="003868F4" w:rsidRPr="00844735" w:rsidRDefault="003868F4" w:rsidP="003868F4">
            <w:pPr>
              <w:pBdr>
                <w:bottom w:val="double" w:sz="4" w:space="1" w:color="auto"/>
              </w:pBdr>
              <w:spacing w:before="40"/>
              <w:jc w:val="right"/>
              <w:rPr>
                <w:rFonts w:asciiTheme="majorBidi" w:hAnsiTheme="majorBidi" w:cstheme="majorBidi"/>
                <w:color w:val="000000"/>
                <w:sz w:val="20"/>
                <w:lang w:bidi="he-IL"/>
              </w:rPr>
            </w:pPr>
            <w:r w:rsidRPr="0095659A">
              <w:rPr>
                <w:sz w:val="20"/>
              </w:rPr>
              <w:t>-</w:t>
            </w:r>
          </w:p>
        </w:tc>
        <w:tc>
          <w:tcPr>
            <w:tcW w:w="1247" w:type="dxa"/>
            <w:shd w:val="clear" w:color="auto" w:fill="auto"/>
            <w:noWrap/>
            <w:vAlign w:val="bottom"/>
          </w:tcPr>
          <w:p w14:paraId="39C61329" w14:textId="7B553304" w:rsidR="003868F4" w:rsidRPr="005862F2" w:rsidRDefault="003868F4" w:rsidP="003868F4">
            <w:pPr>
              <w:pBdr>
                <w:bottom w:val="double" w:sz="4" w:space="1" w:color="auto"/>
              </w:pBdr>
              <w:spacing w:before="40"/>
              <w:jc w:val="right"/>
              <w:rPr>
                <w:rFonts w:asciiTheme="majorBidi" w:hAnsiTheme="majorBidi" w:cstheme="majorBidi"/>
                <w:sz w:val="20"/>
              </w:rPr>
            </w:pPr>
            <w:r w:rsidRPr="00844735">
              <w:rPr>
                <w:sz w:val="20"/>
              </w:rPr>
              <w:t>57,180</w:t>
            </w:r>
          </w:p>
        </w:tc>
      </w:tr>
    </w:tbl>
    <w:p w14:paraId="7B78D6CE" w14:textId="7F0220B2" w:rsidR="00277C79" w:rsidRDefault="00277C79" w:rsidP="00237FC5">
      <w:pPr>
        <w:tabs>
          <w:tab w:val="decimal" w:pos="8352"/>
        </w:tabs>
        <w:rPr>
          <w:sz w:val="18"/>
          <w:szCs w:val="18"/>
        </w:rPr>
      </w:pPr>
    </w:p>
    <w:p w14:paraId="2890702D" w14:textId="77777777" w:rsidR="00844735" w:rsidRPr="00237FC5" w:rsidRDefault="00844735" w:rsidP="00237FC5">
      <w:pPr>
        <w:tabs>
          <w:tab w:val="decimal" w:pos="8352"/>
        </w:tabs>
        <w:rPr>
          <w:sz w:val="18"/>
          <w:szCs w:val="18"/>
        </w:rPr>
      </w:pPr>
    </w:p>
    <w:p w14:paraId="3E2A7543" w14:textId="77777777" w:rsidR="008E20B2" w:rsidRDefault="00513FAC" w:rsidP="00237FC5">
      <w:pPr>
        <w:tabs>
          <w:tab w:val="decimal" w:pos="8352"/>
        </w:tabs>
        <w:rPr>
          <w:sz w:val="20"/>
        </w:rPr>
      </w:pPr>
      <w:r>
        <w:rPr>
          <w:sz w:val="20"/>
        </w:rPr>
        <w:t>The accompanying notes are an integral part of these consolidated financial statements.</w:t>
      </w:r>
    </w:p>
    <w:p w14:paraId="67A66CB1" w14:textId="77777777" w:rsidR="003B2B96" w:rsidRDefault="003B2B96" w:rsidP="00237FC5">
      <w:pPr>
        <w:tabs>
          <w:tab w:val="decimal" w:pos="8352"/>
        </w:tabs>
        <w:rPr>
          <w:sz w:val="20"/>
        </w:rPr>
      </w:pPr>
    </w:p>
    <w:p w14:paraId="38CACD9E" w14:textId="160FEC0B" w:rsidR="003B2B96" w:rsidRDefault="003B2B96" w:rsidP="00237FC5">
      <w:pPr>
        <w:tabs>
          <w:tab w:val="decimal" w:pos="8352"/>
        </w:tabs>
        <w:rPr>
          <w:sz w:val="20"/>
        </w:rPr>
        <w:sectPr w:rsidR="003B2B96" w:rsidSect="00593E8F">
          <w:headerReference w:type="even" r:id="rId22"/>
          <w:headerReference w:type="default" r:id="rId23"/>
          <w:footerReference w:type="default" r:id="rId24"/>
          <w:headerReference w:type="first" r:id="rId25"/>
          <w:endnotePr>
            <w:numFmt w:val="lowerLetter"/>
          </w:endnotePr>
          <w:type w:val="nextColumn"/>
          <w:pgSz w:w="11906" w:h="16838"/>
          <w:pgMar w:top="1134" w:right="1134" w:bottom="1134" w:left="1134" w:header="567" w:footer="567" w:gutter="0"/>
          <w:paperSrc w:first="15" w:other="15"/>
          <w:cols w:space="720"/>
          <w:bidi/>
          <w:docGrid w:linePitch="326"/>
        </w:sectPr>
      </w:pPr>
    </w:p>
    <w:p w14:paraId="29C166E6" w14:textId="6C32344C" w:rsidR="002E76E0" w:rsidRPr="00903C29" w:rsidRDefault="00903C29" w:rsidP="00903C29">
      <w:pPr>
        <w:outlineLvl w:val="1"/>
        <w:rPr>
          <w:rFonts w:asciiTheme="majorBidi" w:hAnsiTheme="majorBidi" w:cstheme="majorBidi"/>
          <w:color w:val="FFFFFF" w:themeColor="background1"/>
          <w:sz w:val="20"/>
        </w:rPr>
      </w:pPr>
      <w:bookmarkStart w:id="20" w:name="H3_Note_1__General"/>
      <w:r w:rsidRPr="00903C29">
        <w:rPr>
          <w:rFonts w:asciiTheme="majorBidi" w:hAnsiTheme="majorBidi" w:cstheme="majorBidi"/>
          <w:b/>
          <w:color w:val="FFFFFF" w:themeColor="background1"/>
          <w:sz w:val="20"/>
        </w:rPr>
        <w:lastRenderedPageBreak/>
        <w:t>Notes to consolidated financial statement</w:t>
      </w:r>
      <w:r w:rsidRPr="00903C29">
        <w:rPr>
          <w:rFonts w:asciiTheme="majorBidi" w:hAnsiTheme="majorBidi" w:cstheme="majorBidi"/>
          <w:color w:val="FFFFFF" w:themeColor="background1"/>
          <w:sz w:val="20"/>
        </w:rPr>
        <w:t>s</w:t>
      </w:r>
    </w:p>
    <w:p w14:paraId="573F0807" w14:textId="706BC1A6" w:rsidR="00C35D07" w:rsidRPr="0054081B" w:rsidRDefault="00C35D07" w:rsidP="00F00E32">
      <w:pPr>
        <w:pStyle w:val="BEUR0"/>
        <w:jc w:val="both"/>
        <w:outlineLvl w:val="2"/>
        <w:rPr>
          <w:rFonts w:ascii="Times New Roman" w:hAnsi="Times New Roman"/>
          <w:sz w:val="22"/>
          <w:szCs w:val="22"/>
        </w:rPr>
      </w:pPr>
      <w:r w:rsidRPr="0054081B">
        <w:rPr>
          <w:rFonts w:ascii="Times New Roman" w:hAnsi="Times New Roman"/>
          <w:sz w:val="22"/>
          <w:szCs w:val="22"/>
        </w:rPr>
        <w:t>Note 1 - General</w:t>
      </w:r>
    </w:p>
    <w:bookmarkEnd w:id="20"/>
    <w:p w14:paraId="2823E862" w14:textId="77777777" w:rsidR="00C35D07" w:rsidRPr="00502C08" w:rsidRDefault="00C35D07" w:rsidP="00502C08">
      <w:pPr>
        <w:ind w:left="720"/>
        <w:jc w:val="both"/>
        <w:rPr>
          <w:sz w:val="22"/>
          <w:szCs w:val="22"/>
        </w:rPr>
      </w:pPr>
    </w:p>
    <w:p w14:paraId="6C669009" w14:textId="77777777" w:rsidR="00E953F7" w:rsidRPr="00D233E9" w:rsidRDefault="00E953F7" w:rsidP="00502C08">
      <w:pPr>
        <w:ind w:left="720"/>
        <w:jc w:val="both"/>
        <w:rPr>
          <w:sz w:val="22"/>
          <w:szCs w:val="22"/>
        </w:rPr>
      </w:pPr>
      <w:r w:rsidRPr="00D233E9">
        <w:rPr>
          <w:sz w:val="22"/>
          <w:szCs w:val="22"/>
        </w:rPr>
        <w:t>AFI Europe N.V. (the "</w:t>
      </w:r>
      <w:r w:rsidRPr="00502C08">
        <w:rPr>
          <w:b/>
          <w:bCs/>
          <w:sz w:val="22"/>
          <w:szCs w:val="22"/>
        </w:rPr>
        <w:t>Company</w:t>
      </w:r>
      <w:r w:rsidRPr="00D233E9">
        <w:rPr>
          <w:sz w:val="22"/>
          <w:szCs w:val="22"/>
        </w:rPr>
        <w:t>”) was incorporated in the Netherlands in 2006 and is domiciled in Amsterdam.</w:t>
      </w:r>
    </w:p>
    <w:p w14:paraId="27DF79E2" w14:textId="77777777" w:rsidR="00BC7D1D" w:rsidRPr="00F33FDE" w:rsidRDefault="00BC7D1D" w:rsidP="00502C08">
      <w:pPr>
        <w:ind w:left="720"/>
        <w:jc w:val="both"/>
        <w:rPr>
          <w:sz w:val="22"/>
          <w:szCs w:val="22"/>
        </w:rPr>
      </w:pPr>
    </w:p>
    <w:p w14:paraId="5CCA1B0A" w14:textId="77777777" w:rsidR="00E953F7" w:rsidRPr="00D233E9" w:rsidRDefault="00E953F7" w:rsidP="00502C08">
      <w:pPr>
        <w:ind w:left="720"/>
        <w:jc w:val="both"/>
        <w:rPr>
          <w:sz w:val="22"/>
          <w:szCs w:val="22"/>
        </w:rPr>
      </w:pPr>
      <w:r w:rsidRPr="00D233E9">
        <w:rPr>
          <w:sz w:val="22"/>
          <w:szCs w:val="22"/>
        </w:rPr>
        <w:t>Through its subsidiaries, the Company is an owner, manager and developer of landmark real estate assets in Central and Eastern Europe (CEE), with properties and projects in Czech Republic, Poland, Romania, Serbia, Bulgaria and Latvia, including business parks and office complexes, shopping malls and retail properties, as well as residential and mixed-use developments. In addition, the Company owns an inventory of land for future development.</w:t>
      </w:r>
    </w:p>
    <w:p w14:paraId="33A52FFE" w14:textId="71E2F83F" w:rsidR="001D4ADE" w:rsidRPr="00F33FDE" w:rsidRDefault="001D4ADE" w:rsidP="00502C08">
      <w:pPr>
        <w:ind w:left="720"/>
        <w:jc w:val="both"/>
        <w:rPr>
          <w:sz w:val="22"/>
          <w:szCs w:val="22"/>
        </w:rPr>
      </w:pPr>
    </w:p>
    <w:p w14:paraId="4A0DD754" w14:textId="15C3979F" w:rsidR="001D4ADE" w:rsidRDefault="001D4ADE" w:rsidP="00502C08">
      <w:pPr>
        <w:ind w:left="720"/>
        <w:jc w:val="both"/>
        <w:rPr>
          <w:sz w:val="22"/>
          <w:szCs w:val="22"/>
        </w:rPr>
      </w:pPr>
      <w:r w:rsidRPr="002447FF">
        <w:rPr>
          <w:sz w:val="22"/>
          <w:szCs w:val="22"/>
        </w:rPr>
        <w:t xml:space="preserve">The consolidated financial statements of the Company </w:t>
      </w:r>
      <w:r>
        <w:rPr>
          <w:sz w:val="22"/>
          <w:szCs w:val="22"/>
        </w:rPr>
        <w:t>as at and for the year ended December</w:t>
      </w:r>
      <w:r w:rsidRPr="002447FF">
        <w:rPr>
          <w:sz w:val="22"/>
          <w:szCs w:val="22"/>
        </w:rPr>
        <w:t xml:space="preserve"> 3</w:t>
      </w:r>
      <w:r>
        <w:rPr>
          <w:sz w:val="22"/>
          <w:szCs w:val="22"/>
        </w:rPr>
        <w:t>1</w:t>
      </w:r>
      <w:r w:rsidRPr="002447FF">
        <w:rPr>
          <w:sz w:val="22"/>
          <w:szCs w:val="22"/>
        </w:rPr>
        <w:t xml:space="preserve">, </w:t>
      </w:r>
      <w:proofErr w:type="gramStart"/>
      <w:r w:rsidR="00A91651">
        <w:rPr>
          <w:sz w:val="22"/>
          <w:szCs w:val="22"/>
        </w:rPr>
        <w:t>202</w:t>
      </w:r>
      <w:r w:rsidR="00B94C2E">
        <w:rPr>
          <w:sz w:val="22"/>
          <w:szCs w:val="22"/>
        </w:rPr>
        <w:t>4</w:t>
      </w:r>
      <w:proofErr w:type="gramEnd"/>
      <w:r w:rsidR="00A91651" w:rsidRPr="002447FF">
        <w:rPr>
          <w:sz w:val="22"/>
          <w:szCs w:val="22"/>
        </w:rPr>
        <w:t xml:space="preserve"> </w:t>
      </w:r>
      <w:r w:rsidRPr="002447FF">
        <w:rPr>
          <w:sz w:val="22"/>
          <w:szCs w:val="22"/>
        </w:rPr>
        <w:t>comprise the Company, its subsidiaries (together the “</w:t>
      </w:r>
      <w:r w:rsidRPr="00502C08">
        <w:rPr>
          <w:b/>
          <w:bCs/>
          <w:sz w:val="22"/>
          <w:szCs w:val="22"/>
        </w:rPr>
        <w:t>Group</w:t>
      </w:r>
      <w:r w:rsidRPr="002447FF">
        <w:rPr>
          <w:sz w:val="22"/>
          <w:szCs w:val="22"/>
        </w:rPr>
        <w:t>”), and the Group’s interest in associates and jointly controlled entities.</w:t>
      </w:r>
    </w:p>
    <w:p w14:paraId="2B5A80D9" w14:textId="77777777" w:rsidR="001D4ADE" w:rsidRPr="00F33FDE" w:rsidRDefault="001D4ADE" w:rsidP="00502C08">
      <w:pPr>
        <w:ind w:left="720"/>
        <w:jc w:val="both"/>
        <w:rPr>
          <w:sz w:val="22"/>
          <w:szCs w:val="22"/>
        </w:rPr>
      </w:pPr>
    </w:p>
    <w:p w14:paraId="0CB0A184" w14:textId="0B9C62D7" w:rsidR="00E953F7" w:rsidRPr="00D233E9" w:rsidRDefault="00E953F7" w:rsidP="00502C08">
      <w:pPr>
        <w:ind w:left="720"/>
        <w:jc w:val="both"/>
        <w:rPr>
          <w:sz w:val="22"/>
          <w:szCs w:val="22"/>
        </w:rPr>
      </w:pPr>
      <w:r w:rsidRPr="00D233E9">
        <w:rPr>
          <w:sz w:val="22"/>
          <w:szCs w:val="22"/>
        </w:rPr>
        <w:t>Since its incorporation in 2006, the Company was a wholly-owned subsidiary of AFI Properties Holdings Ltd., an Israeli company wholly owned by AFI Properties Ltd. (“</w:t>
      </w:r>
      <w:r w:rsidRPr="00502C08">
        <w:rPr>
          <w:b/>
          <w:bCs/>
          <w:sz w:val="22"/>
          <w:szCs w:val="22"/>
        </w:rPr>
        <w:t>AFI Properties</w:t>
      </w:r>
      <w:r w:rsidRPr="00D233E9">
        <w:rPr>
          <w:sz w:val="22"/>
          <w:szCs w:val="22"/>
        </w:rPr>
        <w:t xml:space="preserve">”), an Israeli </w:t>
      </w:r>
      <w:r w:rsidR="00B94C2E">
        <w:rPr>
          <w:sz w:val="22"/>
          <w:szCs w:val="22"/>
        </w:rPr>
        <w:t>c</w:t>
      </w:r>
      <w:r w:rsidRPr="00D233E9">
        <w:rPr>
          <w:sz w:val="22"/>
          <w:szCs w:val="22"/>
        </w:rPr>
        <w:t>ompany listed on the Tel Aviv Stock Exchange, which is approximately 8</w:t>
      </w:r>
      <w:r>
        <w:rPr>
          <w:sz w:val="22"/>
          <w:szCs w:val="22"/>
        </w:rPr>
        <w:t>9</w:t>
      </w:r>
      <w:r w:rsidRPr="00D233E9">
        <w:rPr>
          <w:sz w:val="22"/>
          <w:szCs w:val="22"/>
        </w:rPr>
        <w:t xml:space="preserve">% owned by Big Shopping Centers </w:t>
      </w:r>
      <w:proofErr w:type="gramStart"/>
      <w:r w:rsidRPr="00D233E9">
        <w:rPr>
          <w:sz w:val="22"/>
          <w:szCs w:val="22"/>
        </w:rPr>
        <w:t>Ltd</w:t>
      </w:r>
      <w:r>
        <w:rPr>
          <w:sz w:val="22"/>
          <w:szCs w:val="22"/>
        </w:rPr>
        <w:t>.</w:t>
      </w:r>
      <w:r w:rsidRPr="00D233E9">
        <w:rPr>
          <w:sz w:val="22"/>
          <w:szCs w:val="22"/>
        </w:rPr>
        <w:t>.</w:t>
      </w:r>
      <w:proofErr w:type="gramEnd"/>
    </w:p>
    <w:p w14:paraId="617E90EF" w14:textId="77777777" w:rsidR="00D4008C" w:rsidRDefault="00D4008C" w:rsidP="00502C08">
      <w:pPr>
        <w:ind w:left="720"/>
        <w:jc w:val="both"/>
        <w:rPr>
          <w:sz w:val="22"/>
          <w:szCs w:val="22"/>
        </w:rPr>
      </w:pPr>
    </w:p>
    <w:p w14:paraId="4201E387" w14:textId="35E02ED7" w:rsidR="002B4B5D" w:rsidRDefault="00EB7429" w:rsidP="00502C08">
      <w:pPr>
        <w:ind w:left="720"/>
        <w:jc w:val="both"/>
        <w:rPr>
          <w:sz w:val="22"/>
          <w:szCs w:val="22"/>
        </w:rPr>
      </w:pPr>
      <w:r w:rsidRPr="005C7D15">
        <w:rPr>
          <w:sz w:val="22"/>
          <w:szCs w:val="22"/>
        </w:rPr>
        <w:t xml:space="preserve">AFI </w:t>
      </w:r>
      <w:r w:rsidR="00C35D07" w:rsidRPr="005C7D15">
        <w:rPr>
          <w:sz w:val="22"/>
          <w:szCs w:val="22"/>
        </w:rPr>
        <w:t>Properties</w:t>
      </w:r>
      <w:r w:rsidR="008E4DC8" w:rsidRPr="005C7D15">
        <w:rPr>
          <w:sz w:val="22"/>
          <w:szCs w:val="22"/>
        </w:rPr>
        <w:t xml:space="preserve"> </w:t>
      </w:r>
      <w:proofErr w:type="gramStart"/>
      <w:r w:rsidR="008E4DC8" w:rsidRPr="005C7D15">
        <w:rPr>
          <w:sz w:val="22"/>
          <w:szCs w:val="22"/>
        </w:rPr>
        <w:t>has</w:t>
      </w:r>
      <w:proofErr w:type="gramEnd"/>
      <w:r w:rsidR="00C35D07" w:rsidRPr="005C7D15">
        <w:rPr>
          <w:sz w:val="22"/>
          <w:szCs w:val="22"/>
        </w:rPr>
        <w:t xml:space="preserve"> provided </w:t>
      </w:r>
      <w:r w:rsidR="008E4DC8" w:rsidRPr="005C7D15">
        <w:rPr>
          <w:sz w:val="22"/>
          <w:szCs w:val="22"/>
        </w:rPr>
        <w:t xml:space="preserve">to </w:t>
      </w:r>
      <w:r w:rsidR="00C35D07" w:rsidRPr="005C7D15">
        <w:rPr>
          <w:sz w:val="22"/>
          <w:szCs w:val="22"/>
        </w:rPr>
        <w:t>the Company</w:t>
      </w:r>
      <w:r w:rsidRPr="005C7D15">
        <w:rPr>
          <w:sz w:val="22"/>
          <w:szCs w:val="22"/>
        </w:rPr>
        <w:t xml:space="preserve"> </w:t>
      </w:r>
      <w:r w:rsidR="001E6ACA" w:rsidRPr="005C7D15">
        <w:rPr>
          <w:sz w:val="22"/>
          <w:szCs w:val="22"/>
        </w:rPr>
        <w:t xml:space="preserve">and its subsidiaries </w:t>
      </w:r>
      <w:r w:rsidR="008B4451" w:rsidRPr="005C7D15">
        <w:rPr>
          <w:sz w:val="22"/>
          <w:szCs w:val="22"/>
        </w:rPr>
        <w:t xml:space="preserve">intercompany </w:t>
      </w:r>
      <w:r w:rsidR="00C35D07" w:rsidRPr="005C7D15">
        <w:rPr>
          <w:sz w:val="22"/>
          <w:szCs w:val="22"/>
        </w:rPr>
        <w:t xml:space="preserve">loans, the aggregate outstanding </w:t>
      </w:r>
      <w:r w:rsidR="008B4451" w:rsidRPr="005C7D15">
        <w:rPr>
          <w:sz w:val="22"/>
          <w:szCs w:val="22"/>
        </w:rPr>
        <w:t xml:space="preserve">balance </w:t>
      </w:r>
      <w:r w:rsidR="00C35D07" w:rsidRPr="005C7D15">
        <w:rPr>
          <w:sz w:val="22"/>
          <w:szCs w:val="22"/>
        </w:rPr>
        <w:t xml:space="preserve">of which, effective as </w:t>
      </w:r>
      <w:proofErr w:type="gramStart"/>
      <w:r w:rsidR="008B4451" w:rsidRPr="005C7D15">
        <w:rPr>
          <w:sz w:val="22"/>
          <w:szCs w:val="22"/>
        </w:rPr>
        <w:t>at</w:t>
      </w:r>
      <w:proofErr w:type="gramEnd"/>
      <w:r w:rsidR="008B4451" w:rsidRPr="005C7D15">
        <w:rPr>
          <w:sz w:val="22"/>
          <w:szCs w:val="22"/>
        </w:rPr>
        <w:t xml:space="preserve"> </w:t>
      </w:r>
      <w:r w:rsidR="00C35D07" w:rsidRPr="005C7D15">
        <w:rPr>
          <w:sz w:val="22"/>
          <w:szCs w:val="22"/>
        </w:rPr>
        <w:t xml:space="preserve">December 31, </w:t>
      </w:r>
      <w:r w:rsidR="00A91651" w:rsidRPr="005C7D15">
        <w:rPr>
          <w:sz w:val="22"/>
          <w:szCs w:val="22"/>
        </w:rPr>
        <w:t>202</w:t>
      </w:r>
      <w:r w:rsidR="00E54991">
        <w:rPr>
          <w:sz w:val="22"/>
          <w:szCs w:val="22"/>
        </w:rPr>
        <w:t>4</w:t>
      </w:r>
      <w:r w:rsidR="00C35D07" w:rsidRPr="005C7D15">
        <w:rPr>
          <w:sz w:val="22"/>
          <w:szCs w:val="22"/>
        </w:rPr>
        <w:t xml:space="preserve">, is </w:t>
      </w:r>
      <w:r w:rsidR="008B4451" w:rsidRPr="005C7D15">
        <w:rPr>
          <w:sz w:val="22"/>
          <w:szCs w:val="22"/>
        </w:rPr>
        <w:t>approx</w:t>
      </w:r>
      <w:r w:rsidR="008B4451" w:rsidRPr="00215FA4">
        <w:rPr>
          <w:sz w:val="22"/>
          <w:szCs w:val="22"/>
        </w:rPr>
        <w:t>.</w:t>
      </w:r>
      <w:r w:rsidR="00C35D07" w:rsidRPr="00215FA4">
        <w:rPr>
          <w:sz w:val="22"/>
          <w:szCs w:val="22"/>
        </w:rPr>
        <w:t xml:space="preserve"> </w:t>
      </w:r>
      <w:r w:rsidR="00FA6A71" w:rsidRPr="00215FA4">
        <w:rPr>
          <w:sz w:val="22"/>
          <w:szCs w:val="22"/>
        </w:rPr>
        <w:t>EUR</w:t>
      </w:r>
      <w:r w:rsidR="00C35D07" w:rsidRPr="00215FA4">
        <w:rPr>
          <w:sz w:val="22"/>
          <w:szCs w:val="22"/>
        </w:rPr>
        <w:t xml:space="preserve"> </w:t>
      </w:r>
      <w:r w:rsidR="00215FA4" w:rsidRPr="00215FA4">
        <w:rPr>
          <w:sz w:val="22"/>
          <w:szCs w:val="22"/>
        </w:rPr>
        <w:t>1,162</w:t>
      </w:r>
      <w:r w:rsidR="00E953F7" w:rsidRPr="00215FA4">
        <w:rPr>
          <w:sz w:val="22"/>
          <w:szCs w:val="22"/>
        </w:rPr>
        <w:t>.</w:t>
      </w:r>
      <w:r w:rsidR="00215FA4" w:rsidRPr="00215FA4">
        <w:rPr>
          <w:sz w:val="22"/>
          <w:szCs w:val="22"/>
        </w:rPr>
        <w:t>7</w:t>
      </w:r>
      <w:r w:rsidRPr="00215FA4">
        <w:rPr>
          <w:sz w:val="22"/>
          <w:szCs w:val="22"/>
        </w:rPr>
        <w:t xml:space="preserve"> </w:t>
      </w:r>
      <w:r w:rsidR="00360D91" w:rsidRPr="00215FA4">
        <w:rPr>
          <w:sz w:val="22"/>
          <w:szCs w:val="22"/>
        </w:rPr>
        <w:t xml:space="preserve">million (December 31, </w:t>
      </w:r>
      <w:r w:rsidR="00A91651" w:rsidRPr="00215FA4">
        <w:rPr>
          <w:sz w:val="22"/>
          <w:szCs w:val="22"/>
        </w:rPr>
        <w:t>202</w:t>
      </w:r>
      <w:r w:rsidR="00E54991" w:rsidRPr="00215FA4">
        <w:rPr>
          <w:sz w:val="22"/>
          <w:szCs w:val="22"/>
        </w:rPr>
        <w:t>3</w:t>
      </w:r>
      <w:r w:rsidR="00756EC7" w:rsidRPr="00215FA4">
        <w:rPr>
          <w:sz w:val="22"/>
          <w:szCs w:val="22"/>
        </w:rPr>
        <w:t>:</w:t>
      </w:r>
      <w:r w:rsidR="00360D91" w:rsidRPr="00215FA4">
        <w:rPr>
          <w:sz w:val="22"/>
          <w:szCs w:val="22"/>
        </w:rPr>
        <w:t xml:space="preserve"> EUR </w:t>
      </w:r>
      <w:r w:rsidR="00E54991" w:rsidRPr="00215FA4">
        <w:rPr>
          <w:sz w:val="22"/>
          <w:szCs w:val="22"/>
        </w:rPr>
        <w:t>954.4</w:t>
      </w:r>
      <w:r w:rsidR="00F51ABD" w:rsidRPr="00215FA4">
        <w:rPr>
          <w:sz w:val="22"/>
          <w:szCs w:val="22"/>
        </w:rPr>
        <w:t xml:space="preserve"> </w:t>
      </w:r>
      <w:r w:rsidR="00360D91" w:rsidRPr="00215FA4">
        <w:rPr>
          <w:sz w:val="22"/>
          <w:szCs w:val="22"/>
        </w:rPr>
        <w:t>million).</w:t>
      </w:r>
    </w:p>
    <w:p w14:paraId="35010A2B" w14:textId="77777777" w:rsidR="002B4B5D" w:rsidRPr="005C7D15" w:rsidRDefault="002B4B5D" w:rsidP="00502C08">
      <w:pPr>
        <w:ind w:left="720"/>
        <w:jc w:val="both"/>
        <w:rPr>
          <w:sz w:val="22"/>
          <w:szCs w:val="22"/>
        </w:rPr>
      </w:pPr>
    </w:p>
    <w:p w14:paraId="0D42D195" w14:textId="2889E355" w:rsidR="002B4B5D" w:rsidRDefault="002B4B5D" w:rsidP="002B4B5D">
      <w:pPr>
        <w:ind w:left="720"/>
        <w:jc w:val="both"/>
        <w:rPr>
          <w:sz w:val="22"/>
          <w:szCs w:val="22"/>
        </w:rPr>
      </w:pPr>
      <w:r w:rsidRPr="002B4B5D">
        <w:rPr>
          <w:sz w:val="22"/>
          <w:szCs w:val="22"/>
        </w:rPr>
        <w:t xml:space="preserve">As of December 31, 2024, the Group carrying negative working capital of </w:t>
      </w:r>
      <w:r>
        <w:rPr>
          <w:sz w:val="22"/>
          <w:szCs w:val="22"/>
        </w:rPr>
        <w:t>approx.</w:t>
      </w:r>
      <w:r w:rsidRPr="002B4B5D">
        <w:rPr>
          <w:sz w:val="22"/>
          <w:szCs w:val="22"/>
        </w:rPr>
        <w:t xml:space="preserve"> EUR 220 million, primarily due to several bank loans related to investment properties in Romania (EUR 213,072 thousand), Poland (EUR 55,075 thousand), and Serbia (EUR 12,884 thousand), all classified as current liabilities due to their maturity of less than 12 months. The Group is actively pursuing refinancing options to secure new loans with extended maturity dates, and management expects to finalize these agreements before the current loans mature.</w:t>
      </w:r>
      <w:r w:rsidRPr="002B4B5D" w:rsidDel="002B4B5D">
        <w:rPr>
          <w:sz w:val="22"/>
          <w:szCs w:val="22"/>
        </w:rPr>
        <w:t xml:space="preserve"> </w:t>
      </w:r>
    </w:p>
    <w:p w14:paraId="006AF9DB" w14:textId="77777777" w:rsidR="000B51F0" w:rsidRDefault="000B51F0" w:rsidP="00074746">
      <w:pPr>
        <w:ind w:left="993"/>
        <w:jc w:val="both"/>
        <w:rPr>
          <w:sz w:val="22"/>
          <w:szCs w:val="22"/>
        </w:rPr>
      </w:pPr>
    </w:p>
    <w:p w14:paraId="6CF6C941" w14:textId="58E29C27" w:rsidR="00C35D07" w:rsidRPr="0054081B" w:rsidRDefault="00DC23CB" w:rsidP="00F00E32">
      <w:pPr>
        <w:pStyle w:val="BEUR0"/>
        <w:jc w:val="both"/>
        <w:outlineLvl w:val="2"/>
        <w:rPr>
          <w:rFonts w:ascii="Times New Roman" w:hAnsi="Times New Roman"/>
          <w:sz w:val="22"/>
          <w:szCs w:val="22"/>
        </w:rPr>
      </w:pPr>
      <w:bookmarkStart w:id="21" w:name="H3_Note_2__Basis_of_Preparation"/>
      <w:r w:rsidRPr="0054081B">
        <w:rPr>
          <w:rFonts w:ascii="Times New Roman" w:hAnsi="Times New Roman"/>
          <w:sz w:val="22"/>
          <w:szCs w:val="22"/>
        </w:rPr>
        <w:t>N</w:t>
      </w:r>
      <w:r w:rsidR="00C35D07" w:rsidRPr="0054081B">
        <w:rPr>
          <w:rFonts w:ascii="Times New Roman" w:hAnsi="Times New Roman"/>
          <w:sz w:val="22"/>
          <w:szCs w:val="22"/>
        </w:rPr>
        <w:t xml:space="preserve">ote 2 - Basis of </w:t>
      </w:r>
      <w:r w:rsidR="00C4425B" w:rsidRPr="0054081B">
        <w:rPr>
          <w:rFonts w:ascii="Times New Roman" w:hAnsi="Times New Roman"/>
          <w:sz w:val="22"/>
          <w:szCs w:val="22"/>
        </w:rPr>
        <w:t>P</w:t>
      </w:r>
      <w:r w:rsidR="00C35D07" w:rsidRPr="0054081B">
        <w:rPr>
          <w:rFonts w:ascii="Times New Roman" w:hAnsi="Times New Roman"/>
          <w:sz w:val="22"/>
          <w:szCs w:val="22"/>
        </w:rPr>
        <w:t>reparation</w:t>
      </w:r>
    </w:p>
    <w:bookmarkEnd w:id="21"/>
    <w:p w14:paraId="5293A3CB" w14:textId="77777777" w:rsidR="00C35D07" w:rsidRPr="00844735" w:rsidRDefault="00C35D07" w:rsidP="00CC1EFE">
      <w:pPr>
        <w:autoSpaceDE w:val="0"/>
        <w:autoSpaceDN w:val="0"/>
        <w:adjustRightInd w:val="0"/>
        <w:ind w:left="720"/>
        <w:jc w:val="both"/>
        <w:rPr>
          <w:sz w:val="22"/>
          <w:szCs w:val="22"/>
        </w:rPr>
      </w:pPr>
    </w:p>
    <w:p w14:paraId="04FF9338" w14:textId="77777777" w:rsidR="00C35D07" w:rsidRPr="00844735" w:rsidRDefault="00C35D07" w:rsidP="00F00E32">
      <w:pPr>
        <w:ind w:left="720"/>
        <w:jc w:val="both"/>
        <w:outlineLvl w:val="3"/>
        <w:rPr>
          <w:sz w:val="22"/>
          <w:szCs w:val="22"/>
        </w:rPr>
      </w:pPr>
      <w:bookmarkStart w:id="22" w:name="H4_AStatement_of_compliance__"/>
      <w:r w:rsidRPr="00844735">
        <w:rPr>
          <w:b/>
          <w:bCs/>
          <w:sz w:val="22"/>
          <w:szCs w:val="22"/>
        </w:rPr>
        <w:t>A.</w:t>
      </w:r>
      <w:r w:rsidRPr="00844735">
        <w:rPr>
          <w:b/>
          <w:bCs/>
          <w:sz w:val="22"/>
          <w:szCs w:val="22"/>
        </w:rPr>
        <w:tab/>
        <w:t>Statement of compliance</w:t>
      </w:r>
      <w:r w:rsidRPr="00844735" w:rsidDel="00A9126E">
        <w:rPr>
          <w:b/>
          <w:bCs/>
          <w:sz w:val="22"/>
          <w:szCs w:val="22"/>
        </w:rPr>
        <w:t xml:space="preserve"> </w:t>
      </w:r>
      <w:r w:rsidRPr="00844735">
        <w:rPr>
          <w:b/>
          <w:bCs/>
          <w:sz w:val="22"/>
          <w:szCs w:val="22"/>
        </w:rPr>
        <w:t xml:space="preserve"> </w:t>
      </w:r>
    </w:p>
    <w:bookmarkEnd w:id="22"/>
    <w:p w14:paraId="5BBF711B" w14:textId="77777777" w:rsidR="00C35D07" w:rsidRPr="00F02921" w:rsidRDefault="00C35D07" w:rsidP="00CC1EFE">
      <w:pPr>
        <w:autoSpaceDE w:val="0"/>
        <w:autoSpaceDN w:val="0"/>
        <w:adjustRightInd w:val="0"/>
        <w:ind w:left="720"/>
        <w:jc w:val="both"/>
        <w:rPr>
          <w:sz w:val="22"/>
          <w:szCs w:val="22"/>
        </w:rPr>
      </w:pPr>
    </w:p>
    <w:p w14:paraId="5A6307A0" w14:textId="00DC4240" w:rsidR="00C35D07" w:rsidRPr="00F02921" w:rsidRDefault="00C35D07" w:rsidP="002447FF">
      <w:pPr>
        <w:ind w:left="720"/>
        <w:jc w:val="both"/>
        <w:rPr>
          <w:sz w:val="22"/>
          <w:szCs w:val="22"/>
        </w:rPr>
      </w:pPr>
      <w:r w:rsidRPr="00F02921">
        <w:rPr>
          <w:sz w:val="22"/>
          <w:szCs w:val="22"/>
        </w:rPr>
        <w:t>The consolidated financial statements have been prepared for the purpose of inclusion in the</w:t>
      </w:r>
      <w:r w:rsidR="00360D91">
        <w:rPr>
          <w:sz w:val="22"/>
          <w:szCs w:val="22"/>
        </w:rPr>
        <w:t xml:space="preserve"> consolidated</w:t>
      </w:r>
      <w:r w:rsidRPr="00F02921">
        <w:rPr>
          <w:sz w:val="22"/>
          <w:szCs w:val="22"/>
        </w:rPr>
        <w:t xml:space="preserve"> financial statements of </w:t>
      </w:r>
      <w:r w:rsidR="009107F7">
        <w:rPr>
          <w:sz w:val="22"/>
          <w:szCs w:val="22"/>
        </w:rPr>
        <w:t>AFI</w:t>
      </w:r>
      <w:r w:rsidR="009107F7" w:rsidRPr="00F02921">
        <w:rPr>
          <w:sz w:val="22"/>
          <w:szCs w:val="22"/>
        </w:rPr>
        <w:t xml:space="preserve"> </w:t>
      </w:r>
      <w:r w:rsidRPr="00F02921">
        <w:rPr>
          <w:sz w:val="22"/>
          <w:szCs w:val="22"/>
        </w:rPr>
        <w:t xml:space="preserve">Properties, in accordance with </w:t>
      </w:r>
      <w:r w:rsidR="00C01EF2">
        <w:rPr>
          <w:sz w:val="22"/>
          <w:szCs w:val="22"/>
        </w:rPr>
        <w:t>I</w:t>
      </w:r>
      <w:r w:rsidR="00C01EF2">
        <w:rPr>
          <w:sz w:val="22"/>
          <w:szCs w:val="22"/>
          <w:lang w:bidi="he-IL"/>
        </w:rPr>
        <w:t>FRS Accounting Standards</w:t>
      </w:r>
      <w:r w:rsidRPr="00F02921">
        <w:rPr>
          <w:sz w:val="22"/>
          <w:szCs w:val="22"/>
        </w:rPr>
        <w:t xml:space="preserve"> (“</w:t>
      </w:r>
      <w:r w:rsidRPr="002447FF">
        <w:rPr>
          <w:b/>
          <w:bCs/>
          <w:sz w:val="22"/>
          <w:szCs w:val="22"/>
        </w:rPr>
        <w:t>IFRS</w:t>
      </w:r>
      <w:r w:rsidRPr="00F02921">
        <w:rPr>
          <w:sz w:val="22"/>
          <w:szCs w:val="22"/>
        </w:rPr>
        <w:t xml:space="preserve">”). </w:t>
      </w:r>
    </w:p>
    <w:p w14:paraId="242877C4" w14:textId="77777777" w:rsidR="00C35D07" w:rsidRPr="00F02921" w:rsidRDefault="00C35D07" w:rsidP="00CC1EFE">
      <w:pPr>
        <w:ind w:left="720"/>
        <w:jc w:val="both"/>
        <w:rPr>
          <w:sz w:val="12"/>
          <w:szCs w:val="12"/>
        </w:rPr>
      </w:pPr>
    </w:p>
    <w:p w14:paraId="3F877099" w14:textId="454FE31D" w:rsidR="00C35D07" w:rsidRPr="00F02921" w:rsidRDefault="00C35D07" w:rsidP="00106E22">
      <w:pPr>
        <w:ind w:left="720"/>
        <w:jc w:val="both"/>
        <w:rPr>
          <w:sz w:val="22"/>
          <w:szCs w:val="22"/>
        </w:rPr>
      </w:pPr>
      <w:r w:rsidRPr="004F45A7">
        <w:rPr>
          <w:sz w:val="22"/>
          <w:szCs w:val="22"/>
        </w:rPr>
        <w:t>The consolidated financial statements were authorized for issue by the</w:t>
      </w:r>
      <w:r w:rsidR="00DD057F" w:rsidRPr="004F45A7">
        <w:rPr>
          <w:sz w:val="22"/>
          <w:szCs w:val="22"/>
        </w:rPr>
        <w:t xml:space="preserve"> company's</w:t>
      </w:r>
      <w:r w:rsidRPr="004F45A7">
        <w:rPr>
          <w:sz w:val="22"/>
          <w:szCs w:val="22"/>
        </w:rPr>
        <w:t xml:space="preserve"> Board of Directors on </w:t>
      </w:r>
      <w:r w:rsidR="00A27DDE" w:rsidRPr="00A64F6E">
        <w:rPr>
          <w:sz w:val="22"/>
          <w:szCs w:val="22"/>
        </w:rPr>
        <w:t xml:space="preserve">March </w:t>
      </w:r>
      <w:r w:rsidR="00B62336">
        <w:rPr>
          <w:sz w:val="22"/>
          <w:szCs w:val="22"/>
        </w:rPr>
        <w:t>3</w:t>
      </w:r>
      <w:r w:rsidRPr="00A64F6E">
        <w:rPr>
          <w:sz w:val="22"/>
          <w:szCs w:val="22"/>
        </w:rPr>
        <w:t xml:space="preserve">, </w:t>
      </w:r>
      <w:r w:rsidR="00F51ABD">
        <w:rPr>
          <w:sz w:val="22"/>
          <w:szCs w:val="22"/>
        </w:rPr>
        <w:t>202</w:t>
      </w:r>
      <w:r w:rsidR="00E54991">
        <w:rPr>
          <w:sz w:val="22"/>
          <w:szCs w:val="22"/>
        </w:rPr>
        <w:t>5</w:t>
      </w:r>
      <w:r w:rsidRPr="00A64F6E">
        <w:rPr>
          <w:sz w:val="22"/>
          <w:szCs w:val="22"/>
        </w:rPr>
        <w:t>.</w:t>
      </w:r>
    </w:p>
    <w:p w14:paraId="49F7619E" w14:textId="77777777" w:rsidR="00EF54F9" w:rsidRPr="00F02921" w:rsidRDefault="00EF54F9" w:rsidP="008211D9">
      <w:pPr>
        <w:jc w:val="both"/>
        <w:rPr>
          <w:sz w:val="22"/>
          <w:szCs w:val="22"/>
        </w:rPr>
      </w:pPr>
    </w:p>
    <w:p w14:paraId="3268C18B" w14:textId="2D20E82D" w:rsidR="00C35D07" w:rsidRPr="00F02921" w:rsidRDefault="00C35D07" w:rsidP="00BE414A">
      <w:pPr>
        <w:ind w:left="720"/>
        <w:jc w:val="both"/>
        <w:rPr>
          <w:sz w:val="22"/>
          <w:szCs w:val="22"/>
        </w:rPr>
      </w:pPr>
      <w:r w:rsidRPr="00F02921">
        <w:rPr>
          <w:sz w:val="22"/>
          <w:szCs w:val="22"/>
        </w:rPr>
        <w:t xml:space="preserve">These IFRS consolidated financial statements are not the statutory financials of the Company. The Company has to file financial statements under Dutch Law for the fiscal year </w:t>
      </w:r>
      <w:r w:rsidRPr="00AE6823">
        <w:rPr>
          <w:sz w:val="22"/>
          <w:szCs w:val="22"/>
        </w:rPr>
        <w:t xml:space="preserve">ended </w:t>
      </w:r>
      <w:r w:rsidRPr="00237FC5">
        <w:rPr>
          <w:sz w:val="22"/>
          <w:szCs w:val="22"/>
        </w:rPr>
        <w:t xml:space="preserve">December 31, </w:t>
      </w:r>
      <w:proofErr w:type="gramStart"/>
      <w:r w:rsidR="00206AE5">
        <w:rPr>
          <w:sz w:val="22"/>
          <w:szCs w:val="22"/>
        </w:rPr>
        <w:t>20</w:t>
      </w:r>
      <w:r w:rsidR="00E54991">
        <w:rPr>
          <w:sz w:val="22"/>
          <w:szCs w:val="22"/>
        </w:rPr>
        <w:t>24</w:t>
      </w:r>
      <w:proofErr w:type="gramEnd"/>
      <w:r w:rsidR="00206AE5" w:rsidRPr="00F02921">
        <w:rPr>
          <w:sz w:val="22"/>
          <w:szCs w:val="22"/>
        </w:rPr>
        <w:t xml:space="preserve"> </w:t>
      </w:r>
      <w:r w:rsidRPr="00F02921">
        <w:rPr>
          <w:sz w:val="22"/>
          <w:szCs w:val="22"/>
        </w:rPr>
        <w:t>with the Chamber of Commerce of Amsterdam.</w:t>
      </w:r>
    </w:p>
    <w:p w14:paraId="77D5AE7C" w14:textId="77777777" w:rsidR="00A428EA" w:rsidRDefault="00A428EA" w:rsidP="00EB0FB5">
      <w:pPr>
        <w:ind w:left="720"/>
        <w:jc w:val="both"/>
        <w:rPr>
          <w:b/>
          <w:bCs/>
          <w:sz w:val="22"/>
          <w:szCs w:val="22"/>
        </w:rPr>
      </w:pPr>
    </w:p>
    <w:p w14:paraId="5B93C5B4" w14:textId="77777777" w:rsidR="00C35D07" w:rsidRPr="00F02921" w:rsidRDefault="00C35D07" w:rsidP="00F00E32">
      <w:pPr>
        <w:ind w:left="720"/>
        <w:jc w:val="both"/>
        <w:outlineLvl w:val="3"/>
        <w:rPr>
          <w:sz w:val="22"/>
          <w:szCs w:val="22"/>
        </w:rPr>
      </w:pPr>
      <w:bookmarkStart w:id="23" w:name="H4_B_Functional_and_presentation_currenc"/>
      <w:r w:rsidRPr="00F02921">
        <w:rPr>
          <w:b/>
          <w:bCs/>
          <w:sz w:val="22"/>
          <w:szCs w:val="22"/>
        </w:rPr>
        <w:t>B</w:t>
      </w:r>
      <w:proofErr w:type="gramStart"/>
      <w:r w:rsidRPr="00F02921">
        <w:rPr>
          <w:b/>
          <w:bCs/>
          <w:sz w:val="22"/>
          <w:szCs w:val="22"/>
        </w:rPr>
        <w:t xml:space="preserve">. </w:t>
      </w:r>
      <w:r w:rsidRPr="00F02921">
        <w:rPr>
          <w:b/>
          <w:bCs/>
          <w:sz w:val="22"/>
          <w:szCs w:val="22"/>
        </w:rPr>
        <w:tab/>
        <w:t>Functional</w:t>
      </w:r>
      <w:proofErr w:type="gramEnd"/>
      <w:r w:rsidRPr="00F02921">
        <w:rPr>
          <w:b/>
          <w:bCs/>
          <w:sz w:val="22"/>
          <w:szCs w:val="22"/>
        </w:rPr>
        <w:t xml:space="preserve"> and presentation currency</w:t>
      </w:r>
    </w:p>
    <w:bookmarkEnd w:id="23"/>
    <w:p w14:paraId="4F147191" w14:textId="77777777" w:rsidR="00C35D07" w:rsidRPr="00F02921" w:rsidRDefault="00C35D07" w:rsidP="00EB0FB5">
      <w:pPr>
        <w:ind w:left="720"/>
        <w:jc w:val="both"/>
        <w:rPr>
          <w:sz w:val="22"/>
          <w:szCs w:val="22"/>
        </w:rPr>
      </w:pPr>
    </w:p>
    <w:p w14:paraId="16D16EBD" w14:textId="34FC8236" w:rsidR="00C35D07" w:rsidRPr="00F02921" w:rsidRDefault="00C35D07" w:rsidP="006F433B">
      <w:pPr>
        <w:ind w:left="720"/>
        <w:jc w:val="both"/>
        <w:rPr>
          <w:sz w:val="22"/>
          <w:szCs w:val="22"/>
        </w:rPr>
      </w:pPr>
      <w:r w:rsidRPr="00F02921">
        <w:rPr>
          <w:sz w:val="22"/>
          <w:szCs w:val="22"/>
        </w:rPr>
        <w:t>The consolidated financial statements are presented in Euros, which is the Company’s functional</w:t>
      </w:r>
      <w:r w:rsidR="006F433B">
        <w:rPr>
          <w:sz w:val="22"/>
          <w:szCs w:val="22"/>
        </w:rPr>
        <w:t xml:space="preserve"> </w:t>
      </w:r>
      <w:r w:rsidRPr="00F02921">
        <w:rPr>
          <w:sz w:val="22"/>
          <w:szCs w:val="22"/>
        </w:rPr>
        <w:t>currency, and have been rounded to the nearest thousands, except when otherwise indicated. The Euro</w:t>
      </w:r>
      <w:r w:rsidR="006F433B">
        <w:rPr>
          <w:sz w:val="22"/>
          <w:szCs w:val="22"/>
        </w:rPr>
        <w:t xml:space="preserve"> </w:t>
      </w:r>
      <w:r w:rsidRPr="00F02921">
        <w:rPr>
          <w:sz w:val="22"/>
          <w:szCs w:val="22"/>
        </w:rPr>
        <w:t>is the currency that represents the principal economic environment in which the Company operates.</w:t>
      </w:r>
      <w:r w:rsidR="006F433B">
        <w:rPr>
          <w:sz w:val="22"/>
          <w:szCs w:val="22"/>
        </w:rPr>
        <w:t xml:space="preserve"> </w:t>
      </w:r>
      <w:r w:rsidRPr="00F02921">
        <w:rPr>
          <w:sz w:val="22"/>
          <w:szCs w:val="22"/>
        </w:rPr>
        <w:t>Each entity of the Group determines its own functional currency and items included in the financial statements of each entity are measured using that functional currency.</w:t>
      </w:r>
    </w:p>
    <w:p w14:paraId="7B920CD7" w14:textId="5B1CF10A" w:rsidR="003B2B96" w:rsidRDefault="003B2B96">
      <w:pPr>
        <w:rPr>
          <w:sz w:val="22"/>
          <w:szCs w:val="22"/>
        </w:rPr>
      </w:pPr>
      <w:r>
        <w:rPr>
          <w:sz w:val="22"/>
          <w:szCs w:val="22"/>
        </w:rPr>
        <w:br w:type="page"/>
      </w:r>
    </w:p>
    <w:p w14:paraId="5D1F6DE3" w14:textId="77777777" w:rsidR="003B2B96" w:rsidRDefault="003B2B96" w:rsidP="003B2B96">
      <w:pPr>
        <w:ind w:left="945"/>
        <w:jc w:val="both"/>
        <w:rPr>
          <w:sz w:val="22"/>
          <w:szCs w:val="22"/>
          <w:lang w:bidi="he-IL"/>
        </w:rPr>
      </w:pPr>
    </w:p>
    <w:p w14:paraId="345978A7" w14:textId="77777777" w:rsidR="002B4B5D" w:rsidRPr="00844735" w:rsidRDefault="002B4B5D" w:rsidP="002B4B5D">
      <w:pPr>
        <w:rPr>
          <w:b/>
          <w:bCs/>
          <w:sz w:val="22"/>
          <w:szCs w:val="22"/>
        </w:rPr>
      </w:pPr>
      <w:r w:rsidRPr="00844735">
        <w:rPr>
          <w:b/>
          <w:bCs/>
          <w:sz w:val="22"/>
          <w:szCs w:val="22"/>
        </w:rPr>
        <w:t>Note 2 - Basis of Preparation (cont’d)</w:t>
      </w:r>
    </w:p>
    <w:p w14:paraId="0057E4D4" w14:textId="77777777" w:rsidR="001B6DD4" w:rsidRDefault="001B6DD4" w:rsidP="00EC46C9">
      <w:pPr>
        <w:ind w:firstLine="720"/>
        <w:jc w:val="both"/>
        <w:rPr>
          <w:sz w:val="22"/>
          <w:szCs w:val="22"/>
        </w:rPr>
      </w:pPr>
    </w:p>
    <w:p w14:paraId="5CBC0FB6" w14:textId="77777777" w:rsidR="00C35D07" w:rsidRPr="00F02921" w:rsidRDefault="00C35D07" w:rsidP="00F00E32">
      <w:pPr>
        <w:ind w:firstLine="720"/>
        <w:jc w:val="both"/>
        <w:outlineLvl w:val="3"/>
        <w:rPr>
          <w:b/>
          <w:bCs/>
          <w:sz w:val="22"/>
          <w:szCs w:val="22"/>
        </w:rPr>
      </w:pPr>
      <w:bookmarkStart w:id="24" w:name="H4_CBasis_of_measurement"/>
      <w:r w:rsidRPr="00F02921">
        <w:rPr>
          <w:b/>
          <w:bCs/>
          <w:sz w:val="22"/>
          <w:szCs w:val="22"/>
        </w:rPr>
        <w:t>C.</w:t>
      </w:r>
      <w:r w:rsidRPr="00F02921">
        <w:rPr>
          <w:b/>
          <w:bCs/>
          <w:sz w:val="22"/>
          <w:szCs w:val="22"/>
        </w:rPr>
        <w:tab/>
        <w:t>Basis of measurement</w:t>
      </w:r>
    </w:p>
    <w:bookmarkEnd w:id="24"/>
    <w:p w14:paraId="35B38E3D" w14:textId="77777777" w:rsidR="00C35D07" w:rsidRPr="00F02921" w:rsidRDefault="00C35D07" w:rsidP="00C149B9">
      <w:pPr>
        <w:ind w:left="720"/>
        <w:jc w:val="both"/>
        <w:rPr>
          <w:sz w:val="22"/>
          <w:szCs w:val="22"/>
        </w:rPr>
      </w:pPr>
    </w:p>
    <w:p w14:paraId="44647AD3" w14:textId="584C76E8" w:rsidR="00C35D07" w:rsidRPr="00F02921" w:rsidRDefault="00C35D07" w:rsidP="00BD5E83">
      <w:pPr>
        <w:ind w:left="720"/>
        <w:jc w:val="both"/>
        <w:rPr>
          <w:sz w:val="22"/>
          <w:szCs w:val="22"/>
        </w:rPr>
      </w:pPr>
      <w:r w:rsidRPr="00F02921">
        <w:rPr>
          <w:sz w:val="22"/>
          <w:szCs w:val="22"/>
        </w:rPr>
        <w:t xml:space="preserve">The consolidated financial statements </w:t>
      </w:r>
      <w:r w:rsidRPr="00F02921">
        <w:rPr>
          <w:spacing w:val="-1"/>
          <w:sz w:val="22"/>
          <w:szCs w:val="22"/>
        </w:rPr>
        <w:t xml:space="preserve">have been prepared </w:t>
      </w:r>
      <w:r w:rsidRPr="00F02921">
        <w:rPr>
          <w:sz w:val="22"/>
          <w:szCs w:val="22"/>
        </w:rPr>
        <w:t xml:space="preserve">on </w:t>
      </w:r>
      <w:r w:rsidR="009A5CDB">
        <w:rPr>
          <w:sz w:val="22"/>
          <w:szCs w:val="22"/>
        </w:rPr>
        <w:t>a</w:t>
      </w:r>
      <w:r w:rsidRPr="00F02921">
        <w:rPr>
          <w:sz w:val="22"/>
          <w:szCs w:val="22"/>
        </w:rPr>
        <w:t xml:space="preserve"> cost basis except for: </w:t>
      </w:r>
    </w:p>
    <w:p w14:paraId="5DC8C120" w14:textId="77777777" w:rsidR="00C35D07" w:rsidRPr="00F02921" w:rsidRDefault="002447FF" w:rsidP="00C5462B">
      <w:pPr>
        <w:pStyle w:val="af2"/>
        <w:numPr>
          <w:ilvl w:val="0"/>
          <w:numId w:val="2"/>
        </w:numPr>
        <w:jc w:val="both"/>
        <w:rPr>
          <w:spacing w:val="-1"/>
          <w:sz w:val="22"/>
          <w:szCs w:val="22"/>
        </w:rPr>
      </w:pPr>
      <w:r>
        <w:rPr>
          <w:sz w:val="22"/>
          <w:szCs w:val="22"/>
        </w:rPr>
        <w:t>I</w:t>
      </w:r>
      <w:r w:rsidR="00C35D07" w:rsidRPr="00F02921">
        <w:rPr>
          <w:sz w:val="22"/>
          <w:szCs w:val="22"/>
        </w:rPr>
        <w:t xml:space="preserve">nvestment property and investment property under development measured at fair </w:t>
      </w:r>
      <w:proofErr w:type="gramStart"/>
      <w:r w:rsidR="00C35D07" w:rsidRPr="00F02921">
        <w:rPr>
          <w:sz w:val="22"/>
          <w:szCs w:val="22"/>
        </w:rPr>
        <w:t>value</w:t>
      </w:r>
      <w:r w:rsidR="00C35D07" w:rsidRPr="00F02921">
        <w:rPr>
          <w:spacing w:val="-1"/>
          <w:sz w:val="22"/>
          <w:szCs w:val="22"/>
        </w:rPr>
        <w:t>;</w:t>
      </w:r>
      <w:proofErr w:type="gramEnd"/>
    </w:p>
    <w:p w14:paraId="79A5C59C" w14:textId="77777777" w:rsidR="00C35D07" w:rsidRPr="00F02921" w:rsidRDefault="002447FF" w:rsidP="00C5462B">
      <w:pPr>
        <w:pStyle w:val="af2"/>
        <w:numPr>
          <w:ilvl w:val="0"/>
          <w:numId w:val="2"/>
        </w:numPr>
        <w:jc w:val="both"/>
        <w:rPr>
          <w:spacing w:val="-1"/>
          <w:sz w:val="22"/>
          <w:szCs w:val="22"/>
        </w:rPr>
      </w:pPr>
      <w:r>
        <w:rPr>
          <w:spacing w:val="-1"/>
          <w:sz w:val="22"/>
          <w:szCs w:val="22"/>
        </w:rPr>
        <w:t>D</w:t>
      </w:r>
      <w:r w:rsidR="00C35D07" w:rsidRPr="00F02921">
        <w:rPr>
          <w:spacing w:val="-1"/>
          <w:sz w:val="22"/>
          <w:szCs w:val="22"/>
        </w:rPr>
        <w:t xml:space="preserve">eferred tax assets and </w:t>
      </w:r>
      <w:proofErr w:type="gramStart"/>
      <w:r w:rsidR="00C35D07" w:rsidRPr="00F02921">
        <w:rPr>
          <w:spacing w:val="-1"/>
          <w:sz w:val="22"/>
          <w:szCs w:val="22"/>
        </w:rPr>
        <w:t>liabilities;</w:t>
      </w:r>
      <w:proofErr w:type="gramEnd"/>
    </w:p>
    <w:p w14:paraId="679ADB78" w14:textId="77777777" w:rsidR="00C35D07" w:rsidRPr="00F02921" w:rsidRDefault="002447FF" w:rsidP="00C5462B">
      <w:pPr>
        <w:pStyle w:val="af2"/>
        <w:numPr>
          <w:ilvl w:val="0"/>
          <w:numId w:val="2"/>
        </w:numPr>
        <w:jc w:val="both"/>
        <w:rPr>
          <w:spacing w:val="-1"/>
          <w:sz w:val="22"/>
          <w:szCs w:val="22"/>
        </w:rPr>
      </w:pPr>
      <w:r>
        <w:rPr>
          <w:spacing w:val="-1"/>
          <w:sz w:val="22"/>
          <w:szCs w:val="22"/>
        </w:rPr>
        <w:t>F</w:t>
      </w:r>
      <w:r w:rsidR="00C35D07" w:rsidRPr="00F02921">
        <w:rPr>
          <w:spacing w:val="-1"/>
          <w:sz w:val="22"/>
          <w:szCs w:val="22"/>
        </w:rPr>
        <w:t>inancial instruments</w:t>
      </w:r>
      <w:r w:rsidR="00C35D07" w:rsidRPr="00F02921">
        <w:rPr>
          <w:spacing w:val="-1"/>
          <w:sz w:val="22"/>
          <w:szCs w:val="22"/>
          <w:rtl/>
          <w:lang w:bidi="he-IL"/>
        </w:rPr>
        <w:t xml:space="preserve"> </w:t>
      </w:r>
      <w:r w:rsidR="00C35D07" w:rsidRPr="00F02921">
        <w:rPr>
          <w:spacing w:val="-1"/>
          <w:sz w:val="22"/>
          <w:szCs w:val="22"/>
          <w:lang w:bidi="he-IL"/>
        </w:rPr>
        <w:t>and</w:t>
      </w:r>
      <w:r w:rsidR="00C35D07" w:rsidRPr="00F02921">
        <w:rPr>
          <w:spacing w:val="-1"/>
          <w:sz w:val="22"/>
          <w:szCs w:val="22"/>
        </w:rPr>
        <w:t xml:space="preserve"> derivatives measured at fair value through profit or </w:t>
      </w:r>
      <w:proofErr w:type="gramStart"/>
      <w:r w:rsidR="00C35D07" w:rsidRPr="00F02921">
        <w:rPr>
          <w:spacing w:val="-1"/>
          <w:sz w:val="22"/>
          <w:szCs w:val="22"/>
        </w:rPr>
        <w:t>loss;</w:t>
      </w:r>
      <w:proofErr w:type="gramEnd"/>
    </w:p>
    <w:p w14:paraId="3AE276B7" w14:textId="77777777" w:rsidR="00C35D07" w:rsidRDefault="00210147" w:rsidP="00C5462B">
      <w:pPr>
        <w:pStyle w:val="af2"/>
        <w:numPr>
          <w:ilvl w:val="0"/>
          <w:numId w:val="2"/>
        </w:numPr>
        <w:jc w:val="both"/>
        <w:rPr>
          <w:spacing w:val="-1"/>
          <w:sz w:val="22"/>
          <w:szCs w:val="22"/>
        </w:rPr>
      </w:pPr>
      <w:r>
        <w:rPr>
          <w:spacing w:val="-1"/>
          <w:sz w:val="22"/>
          <w:szCs w:val="22"/>
        </w:rPr>
        <w:t>Investments</w:t>
      </w:r>
      <w:r w:rsidR="00C35D07" w:rsidRPr="00F02921">
        <w:rPr>
          <w:spacing w:val="-1"/>
          <w:sz w:val="22"/>
          <w:szCs w:val="22"/>
        </w:rPr>
        <w:t xml:space="preserve"> i</w:t>
      </w:r>
      <w:r w:rsidR="002447FF">
        <w:rPr>
          <w:spacing w:val="-1"/>
          <w:sz w:val="22"/>
          <w:szCs w:val="22"/>
        </w:rPr>
        <w:t xml:space="preserve">n associates and joint ventures; </w:t>
      </w:r>
      <w:r w:rsidR="00842F6A">
        <w:rPr>
          <w:spacing w:val="-1"/>
          <w:sz w:val="22"/>
          <w:szCs w:val="22"/>
        </w:rPr>
        <w:t>and</w:t>
      </w:r>
    </w:p>
    <w:p w14:paraId="1CF12871" w14:textId="1C63C4BB" w:rsidR="002447FF" w:rsidRDefault="002447FF" w:rsidP="00C5462B">
      <w:pPr>
        <w:pStyle w:val="af2"/>
        <w:numPr>
          <w:ilvl w:val="0"/>
          <w:numId w:val="2"/>
        </w:numPr>
        <w:jc w:val="both"/>
        <w:rPr>
          <w:spacing w:val="-1"/>
          <w:sz w:val="22"/>
          <w:szCs w:val="22"/>
        </w:rPr>
      </w:pPr>
      <w:r>
        <w:rPr>
          <w:spacing w:val="-1"/>
          <w:sz w:val="22"/>
          <w:szCs w:val="22"/>
        </w:rPr>
        <w:t>N</w:t>
      </w:r>
      <w:r w:rsidRPr="002447FF">
        <w:rPr>
          <w:spacing w:val="-1"/>
          <w:sz w:val="22"/>
          <w:szCs w:val="22"/>
        </w:rPr>
        <w:t>on-current assets</w:t>
      </w:r>
      <w:r w:rsidR="00842F6A">
        <w:rPr>
          <w:spacing w:val="-1"/>
          <w:sz w:val="22"/>
          <w:szCs w:val="22"/>
        </w:rPr>
        <w:t>.</w:t>
      </w:r>
    </w:p>
    <w:p w14:paraId="4EFE0CA5" w14:textId="77777777" w:rsidR="00C35D07" w:rsidRPr="00F02921" w:rsidRDefault="00C35D07" w:rsidP="00CC1EFE">
      <w:pPr>
        <w:ind w:left="720"/>
        <w:jc w:val="both"/>
        <w:rPr>
          <w:sz w:val="12"/>
          <w:szCs w:val="12"/>
        </w:rPr>
      </w:pPr>
    </w:p>
    <w:p w14:paraId="7DB43A56" w14:textId="7AE87BD1" w:rsidR="00B174FD" w:rsidRDefault="00893631" w:rsidP="00893631">
      <w:pPr>
        <w:ind w:left="720"/>
        <w:jc w:val="both"/>
        <w:rPr>
          <w:spacing w:val="-1"/>
          <w:sz w:val="22"/>
          <w:szCs w:val="22"/>
          <w:rtl/>
          <w:lang w:bidi="he-IL"/>
        </w:rPr>
      </w:pPr>
      <w:r w:rsidRPr="00E43187">
        <w:rPr>
          <w:spacing w:val="-1"/>
          <w:sz w:val="22"/>
          <w:szCs w:val="22"/>
        </w:rPr>
        <w:t>The Company has elected to present the profit or loss items using the function of expense method.</w:t>
      </w:r>
    </w:p>
    <w:p w14:paraId="74937658" w14:textId="77777777" w:rsidR="00893631" w:rsidRPr="00E43187" w:rsidRDefault="00893631" w:rsidP="00E43187">
      <w:pPr>
        <w:ind w:left="720"/>
        <w:jc w:val="both"/>
        <w:rPr>
          <w:spacing w:val="-1"/>
          <w:sz w:val="22"/>
          <w:szCs w:val="22"/>
          <w:lang w:bidi="he-IL"/>
        </w:rPr>
      </w:pPr>
    </w:p>
    <w:p w14:paraId="5C3067D8" w14:textId="77777777" w:rsidR="00606D3F" w:rsidRPr="00F02921" w:rsidRDefault="00606D3F" w:rsidP="00606D3F">
      <w:pPr>
        <w:ind w:left="720"/>
        <w:jc w:val="both"/>
        <w:rPr>
          <w:spacing w:val="-1"/>
          <w:sz w:val="22"/>
          <w:szCs w:val="22"/>
        </w:rPr>
      </w:pPr>
      <w:r w:rsidRPr="00F02921">
        <w:rPr>
          <w:spacing w:val="-1"/>
          <w:sz w:val="22"/>
          <w:szCs w:val="22"/>
        </w:rPr>
        <w:t xml:space="preserve">For further information regarding the measurement of these assets and liabilities </w:t>
      </w:r>
      <w:r w:rsidRPr="0087217C">
        <w:rPr>
          <w:spacing w:val="-1"/>
          <w:sz w:val="22"/>
          <w:szCs w:val="22"/>
        </w:rPr>
        <w:t xml:space="preserve">see </w:t>
      </w:r>
      <w:r w:rsidRPr="00FD0EE5">
        <w:rPr>
          <w:spacing w:val="-1"/>
          <w:sz w:val="22"/>
          <w:szCs w:val="22"/>
        </w:rPr>
        <w:t>Note 3</w:t>
      </w:r>
      <w:r w:rsidRPr="0087217C">
        <w:rPr>
          <w:spacing w:val="-1"/>
          <w:sz w:val="22"/>
          <w:szCs w:val="22"/>
        </w:rPr>
        <w:t xml:space="preserve"> regarding significant accounting policies.</w:t>
      </w:r>
    </w:p>
    <w:p w14:paraId="374B651A" w14:textId="77777777" w:rsidR="00606D3F" w:rsidRDefault="00606D3F" w:rsidP="00606D3F">
      <w:pPr>
        <w:jc w:val="both"/>
        <w:rPr>
          <w:b/>
          <w:bCs/>
          <w:sz w:val="22"/>
          <w:szCs w:val="22"/>
        </w:rPr>
      </w:pPr>
    </w:p>
    <w:p w14:paraId="0337E6A5" w14:textId="2C3EBBB8" w:rsidR="00C35D07" w:rsidRPr="00F02921" w:rsidRDefault="00C35D07" w:rsidP="00F00E32">
      <w:pPr>
        <w:ind w:firstLine="720"/>
        <w:jc w:val="both"/>
        <w:outlineLvl w:val="3"/>
        <w:rPr>
          <w:b/>
          <w:bCs/>
          <w:sz w:val="22"/>
          <w:szCs w:val="22"/>
        </w:rPr>
      </w:pPr>
      <w:bookmarkStart w:id="25" w:name="H4_DOperating_cycle"/>
      <w:r w:rsidRPr="00F02921">
        <w:rPr>
          <w:b/>
          <w:bCs/>
          <w:sz w:val="22"/>
          <w:szCs w:val="22"/>
        </w:rPr>
        <w:t>D.</w:t>
      </w:r>
      <w:r w:rsidRPr="00F02921">
        <w:rPr>
          <w:b/>
          <w:bCs/>
          <w:sz w:val="22"/>
          <w:szCs w:val="22"/>
        </w:rPr>
        <w:tab/>
        <w:t>Operating cycle</w:t>
      </w:r>
    </w:p>
    <w:bookmarkEnd w:id="25"/>
    <w:p w14:paraId="1297ED1C" w14:textId="77777777" w:rsidR="00C35D07" w:rsidRPr="00F02921" w:rsidRDefault="00C35D07" w:rsidP="00CC1EFE">
      <w:pPr>
        <w:ind w:left="720"/>
        <w:jc w:val="both"/>
        <w:rPr>
          <w:sz w:val="12"/>
          <w:szCs w:val="12"/>
        </w:rPr>
      </w:pPr>
    </w:p>
    <w:p w14:paraId="6970023F" w14:textId="47A2749A" w:rsidR="00C35D07" w:rsidRDefault="00C35D07" w:rsidP="00F1746B">
      <w:pPr>
        <w:ind w:left="720"/>
        <w:jc w:val="both"/>
        <w:rPr>
          <w:spacing w:val="-1"/>
          <w:sz w:val="22"/>
          <w:szCs w:val="22"/>
        </w:rPr>
      </w:pPr>
      <w:r w:rsidRPr="00F02921">
        <w:rPr>
          <w:sz w:val="22"/>
          <w:szCs w:val="22"/>
        </w:rPr>
        <w:t xml:space="preserve">The </w:t>
      </w:r>
      <w:r w:rsidR="00F1746B">
        <w:rPr>
          <w:sz w:val="22"/>
          <w:szCs w:val="22"/>
        </w:rPr>
        <w:t>Group</w:t>
      </w:r>
      <w:r w:rsidR="00F1746B" w:rsidRPr="00F02921">
        <w:rPr>
          <w:sz w:val="22"/>
          <w:szCs w:val="22"/>
        </w:rPr>
        <w:t xml:space="preserve"> </w:t>
      </w:r>
      <w:r w:rsidRPr="00F02921">
        <w:rPr>
          <w:sz w:val="22"/>
          <w:szCs w:val="22"/>
        </w:rPr>
        <w:t xml:space="preserve">has two operating cycles. </w:t>
      </w:r>
      <w:r w:rsidR="00AC4188">
        <w:rPr>
          <w:spacing w:val="-1"/>
          <w:sz w:val="22"/>
          <w:szCs w:val="22"/>
        </w:rPr>
        <w:t xml:space="preserve">With regards </w:t>
      </w:r>
      <w:proofErr w:type="gramStart"/>
      <w:r w:rsidR="00AC4188">
        <w:rPr>
          <w:spacing w:val="-1"/>
          <w:sz w:val="22"/>
          <w:szCs w:val="22"/>
        </w:rPr>
        <w:t>for</w:t>
      </w:r>
      <w:proofErr w:type="gramEnd"/>
      <w:r w:rsidRPr="00F02921">
        <w:rPr>
          <w:spacing w:val="-1"/>
          <w:sz w:val="22"/>
          <w:szCs w:val="22"/>
        </w:rPr>
        <w:t xml:space="preserve"> </w:t>
      </w:r>
      <w:r w:rsidR="00AC4188">
        <w:rPr>
          <w:spacing w:val="-1"/>
          <w:sz w:val="22"/>
          <w:szCs w:val="22"/>
        </w:rPr>
        <w:t xml:space="preserve">the </w:t>
      </w:r>
      <w:r w:rsidRPr="00F02921">
        <w:rPr>
          <w:spacing w:val="-1"/>
          <w:sz w:val="22"/>
          <w:szCs w:val="22"/>
        </w:rPr>
        <w:t xml:space="preserve">entrepreneurial residential sector, the operating cycle of the </w:t>
      </w:r>
      <w:r w:rsidR="00F1746B">
        <w:rPr>
          <w:spacing w:val="-1"/>
          <w:sz w:val="22"/>
          <w:szCs w:val="22"/>
        </w:rPr>
        <w:t>Group</w:t>
      </w:r>
      <w:r w:rsidR="00F1746B" w:rsidRPr="00F02921">
        <w:rPr>
          <w:spacing w:val="-1"/>
          <w:sz w:val="22"/>
          <w:szCs w:val="22"/>
        </w:rPr>
        <w:t xml:space="preserve"> </w:t>
      </w:r>
      <w:r w:rsidRPr="00F02921">
        <w:rPr>
          <w:spacing w:val="-1"/>
          <w:sz w:val="22"/>
          <w:szCs w:val="22"/>
        </w:rPr>
        <w:t xml:space="preserve">is longer than one year and lasts up to three years. </w:t>
      </w:r>
      <w:r w:rsidR="00AC4188">
        <w:rPr>
          <w:spacing w:val="-1"/>
          <w:sz w:val="22"/>
          <w:szCs w:val="22"/>
        </w:rPr>
        <w:t>With</w:t>
      </w:r>
      <w:r w:rsidRPr="00F02921">
        <w:rPr>
          <w:spacing w:val="-1"/>
          <w:sz w:val="22"/>
          <w:szCs w:val="22"/>
        </w:rPr>
        <w:t xml:space="preserve"> regards </w:t>
      </w:r>
      <w:proofErr w:type="gramStart"/>
      <w:r w:rsidR="00AC4188">
        <w:rPr>
          <w:spacing w:val="-1"/>
          <w:sz w:val="22"/>
          <w:szCs w:val="22"/>
        </w:rPr>
        <w:t>for</w:t>
      </w:r>
      <w:proofErr w:type="gramEnd"/>
      <w:r w:rsidR="00AC4188">
        <w:rPr>
          <w:spacing w:val="-1"/>
          <w:sz w:val="22"/>
          <w:szCs w:val="22"/>
        </w:rPr>
        <w:t xml:space="preserve"> </w:t>
      </w:r>
      <w:r w:rsidRPr="00F02921">
        <w:rPr>
          <w:spacing w:val="-1"/>
          <w:sz w:val="22"/>
          <w:szCs w:val="22"/>
        </w:rPr>
        <w:t xml:space="preserve">the </w:t>
      </w:r>
      <w:r w:rsidR="00F1746B">
        <w:rPr>
          <w:spacing w:val="-1"/>
          <w:sz w:val="22"/>
          <w:szCs w:val="22"/>
        </w:rPr>
        <w:t>Group</w:t>
      </w:r>
      <w:r w:rsidR="00F1746B" w:rsidRPr="00F02921">
        <w:rPr>
          <w:spacing w:val="-1"/>
          <w:sz w:val="22"/>
          <w:szCs w:val="22"/>
        </w:rPr>
        <w:t xml:space="preserve">'s </w:t>
      </w:r>
      <w:r w:rsidRPr="00F02921">
        <w:rPr>
          <w:spacing w:val="-1"/>
          <w:sz w:val="22"/>
          <w:szCs w:val="22"/>
        </w:rPr>
        <w:t xml:space="preserve">other operations, the operating cycle is one year. As a result, current assets and current liabilities </w:t>
      </w:r>
      <w:r w:rsidR="00300001" w:rsidRPr="00300001">
        <w:rPr>
          <w:spacing w:val="-1"/>
          <w:sz w:val="22"/>
          <w:szCs w:val="22"/>
        </w:rPr>
        <w:t xml:space="preserve">relating to the entrepreneurial residential </w:t>
      </w:r>
      <w:proofErr w:type="gramStart"/>
      <w:r w:rsidR="00300001" w:rsidRPr="00300001">
        <w:rPr>
          <w:spacing w:val="-1"/>
          <w:sz w:val="22"/>
          <w:szCs w:val="22"/>
        </w:rPr>
        <w:t>sector,</w:t>
      </w:r>
      <w:proofErr w:type="gramEnd"/>
      <w:r w:rsidR="00300001">
        <w:rPr>
          <w:spacing w:val="-1"/>
          <w:sz w:val="22"/>
          <w:szCs w:val="22"/>
        </w:rPr>
        <w:t xml:space="preserve"> </w:t>
      </w:r>
      <w:r w:rsidRPr="00F02921">
        <w:rPr>
          <w:spacing w:val="-1"/>
          <w:sz w:val="22"/>
          <w:szCs w:val="22"/>
        </w:rPr>
        <w:t>include also items the realization of which is intended and anticipated to take place within the operating cycle of up to three years.</w:t>
      </w:r>
    </w:p>
    <w:p w14:paraId="457FA17B" w14:textId="4C62D52F" w:rsidR="00DC23CB" w:rsidRDefault="00DC23CB" w:rsidP="00F1746B">
      <w:pPr>
        <w:ind w:left="720"/>
        <w:jc w:val="both"/>
        <w:rPr>
          <w:spacing w:val="-1"/>
          <w:sz w:val="22"/>
          <w:szCs w:val="22"/>
        </w:rPr>
      </w:pPr>
    </w:p>
    <w:p w14:paraId="3A445E42" w14:textId="484BE703" w:rsidR="00C35D07" w:rsidRPr="00844735" w:rsidRDefault="00C35D07" w:rsidP="00F00E32">
      <w:pPr>
        <w:ind w:left="720"/>
        <w:jc w:val="both"/>
        <w:outlineLvl w:val="3"/>
        <w:rPr>
          <w:sz w:val="22"/>
          <w:szCs w:val="22"/>
        </w:rPr>
      </w:pPr>
      <w:bookmarkStart w:id="26" w:name="H4_E_Use_of_significant_estimates_and_ju"/>
      <w:r w:rsidRPr="00844735">
        <w:rPr>
          <w:b/>
          <w:bCs/>
          <w:sz w:val="22"/>
          <w:szCs w:val="22"/>
        </w:rPr>
        <w:t>E</w:t>
      </w:r>
      <w:proofErr w:type="gramStart"/>
      <w:r w:rsidRPr="00844735">
        <w:rPr>
          <w:sz w:val="22"/>
          <w:szCs w:val="22"/>
        </w:rPr>
        <w:t xml:space="preserve">. </w:t>
      </w:r>
      <w:r w:rsidRPr="00844735">
        <w:rPr>
          <w:sz w:val="22"/>
          <w:szCs w:val="22"/>
        </w:rPr>
        <w:tab/>
      </w:r>
      <w:r w:rsidRPr="00844735">
        <w:rPr>
          <w:b/>
          <w:bCs/>
          <w:sz w:val="22"/>
          <w:szCs w:val="22"/>
        </w:rPr>
        <w:t>Use</w:t>
      </w:r>
      <w:proofErr w:type="gramEnd"/>
      <w:r w:rsidRPr="00844735">
        <w:rPr>
          <w:b/>
          <w:bCs/>
          <w:sz w:val="22"/>
          <w:szCs w:val="22"/>
        </w:rPr>
        <w:t xml:space="preserve"> of </w:t>
      </w:r>
      <w:r w:rsidR="00D667C5" w:rsidRPr="00844735">
        <w:rPr>
          <w:b/>
          <w:bCs/>
          <w:sz w:val="22"/>
          <w:szCs w:val="22"/>
        </w:rPr>
        <w:t xml:space="preserve">significant </w:t>
      </w:r>
      <w:r w:rsidRPr="00844735">
        <w:rPr>
          <w:b/>
          <w:bCs/>
          <w:sz w:val="22"/>
          <w:szCs w:val="22"/>
        </w:rPr>
        <w:t>estimates and judgments</w:t>
      </w:r>
      <w:r w:rsidRPr="00844735">
        <w:rPr>
          <w:sz w:val="22"/>
          <w:szCs w:val="22"/>
        </w:rPr>
        <w:t xml:space="preserve"> </w:t>
      </w:r>
    </w:p>
    <w:bookmarkEnd w:id="26"/>
    <w:p w14:paraId="6BE0EB02" w14:textId="77777777" w:rsidR="00C35D07" w:rsidRPr="00841DA6" w:rsidRDefault="00C35D07" w:rsidP="00CC1EFE">
      <w:pPr>
        <w:ind w:left="720"/>
        <w:jc w:val="both"/>
        <w:rPr>
          <w:b/>
          <w:bCs/>
          <w:sz w:val="16"/>
          <w:szCs w:val="16"/>
        </w:rPr>
      </w:pPr>
    </w:p>
    <w:p w14:paraId="79EF6E9F" w14:textId="5C90DF0E" w:rsidR="00872145" w:rsidRDefault="00C35D07">
      <w:pPr>
        <w:ind w:left="720"/>
        <w:jc w:val="both"/>
        <w:rPr>
          <w:sz w:val="22"/>
          <w:szCs w:val="22"/>
        </w:rPr>
      </w:pPr>
      <w:r w:rsidRPr="00F02921">
        <w:rPr>
          <w:i/>
          <w:iCs/>
          <w:spacing w:val="-1"/>
          <w:sz w:val="22"/>
          <w:szCs w:val="22"/>
        </w:rPr>
        <w:t>Use of estimates</w:t>
      </w:r>
    </w:p>
    <w:p w14:paraId="7173C9E3" w14:textId="77777777" w:rsidR="00C35D07" w:rsidRDefault="00C35D07" w:rsidP="00942EBE">
      <w:pPr>
        <w:ind w:left="720"/>
        <w:jc w:val="both"/>
        <w:rPr>
          <w:spacing w:val="-1"/>
          <w:sz w:val="22"/>
          <w:szCs w:val="22"/>
        </w:rPr>
      </w:pPr>
      <w:r w:rsidRPr="00F02921">
        <w:rPr>
          <w:sz w:val="22"/>
          <w:szCs w:val="22"/>
        </w:rPr>
        <w:t xml:space="preserve">The preparation of the financial statements </w:t>
      </w:r>
      <w:r w:rsidRPr="00F02921">
        <w:rPr>
          <w:spacing w:val="-1"/>
          <w:sz w:val="22"/>
          <w:szCs w:val="22"/>
        </w:rPr>
        <w:t xml:space="preserve">in conformity with IFRSs </w:t>
      </w:r>
      <w:r w:rsidRPr="00F02921">
        <w:rPr>
          <w:sz w:val="22"/>
          <w:szCs w:val="22"/>
        </w:rPr>
        <w:t xml:space="preserve">requires management to make judgments, estimates and assumptions that affect the application of </w:t>
      </w:r>
      <w:r w:rsidR="00942EBE">
        <w:rPr>
          <w:sz w:val="22"/>
          <w:szCs w:val="22"/>
        </w:rPr>
        <w:t xml:space="preserve">accounting </w:t>
      </w:r>
      <w:r w:rsidRPr="00F02921">
        <w:rPr>
          <w:sz w:val="22"/>
          <w:szCs w:val="22"/>
        </w:rPr>
        <w:t xml:space="preserve">policies and the reported amounts of assets and liabilities, income and expenses. </w:t>
      </w:r>
      <w:r w:rsidRPr="00F02921">
        <w:rPr>
          <w:spacing w:val="-1"/>
          <w:sz w:val="22"/>
          <w:szCs w:val="22"/>
        </w:rPr>
        <w:t xml:space="preserve">Actual results may differ from these estimates. </w:t>
      </w:r>
    </w:p>
    <w:p w14:paraId="0214FAB0" w14:textId="77777777" w:rsidR="00942EBE" w:rsidRPr="00841DA6" w:rsidRDefault="00942EBE" w:rsidP="00942EBE">
      <w:pPr>
        <w:ind w:left="720"/>
        <w:jc w:val="both"/>
        <w:rPr>
          <w:spacing w:val="-1"/>
          <w:sz w:val="14"/>
          <w:szCs w:val="14"/>
        </w:rPr>
      </w:pPr>
    </w:p>
    <w:p w14:paraId="79E1D0BB" w14:textId="77777777" w:rsidR="00C35D07" w:rsidRDefault="00C35D07" w:rsidP="00842F6A">
      <w:pPr>
        <w:ind w:left="720"/>
        <w:jc w:val="both"/>
        <w:rPr>
          <w:spacing w:val="-1"/>
          <w:sz w:val="22"/>
          <w:szCs w:val="22"/>
        </w:rPr>
      </w:pPr>
      <w:r w:rsidRPr="00F02921">
        <w:rPr>
          <w:spacing w:val="-1"/>
          <w:sz w:val="22"/>
          <w:szCs w:val="22"/>
        </w:rPr>
        <w:t xml:space="preserve">The preparation of accounting estimates used in the preparation of the </w:t>
      </w:r>
      <w:r w:rsidR="00942EBE">
        <w:rPr>
          <w:spacing w:val="-1"/>
          <w:sz w:val="22"/>
          <w:szCs w:val="22"/>
        </w:rPr>
        <w:t>G</w:t>
      </w:r>
      <w:r w:rsidRPr="00F02921">
        <w:rPr>
          <w:spacing w:val="-1"/>
          <w:sz w:val="22"/>
          <w:szCs w:val="22"/>
        </w:rPr>
        <w:t>roup’s financial statements requires management of the Company to make assumptions regarding circumstances and events that</w:t>
      </w:r>
      <w:r w:rsidR="00842F6A">
        <w:rPr>
          <w:spacing w:val="-1"/>
          <w:sz w:val="22"/>
          <w:szCs w:val="22"/>
        </w:rPr>
        <w:t xml:space="preserve"> </w:t>
      </w:r>
      <w:r w:rsidRPr="00F02921">
        <w:rPr>
          <w:spacing w:val="-1"/>
          <w:sz w:val="22"/>
          <w:szCs w:val="22"/>
        </w:rPr>
        <w:t>involve considerable uncertainty.</w:t>
      </w:r>
      <w:r w:rsidRPr="00F02921">
        <w:rPr>
          <w:sz w:val="22"/>
          <w:szCs w:val="22"/>
        </w:rPr>
        <w:t xml:space="preserve"> </w:t>
      </w:r>
      <w:r w:rsidRPr="00F02921">
        <w:rPr>
          <w:spacing w:val="-1"/>
          <w:sz w:val="22"/>
          <w:szCs w:val="22"/>
        </w:rPr>
        <w:t xml:space="preserve">Management of the Company prepares the estimates </w:t>
      </w:r>
      <w:proofErr w:type="gramStart"/>
      <w:r w:rsidRPr="00F02921">
        <w:rPr>
          <w:spacing w:val="-1"/>
          <w:sz w:val="22"/>
          <w:szCs w:val="22"/>
        </w:rPr>
        <w:t>on the basis of</w:t>
      </w:r>
      <w:proofErr w:type="gramEnd"/>
      <w:r w:rsidR="00942EBE">
        <w:rPr>
          <w:spacing w:val="-1"/>
          <w:sz w:val="22"/>
          <w:szCs w:val="22"/>
        </w:rPr>
        <w:t xml:space="preserve"> </w:t>
      </w:r>
      <w:r w:rsidRPr="00F02921">
        <w:rPr>
          <w:spacing w:val="-1"/>
          <w:sz w:val="22"/>
          <w:szCs w:val="22"/>
        </w:rPr>
        <w:t xml:space="preserve">past experience, various facts, external circumstances, and reasonable assumptions according to the pertinent circumstances of each estimate. </w:t>
      </w:r>
    </w:p>
    <w:p w14:paraId="671188E0" w14:textId="77777777" w:rsidR="00942EBE" w:rsidRPr="00942EBE" w:rsidRDefault="00942EBE" w:rsidP="00B238D0">
      <w:pPr>
        <w:jc w:val="both"/>
        <w:rPr>
          <w:spacing w:val="-1"/>
          <w:sz w:val="22"/>
          <w:szCs w:val="22"/>
        </w:rPr>
      </w:pPr>
    </w:p>
    <w:p w14:paraId="26BCDC5B" w14:textId="77777777" w:rsidR="00C35D07" w:rsidRPr="00447167" w:rsidRDefault="00942EBE" w:rsidP="00447167">
      <w:pPr>
        <w:ind w:left="720"/>
        <w:jc w:val="both"/>
        <w:rPr>
          <w:sz w:val="22"/>
          <w:szCs w:val="22"/>
        </w:rPr>
      </w:pPr>
      <w:r w:rsidRPr="00942EBE">
        <w:rPr>
          <w:sz w:val="22"/>
          <w:szCs w:val="22"/>
        </w:rPr>
        <w:t xml:space="preserve">Estimates and underlying </w:t>
      </w:r>
      <w:r w:rsidR="00C35D07" w:rsidRPr="00F02921">
        <w:rPr>
          <w:sz w:val="22"/>
          <w:szCs w:val="22"/>
        </w:rPr>
        <w:t xml:space="preserve">assumptions are reviewed on an ongoing basis. Revisions to accounting estimates are </w:t>
      </w:r>
      <w:r w:rsidR="00C35D07" w:rsidRPr="00F02921">
        <w:rPr>
          <w:sz w:val="22"/>
          <w:szCs w:val="22"/>
          <w:lang w:val="en-GB"/>
        </w:rPr>
        <w:t>recognized</w:t>
      </w:r>
      <w:r w:rsidR="00C35D07" w:rsidRPr="00F02921">
        <w:rPr>
          <w:sz w:val="22"/>
          <w:szCs w:val="22"/>
        </w:rPr>
        <w:t xml:space="preserve"> in the period in</w:t>
      </w:r>
      <w:r w:rsidR="00C35D07" w:rsidRPr="00F02921">
        <w:rPr>
          <w:spacing w:val="-1"/>
          <w:sz w:val="22"/>
          <w:szCs w:val="22"/>
        </w:rPr>
        <w:t xml:space="preserve"> which the estimates are revised and in any future periods affected</w:t>
      </w:r>
      <w:r w:rsidR="00C35D07" w:rsidRPr="00F02921">
        <w:rPr>
          <w:sz w:val="22"/>
          <w:szCs w:val="22"/>
        </w:rPr>
        <w:t xml:space="preserve">. </w:t>
      </w:r>
      <w:r>
        <w:rPr>
          <w:sz w:val="22"/>
          <w:szCs w:val="22"/>
        </w:rPr>
        <w:t xml:space="preserve"> </w:t>
      </w:r>
    </w:p>
    <w:p w14:paraId="0DF5CA91" w14:textId="77777777" w:rsidR="00942EBE" w:rsidRDefault="00942EBE" w:rsidP="00CC1EFE">
      <w:pPr>
        <w:ind w:left="720"/>
        <w:jc w:val="both"/>
        <w:rPr>
          <w:sz w:val="22"/>
          <w:szCs w:val="22"/>
        </w:rPr>
      </w:pPr>
    </w:p>
    <w:p w14:paraId="2968C8CF" w14:textId="77777777" w:rsidR="00C35D07" w:rsidRPr="00F02921" w:rsidRDefault="00C35D07" w:rsidP="00CC1EFE">
      <w:pPr>
        <w:ind w:left="720"/>
        <w:jc w:val="both"/>
        <w:rPr>
          <w:b/>
          <w:bCs/>
          <w:sz w:val="22"/>
          <w:szCs w:val="22"/>
        </w:rPr>
      </w:pPr>
      <w:r w:rsidRPr="00F02921">
        <w:rPr>
          <w:spacing w:val="-1"/>
          <w:sz w:val="22"/>
          <w:szCs w:val="22"/>
        </w:rPr>
        <w:t>Information about assumptions made by the Group with respect to the future and other reasons for uncertainty with respect to estimates that have a significant risk of resulting in a material adjustment to carrying amounts of assets and liabilities in the next financial year are included in the following notes:</w:t>
      </w:r>
    </w:p>
    <w:p w14:paraId="33EC8684" w14:textId="77777777" w:rsidR="00C35D07" w:rsidRDefault="00C35D07" w:rsidP="00CC1EFE">
      <w:pPr>
        <w:ind w:left="720"/>
        <w:jc w:val="both"/>
        <w:rPr>
          <w:b/>
          <w:bCs/>
          <w:sz w:val="22"/>
          <w:szCs w:val="22"/>
        </w:rPr>
      </w:pPr>
    </w:p>
    <w:p w14:paraId="2BA25EE3" w14:textId="77777777" w:rsidR="003868F4" w:rsidRPr="00F02921" w:rsidRDefault="003868F4" w:rsidP="00CC1EFE">
      <w:pPr>
        <w:ind w:left="720"/>
        <w:jc w:val="both"/>
        <w:rPr>
          <w:b/>
          <w:bCs/>
          <w:sz w:val="22"/>
          <w:szCs w:val="22"/>
          <w:lang w:bidi="he-IL"/>
        </w:rPr>
      </w:pPr>
    </w:p>
    <w:p w14:paraId="69108732" w14:textId="7941B953" w:rsidR="003B2B96" w:rsidRDefault="003B2B96"/>
    <w:p w14:paraId="020FF90A" w14:textId="77777777" w:rsidR="003B2B96" w:rsidRDefault="003B2B96" w:rsidP="003B2B96">
      <w:pPr>
        <w:rPr>
          <w:b/>
          <w:bCs/>
          <w:sz w:val="26"/>
          <w:szCs w:val="26"/>
          <w:rtl/>
          <w:lang w:bidi="he-IL"/>
        </w:rPr>
      </w:pPr>
    </w:p>
    <w:p w14:paraId="7980D8BD" w14:textId="77777777" w:rsidR="00074746" w:rsidRDefault="00074746" w:rsidP="003B2B96">
      <w:pPr>
        <w:rPr>
          <w:b/>
          <w:bCs/>
          <w:sz w:val="26"/>
          <w:szCs w:val="26"/>
          <w:rtl/>
          <w:lang w:bidi="he-IL"/>
        </w:rPr>
      </w:pPr>
    </w:p>
    <w:p w14:paraId="61B5D714" w14:textId="77777777" w:rsidR="00074746" w:rsidRDefault="00074746" w:rsidP="003B2B96">
      <w:pPr>
        <w:rPr>
          <w:b/>
          <w:bCs/>
          <w:sz w:val="26"/>
          <w:szCs w:val="26"/>
          <w:rtl/>
          <w:lang w:bidi="he-IL"/>
        </w:rPr>
      </w:pPr>
    </w:p>
    <w:p w14:paraId="21444E58" w14:textId="77777777" w:rsidR="00074746" w:rsidRDefault="00074746" w:rsidP="003B2B96">
      <w:pPr>
        <w:rPr>
          <w:b/>
          <w:bCs/>
          <w:sz w:val="26"/>
          <w:szCs w:val="26"/>
          <w:rtl/>
          <w:lang w:bidi="he-IL"/>
        </w:rPr>
      </w:pPr>
    </w:p>
    <w:p w14:paraId="0EACFFB2" w14:textId="77777777" w:rsidR="00074746" w:rsidRDefault="00074746" w:rsidP="003B2B96">
      <w:pPr>
        <w:rPr>
          <w:b/>
          <w:bCs/>
          <w:sz w:val="26"/>
          <w:szCs w:val="26"/>
          <w:rtl/>
          <w:lang w:bidi="he-IL"/>
        </w:rPr>
      </w:pPr>
    </w:p>
    <w:p w14:paraId="4EB1B985" w14:textId="77777777" w:rsidR="00074746" w:rsidRDefault="00074746" w:rsidP="003B2B96">
      <w:pPr>
        <w:rPr>
          <w:b/>
          <w:bCs/>
          <w:sz w:val="26"/>
          <w:szCs w:val="26"/>
          <w:rtl/>
          <w:lang w:bidi="he-IL"/>
        </w:rPr>
      </w:pPr>
    </w:p>
    <w:p w14:paraId="586EE8DA" w14:textId="77777777" w:rsidR="00074746" w:rsidRDefault="00074746" w:rsidP="003B2B96">
      <w:pPr>
        <w:rPr>
          <w:b/>
          <w:bCs/>
          <w:sz w:val="26"/>
          <w:szCs w:val="26"/>
          <w:rtl/>
          <w:lang w:bidi="he-IL"/>
        </w:rPr>
      </w:pPr>
    </w:p>
    <w:p w14:paraId="249D84D9" w14:textId="77777777" w:rsidR="00074746" w:rsidRDefault="00074746" w:rsidP="003B2B96">
      <w:pPr>
        <w:rPr>
          <w:b/>
          <w:bCs/>
          <w:sz w:val="26"/>
          <w:szCs w:val="26"/>
          <w:rtl/>
          <w:lang w:bidi="he-IL"/>
        </w:rPr>
      </w:pPr>
    </w:p>
    <w:p w14:paraId="47B980B8" w14:textId="77777777" w:rsidR="00074746" w:rsidRDefault="00074746" w:rsidP="003B2B96">
      <w:pPr>
        <w:rPr>
          <w:b/>
          <w:bCs/>
          <w:sz w:val="26"/>
          <w:szCs w:val="26"/>
          <w:lang w:bidi="he-IL"/>
        </w:rPr>
      </w:pPr>
    </w:p>
    <w:p w14:paraId="39D1A82F" w14:textId="77777777" w:rsidR="003B2B96" w:rsidRPr="00844735" w:rsidRDefault="003B2B96" w:rsidP="003B2B96">
      <w:pPr>
        <w:rPr>
          <w:b/>
          <w:bCs/>
          <w:sz w:val="22"/>
          <w:szCs w:val="22"/>
        </w:rPr>
      </w:pPr>
      <w:r w:rsidRPr="00844735">
        <w:rPr>
          <w:b/>
          <w:bCs/>
          <w:sz w:val="22"/>
          <w:szCs w:val="22"/>
        </w:rPr>
        <w:t>Note 2 - Basis of Preparation (cont’d)</w:t>
      </w:r>
    </w:p>
    <w:p w14:paraId="60FD2434" w14:textId="77777777" w:rsidR="003B2B96" w:rsidRDefault="003B2B96"/>
    <w:tbl>
      <w:tblPr>
        <w:tblW w:w="10149" w:type="dxa"/>
        <w:tblLayout w:type="fixed"/>
        <w:tblCellMar>
          <w:left w:w="0" w:type="dxa"/>
          <w:right w:w="0" w:type="dxa"/>
        </w:tblCellMar>
        <w:tblLook w:val="0620" w:firstRow="1" w:lastRow="0" w:firstColumn="0" w:lastColumn="0" w:noHBand="1" w:noVBand="1"/>
        <w:tblCaption w:val="BHR01"/>
        <w:tblDescription w:val="Use of significant estimates and judgments &#10;&#10;"/>
      </w:tblPr>
      <w:tblGrid>
        <w:gridCol w:w="2268"/>
        <w:gridCol w:w="3402"/>
        <w:gridCol w:w="1871"/>
        <w:gridCol w:w="2608"/>
      </w:tblGrid>
      <w:tr w:rsidR="003B2B96" w:rsidRPr="009720D9" w14:paraId="0BDA8921" w14:textId="77777777" w:rsidTr="006909F2">
        <w:trPr>
          <w:cantSplit/>
          <w:tblHeader/>
        </w:trPr>
        <w:tc>
          <w:tcPr>
            <w:tcW w:w="2268" w:type="dxa"/>
          </w:tcPr>
          <w:p w14:paraId="7D5CD1E0" w14:textId="77777777" w:rsidR="003B2B96" w:rsidRPr="00074746" w:rsidRDefault="003B2B96" w:rsidP="003B2B96">
            <w:pPr>
              <w:pBdr>
                <w:bottom w:val="single" w:sz="4" w:space="1" w:color="auto"/>
              </w:pBdr>
              <w:ind w:leftChars="10" w:left="24"/>
              <w:rPr>
                <w:spacing w:val="-1"/>
                <w:sz w:val="21"/>
                <w:szCs w:val="21"/>
              </w:rPr>
            </w:pPr>
            <w:bookmarkStart w:id="27" w:name="Title_9" w:colFirst="0" w:colLast="0"/>
            <w:r w:rsidRPr="00074746">
              <w:rPr>
                <w:b/>
                <w:bCs/>
                <w:spacing w:val="-1"/>
                <w:sz w:val="21"/>
                <w:szCs w:val="21"/>
              </w:rPr>
              <w:t>Estimate</w:t>
            </w:r>
          </w:p>
        </w:tc>
        <w:tc>
          <w:tcPr>
            <w:tcW w:w="3402" w:type="dxa"/>
          </w:tcPr>
          <w:p w14:paraId="6CEC6AF2" w14:textId="77777777" w:rsidR="003B2B96" w:rsidRPr="00074746" w:rsidRDefault="003B2B96" w:rsidP="00892E0B">
            <w:pPr>
              <w:pBdr>
                <w:bottom w:val="single" w:sz="4" w:space="1" w:color="auto"/>
              </w:pBdr>
              <w:rPr>
                <w:spacing w:val="-1"/>
                <w:sz w:val="21"/>
                <w:szCs w:val="21"/>
              </w:rPr>
            </w:pPr>
            <w:r w:rsidRPr="00074746">
              <w:rPr>
                <w:b/>
                <w:bCs/>
                <w:spacing w:val="-1"/>
                <w:sz w:val="21"/>
                <w:szCs w:val="21"/>
              </w:rPr>
              <w:t>Principal assumptions</w:t>
            </w:r>
          </w:p>
        </w:tc>
        <w:tc>
          <w:tcPr>
            <w:tcW w:w="1871" w:type="dxa"/>
          </w:tcPr>
          <w:p w14:paraId="44CFA765" w14:textId="77777777" w:rsidR="003B2B96" w:rsidRPr="00074746" w:rsidRDefault="003B2B96" w:rsidP="00892E0B">
            <w:pPr>
              <w:pBdr>
                <w:bottom w:val="single" w:sz="4" w:space="1" w:color="auto"/>
              </w:pBdr>
              <w:rPr>
                <w:spacing w:val="-1"/>
                <w:sz w:val="21"/>
                <w:szCs w:val="21"/>
              </w:rPr>
            </w:pPr>
            <w:r w:rsidRPr="00074746">
              <w:rPr>
                <w:b/>
                <w:bCs/>
                <w:spacing w:val="-1"/>
                <w:sz w:val="21"/>
                <w:szCs w:val="21"/>
              </w:rPr>
              <w:t>Possible effects</w:t>
            </w:r>
          </w:p>
        </w:tc>
        <w:tc>
          <w:tcPr>
            <w:tcW w:w="2608" w:type="dxa"/>
          </w:tcPr>
          <w:p w14:paraId="6D55B3AB" w14:textId="77777777" w:rsidR="003B2B96" w:rsidRPr="00074746" w:rsidRDefault="003B2B96" w:rsidP="00892E0B">
            <w:pPr>
              <w:pBdr>
                <w:bottom w:val="single" w:sz="4" w:space="1" w:color="auto"/>
              </w:pBdr>
              <w:rPr>
                <w:spacing w:val="-1"/>
                <w:sz w:val="21"/>
                <w:szCs w:val="21"/>
              </w:rPr>
            </w:pPr>
            <w:r w:rsidRPr="00074746">
              <w:rPr>
                <w:b/>
                <w:bCs/>
                <w:spacing w:val="-1"/>
                <w:sz w:val="21"/>
                <w:szCs w:val="21"/>
              </w:rPr>
              <w:t>Reference</w:t>
            </w:r>
          </w:p>
        </w:tc>
      </w:tr>
      <w:bookmarkEnd w:id="27"/>
      <w:tr w:rsidR="00074746" w:rsidRPr="009720D9" w14:paraId="2B4B6D1C" w14:textId="77777777" w:rsidTr="006909F2">
        <w:trPr>
          <w:cantSplit/>
          <w:trHeight w:val="1190"/>
        </w:trPr>
        <w:tc>
          <w:tcPr>
            <w:tcW w:w="2268" w:type="dxa"/>
          </w:tcPr>
          <w:p w14:paraId="05DE1C44" w14:textId="610CCA05" w:rsidR="00074746" w:rsidRPr="00074746" w:rsidRDefault="00074746" w:rsidP="00074746">
            <w:pPr>
              <w:ind w:leftChars="10" w:left="24"/>
              <w:rPr>
                <w:spacing w:val="-1"/>
                <w:sz w:val="21"/>
                <w:szCs w:val="21"/>
              </w:rPr>
            </w:pPr>
            <w:r w:rsidRPr="00074746">
              <w:rPr>
                <w:spacing w:val="-1"/>
                <w:sz w:val="21"/>
                <w:szCs w:val="21"/>
              </w:rPr>
              <w:t xml:space="preserve">Recognition of deferred tax </w:t>
            </w:r>
            <w:proofErr w:type="gramStart"/>
            <w:r w:rsidRPr="00074746">
              <w:rPr>
                <w:spacing w:val="-1"/>
                <w:sz w:val="21"/>
                <w:szCs w:val="21"/>
              </w:rPr>
              <w:t>asset</w:t>
            </w:r>
            <w:proofErr w:type="gramEnd"/>
            <w:r w:rsidRPr="00074746">
              <w:rPr>
                <w:spacing w:val="-1"/>
                <w:sz w:val="21"/>
                <w:szCs w:val="21"/>
              </w:rPr>
              <w:t xml:space="preserve"> in respect of tax losses</w:t>
            </w:r>
          </w:p>
        </w:tc>
        <w:tc>
          <w:tcPr>
            <w:tcW w:w="3402" w:type="dxa"/>
          </w:tcPr>
          <w:p w14:paraId="34EF1068" w14:textId="42AEFE47" w:rsidR="00074746" w:rsidRPr="00074746" w:rsidRDefault="00074746" w:rsidP="00074746">
            <w:pPr>
              <w:spacing w:before="120"/>
              <w:rPr>
                <w:spacing w:val="-1"/>
                <w:sz w:val="21"/>
                <w:szCs w:val="21"/>
              </w:rPr>
            </w:pPr>
            <w:r w:rsidRPr="00074746">
              <w:rPr>
                <w:spacing w:val="-1"/>
                <w:sz w:val="21"/>
                <w:szCs w:val="21"/>
              </w:rPr>
              <w:t xml:space="preserve">The probability that in the future there will be taxable profits against which </w:t>
            </w:r>
            <w:proofErr w:type="gramStart"/>
            <w:r w:rsidRPr="00074746">
              <w:rPr>
                <w:spacing w:val="-1"/>
                <w:sz w:val="21"/>
                <w:szCs w:val="21"/>
              </w:rPr>
              <w:t>carried forward losses</w:t>
            </w:r>
            <w:proofErr w:type="gramEnd"/>
            <w:r w:rsidRPr="00074746">
              <w:rPr>
                <w:spacing w:val="-1"/>
                <w:sz w:val="21"/>
                <w:szCs w:val="21"/>
              </w:rPr>
              <w:t xml:space="preserve"> can be utilized</w:t>
            </w:r>
          </w:p>
        </w:tc>
        <w:tc>
          <w:tcPr>
            <w:tcW w:w="1871" w:type="dxa"/>
          </w:tcPr>
          <w:p w14:paraId="525525FE" w14:textId="4E5DC92D" w:rsidR="00074746" w:rsidRPr="00074746" w:rsidRDefault="00074746" w:rsidP="00074746">
            <w:pPr>
              <w:spacing w:before="120"/>
              <w:rPr>
                <w:spacing w:val="-1"/>
                <w:sz w:val="21"/>
                <w:szCs w:val="21"/>
              </w:rPr>
            </w:pPr>
            <w:r w:rsidRPr="00074746">
              <w:rPr>
                <w:spacing w:val="-1"/>
                <w:sz w:val="21"/>
                <w:szCs w:val="21"/>
              </w:rPr>
              <w:t xml:space="preserve">Recognition or reversal of deferred tax </w:t>
            </w:r>
            <w:proofErr w:type="gramStart"/>
            <w:r w:rsidRPr="00074746">
              <w:rPr>
                <w:spacing w:val="-1"/>
                <w:sz w:val="21"/>
                <w:szCs w:val="21"/>
              </w:rPr>
              <w:t>asset</w:t>
            </w:r>
            <w:proofErr w:type="gramEnd"/>
            <w:r w:rsidRPr="00074746">
              <w:rPr>
                <w:spacing w:val="-1"/>
                <w:sz w:val="21"/>
                <w:szCs w:val="21"/>
              </w:rPr>
              <w:t xml:space="preserve"> in profit or loss</w:t>
            </w:r>
          </w:p>
        </w:tc>
        <w:tc>
          <w:tcPr>
            <w:tcW w:w="2608" w:type="dxa"/>
          </w:tcPr>
          <w:p w14:paraId="279F74AA" w14:textId="7EFBA5F3" w:rsidR="00074746" w:rsidRPr="00074746" w:rsidRDefault="00074746" w:rsidP="00074746">
            <w:pPr>
              <w:spacing w:before="120"/>
              <w:rPr>
                <w:spacing w:val="-1"/>
                <w:sz w:val="21"/>
                <w:szCs w:val="21"/>
              </w:rPr>
            </w:pPr>
            <w:r w:rsidRPr="00074746">
              <w:rPr>
                <w:spacing w:val="-1"/>
                <w:sz w:val="21"/>
                <w:szCs w:val="21"/>
              </w:rPr>
              <w:t>For information on losses for which a deferred tax asset was recognized, see Note 20 regarding taxes on income.</w:t>
            </w:r>
          </w:p>
        </w:tc>
      </w:tr>
      <w:tr w:rsidR="00074746" w:rsidRPr="009720D9" w14:paraId="6DD846C3" w14:textId="77777777" w:rsidTr="006909F2">
        <w:trPr>
          <w:cantSplit/>
        </w:trPr>
        <w:tc>
          <w:tcPr>
            <w:tcW w:w="2268" w:type="dxa"/>
          </w:tcPr>
          <w:p w14:paraId="12F7C939" w14:textId="77777777" w:rsidR="00074746" w:rsidRPr="00074746" w:rsidRDefault="00074746" w:rsidP="00074746">
            <w:pPr>
              <w:ind w:leftChars="10" w:left="24"/>
              <w:rPr>
                <w:spacing w:val="-1"/>
                <w:sz w:val="21"/>
                <w:szCs w:val="21"/>
              </w:rPr>
            </w:pPr>
            <w:r w:rsidRPr="00074746">
              <w:rPr>
                <w:spacing w:val="-1"/>
                <w:sz w:val="21"/>
                <w:szCs w:val="21"/>
              </w:rPr>
              <w:t>Assessment of probability of contingent liabilities</w:t>
            </w:r>
          </w:p>
        </w:tc>
        <w:tc>
          <w:tcPr>
            <w:tcW w:w="3402" w:type="dxa"/>
          </w:tcPr>
          <w:p w14:paraId="46EF4462" w14:textId="77777777" w:rsidR="00074746" w:rsidRPr="00074746" w:rsidRDefault="00074746" w:rsidP="00074746">
            <w:pPr>
              <w:spacing w:before="120"/>
              <w:rPr>
                <w:spacing w:val="-1"/>
                <w:sz w:val="21"/>
                <w:szCs w:val="21"/>
              </w:rPr>
            </w:pPr>
            <w:r w:rsidRPr="00074746">
              <w:rPr>
                <w:spacing w:val="-1"/>
                <w:sz w:val="21"/>
                <w:szCs w:val="21"/>
              </w:rPr>
              <w:t>Whether it is more likely than not that an outflow of economic resources will be required in respect of legal claims pending against the Company and its investees</w:t>
            </w:r>
          </w:p>
        </w:tc>
        <w:tc>
          <w:tcPr>
            <w:tcW w:w="1871" w:type="dxa"/>
          </w:tcPr>
          <w:p w14:paraId="641F31AD" w14:textId="77777777" w:rsidR="00074746" w:rsidRPr="00074746" w:rsidRDefault="00074746" w:rsidP="00074746">
            <w:pPr>
              <w:spacing w:before="120"/>
              <w:rPr>
                <w:spacing w:val="-1"/>
                <w:sz w:val="21"/>
                <w:szCs w:val="21"/>
              </w:rPr>
            </w:pPr>
            <w:r w:rsidRPr="00074746">
              <w:rPr>
                <w:spacing w:val="-1"/>
                <w:sz w:val="21"/>
                <w:szCs w:val="21"/>
              </w:rPr>
              <w:t>Reversal or creation of a provision for a claim</w:t>
            </w:r>
          </w:p>
        </w:tc>
        <w:tc>
          <w:tcPr>
            <w:tcW w:w="2608" w:type="dxa"/>
          </w:tcPr>
          <w:p w14:paraId="1BC19E08" w14:textId="107FE271" w:rsidR="00074746" w:rsidRPr="00074746" w:rsidRDefault="00074746" w:rsidP="00074746">
            <w:pPr>
              <w:spacing w:before="120"/>
              <w:rPr>
                <w:spacing w:val="-1"/>
                <w:sz w:val="21"/>
                <w:szCs w:val="21"/>
              </w:rPr>
            </w:pPr>
            <w:r w:rsidRPr="00074746">
              <w:rPr>
                <w:spacing w:val="-1"/>
                <w:sz w:val="21"/>
                <w:szCs w:val="21"/>
              </w:rPr>
              <w:t>For information on the Company’s exposure to claims see Note 22 regarding contingent liabilities</w:t>
            </w:r>
          </w:p>
        </w:tc>
      </w:tr>
      <w:tr w:rsidR="00074746" w:rsidRPr="009720D9" w14:paraId="2772C0A4" w14:textId="77777777" w:rsidTr="006909F2">
        <w:trPr>
          <w:cantSplit/>
        </w:trPr>
        <w:tc>
          <w:tcPr>
            <w:tcW w:w="2268" w:type="dxa"/>
          </w:tcPr>
          <w:p w14:paraId="6278A999" w14:textId="77777777" w:rsidR="00074746" w:rsidRPr="00074746" w:rsidRDefault="00074746" w:rsidP="00074746">
            <w:pPr>
              <w:ind w:leftChars="10" w:left="24"/>
              <w:rPr>
                <w:spacing w:val="-1"/>
                <w:sz w:val="21"/>
                <w:szCs w:val="21"/>
              </w:rPr>
            </w:pPr>
            <w:r w:rsidRPr="00074746">
              <w:rPr>
                <w:spacing w:val="-1"/>
                <w:sz w:val="21"/>
                <w:szCs w:val="21"/>
              </w:rPr>
              <w:t>Fair value measurement of investment property and investment property under development</w:t>
            </w:r>
          </w:p>
        </w:tc>
        <w:tc>
          <w:tcPr>
            <w:tcW w:w="3402" w:type="dxa"/>
          </w:tcPr>
          <w:p w14:paraId="4A0F491F" w14:textId="77777777" w:rsidR="00074746" w:rsidRPr="00074746" w:rsidRDefault="00074746" w:rsidP="00074746">
            <w:pPr>
              <w:spacing w:before="120"/>
              <w:rPr>
                <w:spacing w:val="-1"/>
                <w:sz w:val="21"/>
                <w:szCs w:val="21"/>
              </w:rPr>
            </w:pPr>
            <w:r w:rsidRPr="00074746">
              <w:rPr>
                <w:spacing w:val="-1"/>
                <w:sz w:val="21"/>
                <w:szCs w:val="21"/>
              </w:rPr>
              <w:t>The expected yield on the investment property and investment property under development asset</w:t>
            </w:r>
          </w:p>
        </w:tc>
        <w:tc>
          <w:tcPr>
            <w:tcW w:w="1871" w:type="dxa"/>
          </w:tcPr>
          <w:p w14:paraId="4774F6D7" w14:textId="77777777" w:rsidR="00074746" w:rsidRPr="00074746" w:rsidRDefault="00074746" w:rsidP="00074746">
            <w:pPr>
              <w:spacing w:before="120"/>
              <w:rPr>
                <w:spacing w:val="-1"/>
                <w:sz w:val="21"/>
                <w:szCs w:val="21"/>
              </w:rPr>
            </w:pPr>
            <w:r w:rsidRPr="00074746">
              <w:rPr>
                <w:spacing w:val="-1"/>
                <w:sz w:val="21"/>
                <w:szCs w:val="21"/>
              </w:rPr>
              <w:t xml:space="preserve">Profit or loss from a change in the fair value of investment property and investment property under development </w:t>
            </w:r>
          </w:p>
        </w:tc>
        <w:tc>
          <w:tcPr>
            <w:tcW w:w="2608" w:type="dxa"/>
          </w:tcPr>
          <w:p w14:paraId="6D2E6201" w14:textId="77777777" w:rsidR="00074746" w:rsidRPr="00074746" w:rsidRDefault="00074746" w:rsidP="00074746">
            <w:pPr>
              <w:spacing w:before="120"/>
              <w:rPr>
                <w:spacing w:val="-1"/>
                <w:sz w:val="21"/>
                <w:szCs w:val="21"/>
              </w:rPr>
            </w:pPr>
            <w:r w:rsidRPr="00074746">
              <w:rPr>
                <w:spacing w:val="-1"/>
                <w:sz w:val="21"/>
                <w:szCs w:val="21"/>
              </w:rPr>
              <w:t xml:space="preserve">For information on the effect of changes in the expected yields on the fair value of investment property see Note 5 and 6 regarding investment property </w:t>
            </w:r>
            <w:r w:rsidRPr="00074746">
              <w:rPr>
                <w:sz w:val="21"/>
                <w:szCs w:val="21"/>
              </w:rPr>
              <w:t>and investment property under development</w:t>
            </w:r>
          </w:p>
        </w:tc>
      </w:tr>
      <w:tr w:rsidR="00074746" w:rsidRPr="009720D9" w14:paraId="4B003D72" w14:textId="77777777" w:rsidTr="006909F2">
        <w:trPr>
          <w:cantSplit/>
        </w:trPr>
        <w:tc>
          <w:tcPr>
            <w:tcW w:w="2268" w:type="dxa"/>
          </w:tcPr>
          <w:p w14:paraId="2617D241" w14:textId="614F454D" w:rsidR="00074746" w:rsidRPr="00074746" w:rsidRDefault="00074746" w:rsidP="00074746">
            <w:pPr>
              <w:ind w:leftChars="10" w:left="24"/>
              <w:rPr>
                <w:spacing w:val="-1"/>
                <w:sz w:val="21"/>
                <w:szCs w:val="21"/>
              </w:rPr>
            </w:pPr>
            <w:r w:rsidRPr="00074746">
              <w:rPr>
                <w:spacing w:val="-1"/>
                <w:sz w:val="21"/>
                <w:szCs w:val="21"/>
              </w:rPr>
              <w:t>Fair value measurement of non-trading derivatives</w:t>
            </w:r>
          </w:p>
        </w:tc>
        <w:tc>
          <w:tcPr>
            <w:tcW w:w="3402" w:type="dxa"/>
          </w:tcPr>
          <w:p w14:paraId="7AE9C1E7" w14:textId="39228419" w:rsidR="00074746" w:rsidRPr="00074746" w:rsidRDefault="00074746" w:rsidP="00074746">
            <w:pPr>
              <w:spacing w:before="120"/>
              <w:rPr>
                <w:spacing w:val="-1"/>
                <w:sz w:val="21"/>
                <w:szCs w:val="21"/>
              </w:rPr>
            </w:pPr>
            <w:r w:rsidRPr="00074746">
              <w:rPr>
                <w:spacing w:val="-1"/>
                <w:sz w:val="21"/>
                <w:szCs w:val="21"/>
              </w:rPr>
              <w:t>Unobservable inputs used in the valuation model such as discount rates</w:t>
            </w:r>
          </w:p>
        </w:tc>
        <w:tc>
          <w:tcPr>
            <w:tcW w:w="1871" w:type="dxa"/>
          </w:tcPr>
          <w:p w14:paraId="74C0C741" w14:textId="7C3286D9" w:rsidR="00074746" w:rsidRPr="00074746" w:rsidRDefault="00074746" w:rsidP="00074746">
            <w:pPr>
              <w:spacing w:before="120"/>
              <w:rPr>
                <w:spacing w:val="-1"/>
                <w:sz w:val="21"/>
                <w:szCs w:val="21"/>
              </w:rPr>
            </w:pPr>
            <w:r w:rsidRPr="00074746">
              <w:rPr>
                <w:spacing w:val="-1"/>
                <w:sz w:val="21"/>
                <w:szCs w:val="21"/>
              </w:rPr>
              <w:t>Profit or loss from a change in the fair value of derivative financial instruments</w:t>
            </w:r>
          </w:p>
        </w:tc>
        <w:tc>
          <w:tcPr>
            <w:tcW w:w="2608" w:type="dxa"/>
            <w:shd w:val="clear" w:color="auto" w:fill="auto"/>
          </w:tcPr>
          <w:p w14:paraId="22A9110F" w14:textId="396C35E2" w:rsidR="00074746" w:rsidRPr="00074746" w:rsidRDefault="00074746" w:rsidP="00074746">
            <w:pPr>
              <w:spacing w:before="120"/>
              <w:rPr>
                <w:spacing w:val="-1"/>
                <w:sz w:val="21"/>
                <w:szCs w:val="21"/>
              </w:rPr>
            </w:pPr>
            <w:r w:rsidRPr="00074746">
              <w:rPr>
                <w:spacing w:val="-1"/>
                <w:sz w:val="21"/>
                <w:szCs w:val="21"/>
              </w:rPr>
              <w:t>For information on a sensitivity analysis of level 3 financial instruments carried at fair value see Note 21 regarding financial instruments</w:t>
            </w:r>
          </w:p>
        </w:tc>
      </w:tr>
      <w:tr w:rsidR="00074746" w:rsidRPr="009720D9" w14:paraId="3BD8E831" w14:textId="77777777" w:rsidTr="006909F2">
        <w:trPr>
          <w:cantSplit/>
        </w:trPr>
        <w:tc>
          <w:tcPr>
            <w:tcW w:w="2268" w:type="dxa"/>
          </w:tcPr>
          <w:p w14:paraId="49A2F23E" w14:textId="0EA3B3B1" w:rsidR="00074746" w:rsidRPr="00074746" w:rsidRDefault="00074746" w:rsidP="00074746">
            <w:pPr>
              <w:ind w:leftChars="10" w:left="24"/>
              <w:rPr>
                <w:spacing w:val="-1"/>
                <w:sz w:val="21"/>
                <w:szCs w:val="21"/>
              </w:rPr>
            </w:pPr>
            <w:r w:rsidRPr="00074746">
              <w:rPr>
                <w:spacing w:val="-1"/>
                <w:sz w:val="21"/>
                <w:szCs w:val="21"/>
              </w:rPr>
              <w:t>Impairment testing of balances of inventory of land and inventory of residential apartments</w:t>
            </w:r>
          </w:p>
        </w:tc>
        <w:tc>
          <w:tcPr>
            <w:tcW w:w="3402" w:type="dxa"/>
          </w:tcPr>
          <w:p w14:paraId="0B341316" w14:textId="39314FFD" w:rsidR="00074746" w:rsidRPr="00074746" w:rsidRDefault="00074746" w:rsidP="00074746">
            <w:pPr>
              <w:rPr>
                <w:spacing w:val="-1"/>
                <w:sz w:val="21"/>
                <w:szCs w:val="21"/>
              </w:rPr>
            </w:pPr>
            <w:r w:rsidRPr="00074746">
              <w:rPr>
                <w:spacing w:val="-1"/>
                <w:sz w:val="21"/>
                <w:szCs w:val="21"/>
              </w:rPr>
              <w:t>The estimated net realizable value of balances of non-current inventory of land and inventory of residential apartments. The net realizable value of residential apartments is based on the project’s estimated revenues and expected costs. The net realizable value of land is based on a valuation prepared using the comparison technique</w:t>
            </w:r>
          </w:p>
        </w:tc>
        <w:tc>
          <w:tcPr>
            <w:tcW w:w="1871" w:type="dxa"/>
          </w:tcPr>
          <w:p w14:paraId="67CCEF4F" w14:textId="33D669B6" w:rsidR="00074746" w:rsidRPr="00074746" w:rsidRDefault="00074746" w:rsidP="00074746">
            <w:pPr>
              <w:rPr>
                <w:spacing w:val="-1"/>
                <w:sz w:val="21"/>
                <w:szCs w:val="21"/>
              </w:rPr>
            </w:pPr>
            <w:r w:rsidRPr="00074746">
              <w:rPr>
                <w:spacing w:val="-1"/>
                <w:sz w:val="21"/>
                <w:szCs w:val="21"/>
              </w:rPr>
              <w:t>Recognition or reversal of an impairment loss.</w:t>
            </w:r>
          </w:p>
        </w:tc>
        <w:tc>
          <w:tcPr>
            <w:tcW w:w="2608" w:type="dxa"/>
          </w:tcPr>
          <w:p w14:paraId="3C058C01" w14:textId="43A24BED" w:rsidR="00074746" w:rsidRPr="00074746" w:rsidRDefault="00074746" w:rsidP="00074746">
            <w:pPr>
              <w:rPr>
                <w:spacing w:val="-1"/>
                <w:sz w:val="21"/>
                <w:szCs w:val="21"/>
              </w:rPr>
            </w:pPr>
            <w:r w:rsidRPr="00074746">
              <w:rPr>
                <w:spacing w:val="-1"/>
                <w:sz w:val="21"/>
                <w:szCs w:val="21"/>
              </w:rPr>
              <w:t>For information on impairment that was recognized see Note 7 regarding inventory of land and residential apartments.</w:t>
            </w:r>
          </w:p>
        </w:tc>
      </w:tr>
      <w:tr w:rsidR="00074746" w:rsidRPr="009720D9" w14:paraId="288FAFDF" w14:textId="77777777" w:rsidTr="006909F2">
        <w:trPr>
          <w:cantSplit/>
        </w:trPr>
        <w:tc>
          <w:tcPr>
            <w:tcW w:w="2268" w:type="dxa"/>
          </w:tcPr>
          <w:p w14:paraId="2B0F95B7" w14:textId="6A973DAC" w:rsidR="00074746" w:rsidRPr="00074746" w:rsidRDefault="00074746" w:rsidP="00074746">
            <w:pPr>
              <w:ind w:leftChars="10" w:left="24"/>
              <w:rPr>
                <w:spacing w:val="-1"/>
                <w:sz w:val="21"/>
                <w:szCs w:val="21"/>
              </w:rPr>
            </w:pPr>
            <w:r w:rsidRPr="00074746">
              <w:rPr>
                <w:spacing w:val="-1"/>
                <w:sz w:val="21"/>
                <w:szCs w:val="21"/>
              </w:rPr>
              <w:t>Uncertain tax positions</w:t>
            </w:r>
          </w:p>
        </w:tc>
        <w:tc>
          <w:tcPr>
            <w:tcW w:w="3402" w:type="dxa"/>
          </w:tcPr>
          <w:p w14:paraId="0FEF672C" w14:textId="4725E1D3" w:rsidR="00074746" w:rsidRPr="00074746" w:rsidRDefault="00074746" w:rsidP="00074746">
            <w:pPr>
              <w:spacing w:before="120"/>
              <w:rPr>
                <w:spacing w:val="-1"/>
                <w:sz w:val="21"/>
                <w:szCs w:val="21"/>
              </w:rPr>
            </w:pPr>
            <w:r w:rsidRPr="00074746">
              <w:rPr>
                <w:spacing w:val="-1"/>
                <w:sz w:val="21"/>
                <w:szCs w:val="21"/>
              </w:rPr>
              <w:t xml:space="preserve">The extent of the certainty that the Group’s tax positions will be accepted (uncertain tax positions) and the risk of it incurring any additional tax and interest expenses. This is based on an analysis of </w:t>
            </w:r>
            <w:proofErr w:type="gramStart"/>
            <w:r w:rsidRPr="00074746">
              <w:rPr>
                <w:spacing w:val="-1"/>
                <w:sz w:val="21"/>
                <w:szCs w:val="21"/>
              </w:rPr>
              <w:t>a number of</w:t>
            </w:r>
            <w:proofErr w:type="gramEnd"/>
            <w:r w:rsidRPr="00074746">
              <w:rPr>
                <w:spacing w:val="-1"/>
                <w:sz w:val="21"/>
                <w:szCs w:val="21"/>
              </w:rPr>
              <w:t xml:space="preserve"> matters including interpretations of tax laws and the Group’s past experience</w:t>
            </w:r>
          </w:p>
        </w:tc>
        <w:tc>
          <w:tcPr>
            <w:tcW w:w="1871" w:type="dxa"/>
          </w:tcPr>
          <w:p w14:paraId="6E55C6B8" w14:textId="13553C8A" w:rsidR="00074746" w:rsidRPr="00074746" w:rsidRDefault="00074746" w:rsidP="00074746">
            <w:pPr>
              <w:spacing w:before="120"/>
              <w:rPr>
                <w:spacing w:val="-1"/>
                <w:sz w:val="21"/>
                <w:szCs w:val="21"/>
              </w:rPr>
            </w:pPr>
            <w:r w:rsidRPr="00074746">
              <w:rPr>
                <w:spacing w:val="-1"/>
                <w:sz w:val="21"/>
                <w:szCs w:val="21"/>
              </w:rPr>
              <w:t>Recognition of additional income tax expenses</w:t>
            </w:r>
          </w:p>
        </w:tc>
        <w:tc>
          <w:tcPr>
            <w:tcW w:w="2608" w:type="dxa"/>
          </w:tcPr>
          <w:p w14:paraId="6BB56279" w14:textId="2354CD27" w:rsidR="00074746" w:rsidRPr="00074746" w:rsidRDefault="00074746" w:rsidP="00074746">
            <w:pPr>
              <w:spacing w:before="120"/>
              <w:rPr>
                <w:spacing w:val="-1"/>
                <w:sz w:val="21"/>
                <w:szCs w:val="21"/>
              </w:rPr>
            </w:pPr>
            <w:r w:rsidRPr="00074746">
              <w:rPr>
                <w:spacing w:val="-1"/>
                <w:sz w:val="21"/>
                <w:szCs w:val="21"/>
              </w:rPr>
              <w:t>For information on tax assessments that were received see Note 20 regarding taxes on income</w:t>
            </w:r>
          </w:p>
        </w:tc>
      </w:tr>
      <w:tr w:rsidR="00074746" w14:paraId="749F8162" w14:textId="77777777" w:rsidTr="006909F2">
        <w:trPr>
          <w:cantSplit/>
        </w:trPr>
        <w:tc>
          <w:tcPr>
            <w:tcW w:w="2268" w:type="dxa"/>
          </w:tcPr>
          <w:p w14:paraId="058E3C2C" w14:textId="326CF2D5" w:rsidR="00074746" w:rsidRPr="00074746" w:rsidRDefault="00074746" w:rsidP="00074746">
            <w:pPr>
              <w:ind w:leftChars="10" w:left="24"/>
              <w:rPr>
                <w:spacing w:val="-1"/>
                <w:sz w:val="21"/>
                <w:szCs w:val="21"/>
              </w:rPr>
            </w:pPr>
            <w:r w:rsidRPr="00074746">
              <w:rPr>
                <w:spacing w:val="-1"/>
                <w:sz w:val="21"/>
                <w:szCs w:val="21"/>
              </w:rPr>
              <w:t>Determining how performance obligations are satisfied in residential</w:t>
            </w:r>
            <w:r w:rsidRPr="00074746">
              <w:rPr>
                <w:spacing w:val="-2"/>
                <w:sz w:val="21"/>
                <w:szCs w:val="21"/>
              </w:rPr>
              <w:t xml:space="preserve"> </w:t>
            </w:r>
            <w:r w:rsidRPr="00074746">
              <w:rPr>
                <w:spacing w:val="-1"/>
                <w:sz w:val="21"/>
                <w:szCs w:val="21"/>
              </w:rPr>
              <w:t xml:space="preserve">projects </w:t>
            </w:r>
          </w:p>
        </w:tc>
        <w:tc>
          <w:tcPr>
            <w:tcW w:w="3402" w:type="dxa"/>
          </w:tcPr>
          <w:p w14:paraId="3CA7179C" w14:textId="55F4AE6B" w:rsidR="00074746" w:rsidRPr="00074746" w:rsidRDefault="00074746" w:rsidP="00074746">
            <w:pPr>
              <w:spacing w:before="120"/>
              <w:rPr>
                <w:spacing w:val="-1"/>
                <w:sz w:val="21"/>
                <w:szCs w:val="21"/>
                <w:highlight w:val="yellow"/>
              </w:rPr>
            </w:pPr>
            <w:r w:rsidRPr="00074746">
              <w:rPr>
                <w:spacing w:val="-1"/>
                <w:sz w:val="21"/>
                <w:szCs w:val="21"/>
              </w:rPr>
              <w:t xml:space="preserve">When determining that control over residential units is transferred to the customer over time and therefore revenue should be recognized over time, the Group relies on legal opinions, provisions of the contract and relevant local laws (the countries examined are Serbia, Romania, Czech Republic, Latvia, Poland and Bulgaria) excluding Bulgaria, indicating that the Group does not have an enforceable right to payment for performance completed to date. </w:t>
            </w:r>
          </w:p>
        </w:tc>
        <w:tc>
          <w:tcPr>
            <w:tcW w:w="1871" w:type="dxa"/>
          </w:tcPr>
          <w:p w14:paraId="71419B47" w14:textId="7BBBBD77" w:rsidR="00074746" w:rsidRPr="00074746" w:rsidRDefault="00074746" w:rsidP="00074746">
            <w:pPr>
              <w:spacing w:before="120"/>
              <w:rPr>
                <w:spacing w:val="-1"/>
                <w:sz w:val="21"/>
                <w:szCs w:val="21"/>
              </w:rPr>
            </w:pPr>
            <w:r w:rsidRPr="00074746">
              <w:rPr>
                <w:spacing w:val="-1"/>
                <w:sz w:val="21"/>
                <w:szCs w:val="21"/>
              </w:rPr>
              <w:t>A change in the timing of recognizing revenue.</w:t>
            </w:r>
          </w:p>
        </w:tc>
        <w:tc>
          <w:tcPr>
            <w:tcW w:w="2608" w:type="dxa"/>
          </w:tcPr>
          <w:p w14:paraId="7CEEEA4D" w14:textId="561C161A" w:rsidR="00074746" w:rsidRPr="00074746" w:rsidRDefault="00074746" w:rsidP="00074746">
            <w:pPr>
              <w:spacing w:before="120"/>
              <w:rPr>
                <w:spacing w:val="-1"/>
                <w:sz w:val="21"/>
                <w:szCs w:val="21"/>
              </w:rPr>
            </w:pPr>
            <w:r w:rsidRPr="00074746">
              <w:rPr>
                <w:spacing w:val="-1"/>
                <w:sz w:val="21"/>
                <w:szCs w:val="21"/>
              </w:rPr>
              <w:t>See Note 15 regarding revenue from contracts with customers.</w:t>
            </w:r>
          </w:p>
        </w:tc>
      </w:tr>
    </w:tbl>
    <w:p w14:paraId="34299A63" w14:textId="4FB97AEB" w:rsidR="00EC7823" w:rsidRDefault="00C956B8" w:rsidP="003B2B96">
      <w:pPr>
        <w:rPr>
          <w:b/>
          <w:bCs/>
          <w:sz w:val="26"/>
          <w:szCs w:val="26"/>
        </w:rPr>
      </w:pPr>
      <w:r w:rsidRPr="00377C8B">
        <w:rPr>
          <w:spacing w:val="-1"/>
          <w:sz w:val="8"/>
          <w:szCs w:val="8"/>
        </w:rPr>
        <w:t xml:space="preserve">   </w:t>
      </w:r>
      <w:r w:rsidR="00EC7823">
        <w:rPr>
          <w:b/>
          <w:bCs/>
          <w:sz w:val="26"/>
          <w:szCs w:val="26"/>
        </w:rPr>
        <w:br w:type="page"/>
      </w:r>
    </w:p>
    <w:p w14:paraId="1507DA54" w14:textId="77777777" w:rsidR="00844735" w:rsidRDefault="00844735" w:rsidP="00D667C5">
      <w:pPr>
        <w:rPr>
          <w:b/>
          <w:bCs/>
          <w:sz w:val="26"/>
          <w:szCs w:val="26"/>
        </w:rPr>
      </w:pPr>
    </w:p>
    <w:p w14:paraId="69E406CD" w14:textId="7F26F813" w:rsidR="00D667C5" w:rsidRPr="00844735" w:rsidRDefault="00D667C5" w:rsidP="00D667C5">
      <w:pPr>
        <w:rPr>
          <w:b/>
          <w:bCs/>
          <w:sz w:val="22"/>
          <w:szCs w:val="22"/>
        </w:rPr>
      </w:pPr>
      <w:r w:rsidRPr="00844735">
        <w:rPr>
          <w:b/>
          <w:bCs/>
          <w:sz w:val="22"/>
          <w:szCs w:val="22"/>
        </w:rPr>
        <w:t>Note 2 - Basis of Preparation (cont’d)</w:t>
      </w:r>
    </w:p>
    <w:p w14:paraId="6BE5E433" w14:textId="77777777" w:rsidR="00D667C5" w:rsidRPr="00377C8B" w:rsidRDefault="00D667C5" w:rsidP="00D667C5">
      <w:pPr>
        <w:ind w:left="720"/>
        <w:jc w:val="both"/>
        <w:rPr>
          <w:spacing w:val="-1"/>
          <w:sz w:val="12"/>
          <w:szCs w:val="12"/>
        </w:rPr>
      </w:pPr>
    </w:p>
    <w:p w14:paraId="6D7070C9" w14:textId="77777777" w:rsidR="00D667C5" w:rsidRDefault="00D667C5" w:rsidP="00D667C5">
      <w:pPr>
        <w:ind w:left="720"/>
        <w:jc w:val="both"/>
        <w:rPr>
          <w:b/>
          <w:bCs/>
          <w:sz w:val="22"/>
          <w:szCs w:val="22"/>
        </w:rPr>
      </w:pPr>
      <w:r w:rsidRPr="00F02921">
        <w:rPr>
          <w:b/>
          <w:bCs/>
          <w:sz w:val="22"/>
          <w:szCs w:val="22"/>
        </w:rPr>
        <w:t>E.</w:t>
      </w:r>
      <w:r w:rsidRPr="00F02921">
        <w:rPr>
          <w:b/>
          <w:bCs/>
          <w:sz w:val="22"/>
          <w:szCs w:val="22"/>
        </w:rPr>
        <w:tab/>
        <w:t xml:space="preserve">Use of </w:t>
      </w:r>
      <w:r w:rsidRPr="00D667C5">
        <w:rPr>
          <w:b/>
          <w:bCs/>
          <w:sz w:val="22"/>
          <w:szCs w:val="22"/>
        </w:rPr>
        <w:t xml:space="preserve">significant </w:t>
      </w:r>
      <w:r w:rsidRPr="00F02921">
        <w:rPr>
          <w:b/>
          <w:bCs/>
          <w:sz w:val="22"/>
          <w:szCs w:val="22"/>
        </w:rPr>
        <w:t>estimates and judgments (cont’d)</w:t>
      </w:r>
    </w:p>
    <w:p w14:paraId="6F151F63" w14:textId="77777777" w:rsidR="00D667C5" w:rsidRDefault="00D667C5" w:rsidP="00CC1EFE">
      <w:pPr>
        <w:ind w:left="720"/>
        <w:jc w:val="both"/>
        <w:rPr>
          <w:b/>
          <w:bCs/>
          <w:sz w:val="22"/>
          <w:szCs w:val="22"/>
        </w:rPr>
      </w:pPr>
    </w:p>
    <w:p w14:paraId="198D7EE6" w14:textId="4E92C179" w:rsidR="00C35D07" w:rsidRPr="00A63145" w:rsidRDefault="00C35D07" w:rsidP="00F00E32">
      <w:pPr>
        <w:ind w:left="720"/>
        <w:jc w:val="both"/>
        <w:outlineLvl w:val="4"/>
        <w:rPr>
          <w:b/>
          <w:bCs/>
          <w:sz w:val="22"/>
          <w:szCs w:val="22"/>
        </w:rPr>
      </w:pPr>
      <w:bookmarkStart w:id="28" w:name="H5_Determination_of_fair_value"/>
      <w:r w:rsidRPr="00A63145">
        <w:rPr>
          <w:b/>
          <w:bCs/>
          <w:sz w:val="22"/>
          <w:szCs w:val="22"/>
        </w:rPr>
        <w:t>Determination of fair value</w:t>
      </w:r>
    </w:p>
    <w:bookmarkEnd w:id="28"/>
    <w:p w14:paraId="028BF8D3" w14:textId="77777777" w:rsidR="00192980" w:rsidRDefault="00192980" w:rsidP="00192980">
      <w:pPr>
        <w:spacing w:line="264" w:lineRule="auto"/>
        <w:ind w:left="720"/>
        <w:rPr>
          <w:rFonts w:asciiTheme="majorBidi" w:hAnsiTheme="majorBidi" w:cstheme="majorBidi"/>
          <w:sz w:val="22"/>
          <w:szCs w:val="22"/>
        </w:rPr>
      </w:pPr>
    </w:p>
    <w:p w14:paraId="389DBFCE" w14:textId="37BA5642" w:rsidR="00192980" w:rsidRDefault="00192980" w:rsidP="00B0427E">
      <w:pPr>
        <w:spacing w:line="264" w:lineRule="auto"/>
        <w:ind w:left="720"/>
        <w:jc w:val="both"/>
        <w:rPr>
          <w:rFonts w:asciiTheme="majorBidi" w:hAnsiTheme="majorBidi" w:cstheme="majorBidi"/>
          <w:sz w:val="22"/>
          <w:szCs w:val="22"/>
        </w:rPr>
      </w:pPr>
      <w:r w:rsidRPr="00597106">
        <w:rPr>
          <w:rFonts w:asciiTheme="majorBidi" w:hAnsiTheme="majorBidi" w:cstheme="majorBidi"/>
          <w:sz w:val="22"/>
          <w:szCs w:val="22"/>
        </w:rPr>
        <w:t>Fair value is the price that would be received to sell an asset or paid to transfer a liability in an orderly transaction between market participants at the measurement date.</w:t>
      </w:r>
    </w:p>
    <w:p w14:paraId="3FB0A77A" w14:textId="77777777" w:rsidR="00BE2B6A" w:rsidRPr="00597106" w:rsidRDefault="00BE2B6A" w:rsidP="00B0427E">
      <w:pPr>
        <w:spacing w:line="264" w:lineRule="auto"/>
        <w:ind w:left="720"/>
        <w:jc w:val="both"/>
        <w:rPr>
          <w:rFonts w:asciiTheme="majorBidi" w:hAnsiTheme="majorBidi" w:cstheme="majorBidi"/>
          <w:sz w:val="22"/>
          <w:szCs w:val="22"/>
        </w:rPr>
      </w:pPr>
    </w:p>
    <w:p w14:paraId="5FD808CE" w14:textId="77777777" w:rsidR="00192980" w:rsidRPr="00597106" w:rsidRDefault="00192980" w:rsidP="00B0427E">
      <w:pPr>
        <w:spacing w:line="264" w:lineRule="auto"/>
        <w:ind w:left="720"/>
        <w:jc w:val="both"/>
        <w:rPr>
          <w:rFonts w:asciiTheme="majorBidi" w:hAnsiTheme="majorBidi" w:cstheme="majorBidi"/>
          <w:sz w:val="22"/>
          <w:szCs w:val="18"/>
        </w:rPr>
      </w:pPr>
      <w:r w:rsidRPr="00597106">
        <w:rPr>
          <w:rFonts w:asciiTheme="majorBidi" w:hAnsiTheme="majorBidi" w:cstheme="majorBidi"/>
          <w:sz w:val="22"/>
          <w:szCs w:val="18"/>
        </w:rPr>
        <w:t xml:space="preserve">Fair value measurement </w:t>
      </w:r>
      <w:proofErr w:type="gramStart"/>
      <w:r w:rsidRPr="00597106">
        <w:rPr>
          <w:rFonts w:asciiTheme="majorBidi" w:hAnsiTheme="majorBidi" w:cstheme="majorBidi"/>
          <w:sz w:val="22"/>
          <w:szCs w:val="18"/>
        </w:rPr>
        <w:t>is based on the assumption</w:t>
      </w:r>
      <w:proofErr w:type="gramEnd"/>
      <w:r w:rsidRPr="00597106">
        <w:rPr>
          <w:rFonts w:asciiTheme="majorBidi" w:hAnsiTheme="majorBidi" w:cstheme="majorBidi"/>
          <w:sz w:val="22"/>
          <w:szCs w:val="18"/>
        </w:rPr>
        <w:t xml:space="preserve"> that the transaction will take place in the asset's or the liability's principal market, or in the absence of a principal market, in the most advantageous market. </w:t>
      </w:r>
    </w:p>
    <w:p w14:paraId="7DD6B9C6" w14:textId="77777777" w:rsidR="00192980" w:rsidRPr="00597106" w:rsidRDefault="00192980" w:rsidP="00B0427E">
      <w:pPr>
        <w:spacing w:line="264" w:lineRule="auto"/>
        <w:ind w:left="720"/>
        <w:jc w:val="both"/>
        <w:rPr>
          <w:rFonts w:asciiTheme="majorBidi" w:hAnsiTheme="majorBidi" w:cstheme="majorBidi"/>
          <w:sz w:val="22"/>
          <w:szCs w:val="18"/>
        </w:rPr>
      </w:pPr>
    </w:p>
    <w:p w14:paraId="31A1D332" w14:textId="77777777" w:rsidR="00192980" w:rsidRPr="00597106" w:rsidRDefault="00192980" w:rsidP="00B0427E">
      <w:pPr>
        <w:spacing w:line="264" w:lineRule="auto"/>
        <w:ind w:left="720"/>
        <w:jc w:val="both"/>
        <w:rPr>
          <w:rFonts w:asciiTheme="majorBidi" w:hAnsiTheme="majorBidi" w:cstheme="majorBidi"/>
          <w:sz w:val="22"/>
          <w:szCs w:val="18"/>
        </w:rPr>
      </w:pPr>
      <w:r w:rsidRPr="00597106">
        <w:rPr>
          <w:rFonts w:asciiTheme="majorBidi" w:hAnsiTheme="majorBidi" w:cstheme="majorBidi"/>
          <w:sz w:val="22"/>
          <w:szCs w:val="18"/>
        </w:rPr>
        <w:t xml:space="preserve">The fair value of an asset or a liability is measured using the assumptions that market participants would use when pricing the asset or liability, </w:t>
      </w:r>
      <w:proofErr w:type="gramStart"/>
      <w:r w:rsidRPr="00597106">
        <w:rPr>
          <w:rFonts w:asciiTheme="majorBidi" w:hAnsiTheme="majorBidi" w:cstheme="majorBidi"/>
          <w:sz w:val="22"/>
          <w:szCs w:val="18"/>
        </w:rPr>
        <w:t>assuming that</w:t>
      </w:r>
      <w:proofErr w:type="gramEnd"/>
      <w:r w:rsidRPr="00597106">
        <w:rPr>
          <w:rFonts w:asciiTheme="majorBidi" w:hAnsiTheme="majorBidi" w:cstheme="majorBidi"/>
          <w:sz w:val="22"/>
          <w:szCs w:val="18"/>
        </w:rPr>
        <w:t xml:space="preserve"> market participants act in their </w:t>
      </w:r>
      <w:proofErr w:type="gramStart"/>
      <w:r w:rsidRPr="00597106">
        <w:rPr>
          <w:rFonts w:asciiTheme="majorBidi" w:hAnsiTheme="majorBidi" w:cstheme="majorBidi"/>
          <w:sz w:val="22"/>
          <w:szCs w:val="18"/>
        </w:rPr>
        <w:t>economic best</w:t>
      </w:r>
      <w:proofErr w:type="gramEnd"/>
      <w:r w:rsidRPr="00597106">
        <w:rPr>
          <w:rFonts w:asciiTheme="majorBidi" w:hAnsiTheme="majorBidi" w:cstheme="majorBidi"/>
          <w:sz w:val="22"/>
          <w:szCs w:val="18"/>
        </w:rPr>
        <w:t xml:space="preserve"> interest. </w:t>
      </w:r>
    </w:p>
    <w:p w14:paraId="282FFF28" w14:textId="77777777" w:rsidR="00192980" w:rsidRPr="00597106" w:rsidRDefault="00192980" w:rsidP="00B0427E">
      <w:pPr>
        <w:spacing w:line="264" w:lineRule="auto"/>
        <w:ind w:left="720"/>
        <w:jc w:val="both"/>
        <w:rPr>
          <w:rFonts w:asciiTheme="majorBidi" w:hAnsiTheme="majorBidi" w:cstheme="majorBidi"/>
          <w:sz w:val="22"/>
          <w:szCs w:val="18"/>
        </w:rPr>
      </w:pPr>
    </w:p>
    <w:p w14:paraId="545C5AC7" w14:textId="77777777" w:rsidR="00192980" w:rsidRPr="00597106" w:rsidRDefault="00192980" w:rsidP="00B0427E">
      <w:pPr>
        <w:spacing w:line="264" w:lineRule="auto"/>
        <w:ind w:left="720"/>
        <w:jc w:val="both"/>
        <w:rPr>
          <w:rFonts w:asciiTheme="majorBidi" w:hAnsiTheme="majorBidi" w:cstheme="majorBidi"/>
          <w:sz w:val="22"/>
          <w:szCs w:val="18"/>
        </w:rPr>
      </w:pPr>
      <w:bookmarkStart w:id="29" w:name="IFRS_13,_para.27"/>
      <w:r w:rsidRPr="00597106">
        <w:rPr>
          <w:rFonts w:asciiTheme="majorBidi" w:hAnsiTheme="majorBidi" w:cstheme="majorBidi"/>
          <w:sz w:val="22"/>
          <w:szCs w:val="18"/>
        </w:rPr>
        <w:t xml:space="preserve">Fair value measurement of a non-financial asset </w:t>
      </w:r>
      <w:proofErr w:type="gramStart"/>
      <w:r w:rsidRPr="00597106">
        <w:rPr>
          <w:rFonts w:asciiTheme="majorBidi" w:hAnsiTheme="majorBidi" w:cstheme="majorBidi"/>
          <w:sz w:val="22"/>
          <w:szCs w:val="18"/>
        </w:rPr>
        <w:t>takes into account</w:t>
      </w:r>
      <w:proofErr w:type="gramEnd"/>
      <w:r w:rsidRPr="00597106">
        <w:rPr>
          <w:rFonts w:asciiTheme="majorBidi" w:hAnsiTheme="majorBidi" w:cstheme="majorBidi"/>
          <w:sz w:val="22"/>
          <w:szCs w:val="18"/>
        </w:rPr>
        <w:t xml:space="preserve"> a market participant's ability to generate economic benefits by using the asset in its highest and best use or by selling it to another market participant that would use the asset in its highest and best use. </w:t>
      </w:r>
    </w:p>
    <w:bookmarkEnd w:id="29"/>
    <w:p w14:paraId="76135570" w14:textId="77777777" w:rsidR="00192980" w:rsidRPr="00597106" w:rsidRDefault="00192980" w:rsidP="00B0427E">
      <w:pPr>
        <w:spacing w:line="264" w:lineRule="auto"/>
        <w:ind w:left="720"/>
        <w:jc w:val="both"/>
        <w:rPr>
          <w:rFonts w:asciiTheme="majorBidi" w:hAnsiTheme="majorBidi" w:cstheme="majorBidi"/>
          <w:sz w:val="22"/>
          <w:szCs w:val="18"/>
        </w:rPr>
      </w:pPr>
    </w:p>
    <w:p w14:paraId="5EC19F06" w14:textId="77777777" w:rsidR="00192980" w:rsidRPr="00597106" w:rsidRDefault="00192980" w:rsidP="00B0427E">
      <w:pPr>
        <w:spacing w:line="264" w:lineRule="auto"/>
        <w:ind w:left="720"/>
        <w:jc w:val="both"/>
        <w:rPr>
          <w:rFonts w:asciiTheme="majorBidi" w:hAnsiTheme="majorBidi" w:cstheme="majorBidi"/>
          <w:sz w:val="22"/>
          <w:szCs w:val="18"/>
        </w:rPr>
      </w:pPr>
      <w:bookmarkStart w:id="30" w:name="IFRS_13,_para.61"/>
      <w:r w:rsidRPr="00597106">
        <w:rPr>
          <w:rFonts w:asciiTheme="majorBidi" w:hAnsiTheme="majorBidi" w:cstheme="majorBidi"/>
          <w:sz w:val="22"/>
          <w:szCs w:val="18"/>
        </w:rPr>
        <w:t xml:space="preserve">The Group uses valuation techniques that are appropriate in the circumstances and for which sufficient data are available to measure fair value, </w:t>
      </w:r>
      <w:proofErr w:type="gramStart"/>
      <w:r w:rsidRPr="00597106">
        <w:rPr>
          <w:rFonts w:asciiTheme="majorBidi" w:hAnsiTheme="majorBidi" w:cstheme="majorBidi"/>
          <w:sz w:val="22"/>
          <w:szCs w:val="18"/>
        </w:rPr>
        <w:t>maximizing</w:t>
      </w:r>
      <w:proofErr w:type="gramEnd"/>
      <w:r w:rsidRPr="00597106">
        <w:rPr>
          <w:rFonts w:asciiTheme="majorBidi" w:hAnsiTheme="majorBidi" w:cstheme="majorBidi"/>
          <w:sz w:val="22"/>
          <w:szCs w:val="18"/>
        </w:rPr>
        <w:t xml:space="preserve"> the use of relevant observable inputs and minimizing the use of unobservable inputs</w:t>
      </w:r>
      <w:bookmarkEnd w:id="30"/>
      <w:r w:rsidRPr="00597106">
        <w:rPr>
          <w:rFonts w:asciiTheme="majorBidi" w:hAnsiTheme="majorBidi" w:cstheme="majorBidi"/>
          <w:sz w:val="22"/>
          <w:szCs w:val="18"/>
        </w:rPr>
        <w:t xml:space="preserve">. </w:t>
      </w:r>
    </w:p>
    <w:p w14:paraId="44FE9467" w14:textId="77777777" w:rsidR="00192980" w:rsidRPr="00597106" w:rsidRDefault="00192980" w:rsidP="00192980">
      <w:pPr>
        <w:spacing w:line="264" w:lineRule="auto"/>
        <w:ind w:left="720"/>
        <w:rPr>
          <w:rFonts w:asciiTheme="majorBidi" w:hAnsiTheme="majorBidi" w:cstheme="majorBidi"/>
          <w:sz w:val="22"/>
          <w:szCs w:val="18"/>
        </w:rPr>
      </w:pPr>
    </w:p>
    <w:p w14:paraId="54A6F23C" w14:textId="230D76F7" w:rsidR="00C35D07" w:rsidRPr="00377C8B" w:rsidRDefault="00192980" w:rsidP="008D69AD">
      <w:pPr>
        <w:spacing w:line="264" w:lineRule="auto"/>
        <w:ind w:left="720"/>
        <w:rPr>
          <w:b/>
          <w:bCs/>
          <w:sz w:val="14"/>
          <w:szCs w:val="14"/>
        </w:rPr>
      </w:pPr>
      <w:r w:rsidRPr="00597106">
        <w:rPr>
          <w:rFonts w:asciiTheme="majorBidi" w:hAnsiTheme="majorBidi" w:cstheme="majorBidi"/>
          <w:sz w:val="22"/>
          <w:szCs w:val="18"/>
        </w:rPr>
        <w:t>All assets and liabilities measured at fair value or for which fair value is disclosed are categorized into levels within the fair value hierarchy based on the lowest level input that is significant to the entire fair value measurement:</w:t>
      </w:r>
    </w:p>
    <w:p w14:paraId="21EC5F25" w14:textId="77777777" w:rsidR="0099751B" w:rsidRDefault="0099751B" w:rsidP="008D69AD">
      <w:pPr>
        <w:jc w:val="both"/>
        <w:rPr>
          <w:spacing w:val="-1"/>
          <w:sz w:val="22"/>
          <w:szCs w:val="22"/>
        </w:rPr>
      </w:pPr>
    </w:p>
    <w:p w14:paraId="23A7B87F" w14:textId="4E18A12F" w:rsidR="00C35D07" w:rsidRPr="00F02921" w:rsidRDefault="00C35D07" w:rsidP="00CC1EFE">
      <w:pPr>
        <w:ind w:left="720"/>
        <w:jc w:val="both"/>
        <w:rPr>
          <w:spacing w:val="-1"/>
          <w:sz w:val="22"/>
          <w:szCs w:val="22"/>
        </w:rPr>
      </w:pPr>
      <w:r w:rsidRPr="00F02921">
        <w:rPr>
          <w:spacing w:val="-1"/>
          <w:sz w:val="22"/>
          <w:szCs w:val="22"/>
        </w:rPr>
        <w:t>When determining the fair value of an asset or liability, the Group uses observable market data as much as possible. There are three levels of fair value measurements in the fair value hierarchy that are based on the data used in the measurement, as follows:</w:t>
      </w:r>
    </w:p>
    <w:p w14:paraId="745DABA9" w14:textId="77777777" w:rsidR="00C35D07" w:rsidRPr="00377C8B" w:rsidRDefault="00C35D07" w:rsidP="00CC1EFE">
      <w:pPr>
        <w:ind w:left="720"/>
        <w:jc w:val="both"/>
        <w:rPr>
          <w:spacing w:val="-1"/>
          <w:sz w:val="8"/>
          <w:szCs w:val="8"/>
        </w:rPr>
      </w:pPr>
    </w:p>
    <w:p w14:paraId="488F7631" w14:textId="77777777" w:rsidR="00C35D07" w:rsidRPr="00FB3CFF" w:rsidRDefault="00C35D07" w:rsidP="00C5462B">
      <w:pPr>
        <w:pStyle w:val="af2"/>
        <w:numPr>
          <w:ilvl w:val="0"/>
          <w:numId w:val="2"/>
        </w:numPr>
        <w:jc w:val="both"/>
        <w:rPr>
          <w:sz w:val="22"/>
          <w:szCs w:val="22"/>
        </w:rPr>
      </w:pPr>
      <w:r w:rsidRPr="00FB3CFF">
        <w:rPr>
          <w:sz w:val="22"/>
          <w:szCs w:val="22"/>
        </w:rPr>
        <w:t xml:space="preserve">Level 1: quoted prices (unadjusted) in active markets for identical assets or liabilities. </w:t>
      </w:r>
    </w:p>
    <w:p w14:paraId="42B6231F" w14:textId="77777777" w:rsidR="00C35D07" w:rsidRPr="00FB3CFF" w:rsidRDefault="00C35D07" w:rsidP="00C5462B">
      <w:pPr>
        <w:pStyle w:val="af2"/>
        <w:numPr>
          <w:ilvl w:val="0"/>
          <w:numId w:val="2"/>
        </w:numPr>
        <w:jc w:val="both"/>
        <w:rPr>
          <w:sz w:val="22"/>
          <w:szCs w:val="22"/>
        </w:rPr>
      </w:pPr>
      <w:r w:rsidRPr="00FB3CFF">
        <w:rPr>
          <w:sz w:val="22"/>
          <w:szCs w:val="22"/>
        </w:rPr>
        <w:t xml:space="preserve">Level 2: inputs other than quoted prices included within Level 1 that are observable, either directly or indirectly </w:t>
      </w:r>
    </w:p>
    <w:p w14:paraId="606E36A0" w14:textId="448E2E55" w:rsidR="00C35D07" w:rsidRDefault="00C35D07" w:rsidP="00C5462B">
      <w:pPr>
        <w:pStyle w:val="af2"/>
        <w:numPr>
          <w:ilvl w:val="0"/>
          <w:numId w:val="2"/>
        </w:numPr>
        <w:jc w:val="both"/>
        <w:rPr>
          <w:sz w:val="22"/>
          <w:szCs w:val="22"/>
        </w:rPr>
      </w:pPr>
      <w:r w:rsidRPr="00FB3CFF">
        <w:rPr>
          <w:sz w:val="22"/>
          <w:szCs w:val="22"/>
        </w:rPr>
        <w:t>Level 3: inputs that are not based on observable market data (unobservable inputs).</w:t>
      </w:r>
    </w:p>
    <w:p w14:paraId="1D94453A" w14:textId="7520F6C4" w:rsidR="00192980" w:rsidRDefault="00192980" w:rsidP="00192980">
      <w:pPr>
        <w:ind w:left="720"/>
        <w:jc w:val="both"/>
        <w:rPr>
          <w:sz w:val="22"/>
          <w:szCs w:val="22"/>
        </w:rPr>
      </w:pPr>
    </w:p>
    <w:p w14:paraId="18B8805D" w14:textId="77777777" w:rsidR="00192980" w:rsidRPr="00F02921" w:rsidRDefault="00192980" w:rsidP="00192980">
      <w:pPr>
        <w:ind w:left="709"/>
        <w:jc w:val="both"/>
        <w:rPr>
          <w:sz w:val="22"/>
          <w:szCs w:val="22"/>
        </w:rPr>
      </w:pPr>
      <w:r w:rsidRPr="00F02921">
        <w:rPr>
          <w:spacing w:val="-1"/>
          <w:sz w:val="22"/>
          <w:szCs w:val="22"/>
        </w:rPr>
        <w:t>Further information about the assumptions that were used to determine fair value is included in the following notes:</w:t>
      </w:r>
    </w:p>
    <w:p w14:paraId="79212AFA" w14:textId="77777777" w:rsidR="00192980" w:rsidRPr="00ED45EE" w:rsidRDefault="00192980" w:rsidP="00C5462B">
      <w:pPr>
        <w:pStyle w:val="af2"/>
        <w:numPr>
          <w:ilvl w:val="0"/>
          <w:numId w:val="2"/>
        </w:numPr>
        <w:jc w:val="both"/>
        <w:rPr>
          <w:sz w:val="22"/>
          <w:szCs w:val="22"/>
        </w:rPr>
      </w:pPr>
      <w:r w:rsidRPr="007715B5">
        <w:rPr>
          <w:sz w:val="22"/>
          <w:szCs w:val="22"/>
        </w:rPr>
        <w:t>Note 5</w:t>
      </w:r>
      <w:r w:rsidRPr="00EB357F">
        <w:rPr>
          <w:sz w:val="22"/>
          <w:szCs w:val="22"/>
        </w:rPr>
        <w:t xml:space="preserve"> </w:t>
      </w:r>
      <w:r w:rsidRPr="00ED45EE">
        <w:rPr>
          <w:sz w:val="22"/>
          <w:szCs w:val="22"/>
        </w:rPr>
        <w:t xml:space="preserve">on investment </w:t>
      </w:r>
      <w:proofErr w:type="gramStart"/>
      <w:r w:rsidRPr="00ED45EE">
        <w:rPr>
          <w:sz w:val="22"/>
          <w:szCs w:val="22"/>
        </w:rPr>
        <w:t>property;</w:t>
      </w:r>
      <w:proofErr w:type="gramEnd"/>
    </w:p>
    <w:p w14:paraId="087AA5B2" w14:textId="77777777" w:rsidR="00192980" w:rsidRPr="00ED45EE" w:rsidRDefault="00192980" w:rsidP="00C5462B">
      <w:pPr>
        <w:pStyle w:val="af2"/>
        <w:numPr>
          <w:ilvl w:val="0"/>
          <w:numId w:val="2"/>
        </w:numPr>
        <w:jc w:val="both"/>
        <w:rPr>
          <w:sz w:val="22"/>
          <w:szCs w:val="22"/>
        </w:rPr>
      </w:pPr>
      <w:r w:rsidRPr="00ED45EE">
        <w:rPr>
          <w:sz w:val="22"/>
          <w:szCs w:val="22"/>
        </w:rPr>
        <w:t xml:space="preserve">Note 6 on investment property under </w:t>
      </w:r>
      <w:proofErr w:type="gramStart"/>
      <w:r w:rsidRPr="00ED45EE">
        <w:rPr>
          <w:sz w:val="22"/>
          <w:szCs w:val="22"/>
        </w:rPr>
        <w:t>development;</w:t>
      </w:r>
      <w:proofErr w:type="gramEnd"/>
    </w:p>
    <w:p w14:paraId="64334E4A" w14:textId="002FEA6F" w:rsidR="00192980" w:rsidRPr="00EB357F" w:rsidRDefault="00192980" w:rsidP="00C5462B">
      <w:pPr>
        <w:pStyle w:val="af2"/>
        <w:numPr>
          <w:ilvl w:val="0"/>
          <w:numId w:val="2"/>
        </w:numPr>
        <w:jc w:val="both"/>
        <w:rPr>
          <w:sz w:val="22"/>
          <w:szCs w:val="22"/>
        </w:rPr>
      </w:pPr>
      <w:r w:rsidRPr="00DA7DED">
        <w:rPr>
          <w:sz w:val="22"/>
          <w:szCs w:val="22"/>
        </w:rPr>
        <w:t>Note 2</w:t>
      </w:r>
      <w:r w:rsidR="00F66EC1" w:rsidRPr="00DA7DED">
        <w:rPr>
          <w:sz w:val="22"/>
          <w:szCs w:val="22"/>
        </w:rPr>
        <w:t>1</w:t>
      </w:r>
      <w:r w:rsidRPr="00ED45EE">
        <w:rPr>
          <w:sz w:val="22"/>
          <w:szCs w:val="22"/>
        </w:rPr>
        <w:t xml:space="preserve"> on financial</w:t>
      </w:r>
      <w:r w:rsidRPr="00EB357F">
        <w:rPr>
          <w:sz w:val="22"/>
          <w:szCs w:val="22"/>
        </w:rPr>
        <w:t xml:space="preserve"> instruments; and</w:t>
      </w:r>
    </w:p>
    <w:p w14:paraId="1F4F68AB" w14:textId="33BF974C" w:rsidR="00192980" w:rsidRPr="00ED45EE" w:rsidRDefault="00192980" w:rsidP="00C5462B">
      <w:pPr>
        <w:pStyle w:val="af2"/>
        <w:numPr>
          <w:ilvl w:val="0"/>
          <w:numId w:val="2"/>
        </w:numPr>
        <w:jc w:val="both"/>
        <w:rPr>
          <w:sz w:val="22"/>
          <w:szCs w:val="22"/>
        </w:rPr>
      </w:pPr>
      <w:r w:rsidRPr="00DA7DED">
        <w:rPr>
          <w:sz w:val="22"/>
          <w:szCs w:val="22"/>
        </w:rPr>
        <w:t>Note 4</w:t>
      </w:r>
      <w:r w:rsidRPr="00ED45EE">
        <w:rPr>
          <w:sz w:val="22"/>
          <w:szCs w:val="22"/>
        </w:rPr>
        <w:t xml:space="preserve"> and 7 on non-current assets.</w:t>
      </w:r>
    </w:p>
    <w:p w14:paraId="0CA7B431" w14:textId="77777777" w:rsidR="00192980" w:rsidRPr="00237FC5" w:rsidRDefault="00192980" w:rsidP="00237FC5">
      <w:pPr>
        <w:ind w:left="720"/>
        <w:jc w:val="both"/>
        <w:rPr>
          <w:sz w:val="22"/>
          <w:szCs w:val="22"/>
        </w:rPr>
      </w:pPr>
    </w:p>
    <w:p w14:paraId="2CA489B8" w14:textId="40F397CD" w:rsidR="00192980" w:rsidRDefault="00192980" w:rsidP="00237FC5">
      <w:pPr>
        <w:jc w:val="both"/>
        <w:rPr>
          <w:b/>
          <w:bCs/>
          <w:sz w:val="22"/>
          <w:szCs w:val="22"/>
        </w:rPr>
        <w:sectPr w:rsidR="00192980" w:rsidSect="00593E8F">
          <w:headerReference w:type="default" r:id="rId26"/>
          <w:endnotePr>
            <w:numFmt w:val="lowerLetter"/>
          </w:endnotePr>
          <w:type w:val="nextColumn"/>
          <w:pgSz w:w="11906" w:h="16838"/>
          <w:pgMar w:top="1134" w:right="1134" w:bottom="1134" w:left="1134" w:header="567" w:footer="567" w:gutter="0"/>
          <w:paperSrc w:first="15" w:other="15"/>
          <w:cols w:space="720"/>
          <w:bidi/>
          <w:docGrid w:linePitch="326"/>
        </w:sectPr>
      </w:pPr>
    </w:p>
    <w:p w14:paraId="524B03F5" w14:textId="77777777" w:rsidR="004D260B" w:rsidRDefault="004D260B" w:rsidP="007B7188">
      <w:pPr>
        <w:rPr>
          <w:b/>
          <w:bCs/>
          <w:sz w:val="22"/>
          <w:szCs w:val="22"/>
        </w:rPr>
      </w:pPr>
    </w:p>
    <w:p w14:paraId="7E3B464C" w14:textId="25694363" w:rsidR="007B7188" w:rsidRPr="00927C0F" w:rsidRDefault="007B7188" w:rsidP="007B7188">
      <w:pPr>
        <w:rPr>
          <w:b/>
          <w:bCs/>
          <w:sz w:val="22"/>
          <w:szCs w:val="22"/>
        </w:rPr>
      </w:pPr>
      <w:r w:rsidRPr="00927C0F">
        <w:rPr>
          <w:b/>
          <w:bCs/>
          <w:sz w:val="22"/>
          <w:szCs w:val="22"/>
        </w:rPr>
        <w:t>Note 2 - Basis of Preparation (cont’d)</w:t>
      </w:r>
    </w:p>
    <w:p w14:paraId="09618BC2" w14:textId="77777777" w:rsidR="007B7188" w:rsidRPr="00927C0F" w:rsidRDefault="007B7188" w:rsidP="00193EE3">
      <w:pPr>
        <w:ind w:left="720"/>
        <w:jc w:val="both"/>
        <w:rPr>
          <w:b/>
          <w:bCs/>
          <w:sz w:val="22"/>
          <w:szCs w:val="22"/>
        </w:rPr>
      </w:pPr>
    </w:p>
    <w:p w14:paraId="4DA11E86" w14:textId="50AA3448" w:rsidR="00193EE3" w:rsidRPr="00927C0F" w:rsidRDefault="00193EE3" w:rsidP="00F00E32">
      <w:pPr>
        <w:ind w:left="720"/>
        <w:jc w:val="both"/>
        <w:outlineLvl w:val="3"/>
        <w:rPr>
          <w:b/>
          <w:bCs/>
          <w:sz w:val="22"/>
          <w:szCs w:val="22"/>
        </w:rPr>
      </w:pPr>
      <w:bookmarkStart w:id="32" w:name="H4_FChanges_in_accounting_policies"/>
      <w:r w:rsidRPr="00927C0F">
        <w:rPr>
          <w:b/>
          <w:bCs/>
          <w:sz w:val="22"/>
          <w:szCs w:val="22"/>
        </w:rPr>
        <w:t>F.</w:t>
      </w:r>
      <w:r w:rsidRPr="00927C0F">
        <w:rPr>
          <w:b/>
          <w:bCs/>
          <w:sz w:val="22"/>
          <w:szCs w:val="22"/>
        </w:rPr>
        <w:tab/>
        <w:t>Changes in accounting policies</w:t>
      </w:r>
    </w:p>
    <w:bookmarkEnd w:id="32"/>
    <w:p w14:paraId="391CCB87" w14:textId="77777777" w:rsidR="00193EE3" w:rsidRPr="00927C0F" w:rsidRDefault="00193EE3" w:rsidP="00193EE3">
      <w:pPr>
        <w:ind w:left="720"/>
        <w:jc w:val="both"/>
        <w:rPr>
          <w:b/>
          <w:bCs/>
          <w:sz w:val="22"/>
          <w:szCs w:val="22"/>
        </w:rPr>
      </w:pPr>
    </w:p>
    <w:p w14:paraId="612FEA54" w14:textId="1E23619B" w:rsidR="00D37FA9" w:rsidRPr="00927C0F" w:rsidRDefault="00D37FA9" w:rsidP="00C5462B">
      <w:pPr>
        <w:pStyle w:val="af2"/>
        <w:numPr>
          <w:ilvl w:val="0"/>
          <w:numId w:val="5"/>
        </w:numPr>
        <w:jc w:val="both"/>
        <w:outlineLvl w:val="4"/>
        <w:rPr>
          <w:b/>
          <w:bCs/>
          <w:sz w:val="22"/>
          <w:szCs w:val="22"/>
        </w:rPr>
      </w:pPr>
      <w:bookmarkStart w:id="33" w:name="H5_Initial_application_of_amendments_to_"/>
      <w:r w:rsidRPr="00927C0F">
        <w:rPr>
          <w:b/>
          <w:bCs/>
          <w:sz w:val="22"/>
          <w:szCs w:val="22"/>
        </w:rPr>
        <w:t xml:space="preserve">Initial application of amendments to standards </w:t>
      </w:r>
    </w:p>
    <w:bookmarkEnd w:id="33"/>
    <w:p w14:paraId="10CC2163" w14:textId="13692160" w:rsidR="00D37FA9" w:rsidRPr="00927C0F" w:rsidRDefault="00D37FA9" w:rsidP="00D37FA9">
      <w:pPr>
        <w:ind w:left="720"/>
        <w:jc w:val="both"/>
        <w:rPr>
          <w:b/>
          <w:bCs/>
          <w:sz w:val="14"/>
          <w:szCs w:val="14"/>
        </w:rPr>
      </w:pPr>
    </w:p>
    <w:p w14:paraId="7CFC6088" w14:textId="7D36FBB2" w:rsidR="00D37FA9" w:rsidRPr="00927C0F" w:rsidRDefault="00D37FA9" w:rsidP="00D37FA9">
      <w:pPr>
        <w:ind w:left="709"/>
        <w:jc w:val="both"/>
        <w:rPr>
          <w:spacing w:val="-1"/>
          <w:sz w:val="22"/>
          <w:szCs w:val="22"/>
        </w:rPr>
      </w:pPr>
      <w:r w:rsidRPr="00927C0F">
        <w:rPr>
          <w:spacing w:val="-1"/>
          <w:sz w:val="22"/>
          <w:szCs w:val="22"/>
        </w:rPr>
        <w:t xml:space="preserve">As </w:t>
      </w:r>
      <w:proofErr w:type="gramStart"/>
      <w:r w:rsidRPr="00927C0F">
        <w:rPr>
          <w:spacing w:val="-1"/>
          <w:sz w:val="22"/>
          <w:szCs w:val="22"/>
        </w:rPr>
        <w:t>from</w:t>
      </w:r>
      <w:proofErr w:type="gramEnd"/>
      <w:r w:rsidRPr="00927C0F">
        <w:rPr>
          <w:spacing w:val="-1"/>
          <w:sz w:val="22"/>
          <w:szCs w:val="22"/>
        </w:rPr>
        <w:t xml:space="preserve"> January 1, </w:t>
      </w:r>
      <w:proofErr w:type="gramStart"/>
      <w:r w:rsidR="00927C0F" w:rsidRPr="00927C0F">
        <w:rPr>
          <w:spacing w:val="-1"/>
          <w:sz w:val="22"/>
          <w:szCs w:val="22"/>
        </w:rPr>
        <w:t>2024</w:t>
      </w:r>
      <w:proofErr w:type="gramEnd"/>
      <w:r w:rsidR="003A017E" w:rsidRPr="00927C0F">
        <w:rPr>
          <w:spacing w:val="-1"/>
          <w:sz w:val="22"/>
          <w:szCs w:val="22"/>
        </w:rPr>
        <w:t xml:space="preserve"> </w:t>
      </w:r>
      <w:r w:rsidRPr="00927C0F">
        <w:rPr>
          <w:spacing w:val="-1"/>
          <w:sz w:val="22"/>
          <w:szCs w:val="22"/>
        </w:rPr>
        <w:t>the Group applies the amendments to the standards described below:</w:t>
      </w:r>
    </w:p>
    <w:p w14:paraId="79103671" w14:textId="77777777" w:rsidR="00D37FA9" w:rsidRPr="00927C0F" w:rsidRDefault="00D37FA9" w:rsidP="00D37FA9">
      <w:pPr>
        <w:ind w:left="709"/>
        <w:jc w:val="both"/>
        <w:rPr>
          <w:spacing w:val="-1"/>
          <w:sz w:val="16"/>
          <w:szCs w:val="16"/>
        </w:rPr>
      </w:pPr>
    </w:p>
    <w:tbl>
      <w:tblPr>
        <w:tblW w:w="14910" w:type="dxa"/>
        <w:tblLayout w:type="fixed"/>
        <w:tblLook w:val="06A0" w:firstRow="1" w:lastRow="0" w:firstColumn="1" w:lastColumn="0" w:noHBand="1" w:noVBand="1"/>
        <w:tblCaption w:val="AHR02"/>
        <w:tblDescription w:val=" Initial application of amendments to standards"/>
      </w:tblPr>
      <w:tblGrid>
        <w:gridCol w:w="2381"/>
        <w:gridCol w:w="7143"/>
        <w:gridCol w:w="3175"/>
        <w:gridCol w:w="2211"/>
      </w:tblGrid>
      <w:tr w:rsidR="006909F2" w:rsidRPr="00927C0F" w14:paraId="7AB4B331" w14:textId="77777777" w:rsidTr="006909F2">
        <w:trPr>
          <w:cantSplit/>
          <w:trHeight w:val="536"/>
          <w:tblHeader/>
        </w:trPr>
        <w:tc>
          <w:tcPr>
            <w:tcW w:w="2381" w:type="dxa"/>
          </w:tcPr>
          <w:p w14:paraId="26009B3C" w14:textId="77777777" w:rsidR="006909F2" w:rsidRPr="00927C0F" w:rsidRDefault="006909F2" w:rsidP="00AE6823">
            <w:pPr>
              <w:jc w:val="both"/>
              <w:rPr>
                <w:b/>
                <w:bCs/>
                <w:sz w:val="22"/>
                <w:szCs w:val="22"/>
              </w:rPr>
            </w:pPr>
            <w:bookmarkStart w:id="34" w:name="Title_10" w:colFirst="0" w:colLast="0"/>
            <w:bookmarkStart w:id="35" w:name="_Hlk33618906"/>
            <w:r w:rsidRPr="00927C0F">
              <w:rPr>
                <w:b/>
                <w:bCs/>
                <w:sz w:val="22"/>
                <w:szCs w:val="22"/>
              </w:rPr>
              <w:t>Standard/amendment/</w:t>
            </w:r>
          </w:p>
          <w:p w14:paraId="4940FA3C" w14:textId="00502511" w:rsidR="006909F2" w:rsidRPr="00927C0F" w:rsidRDefault="006909F2" w:rsidP="002C51CD">
            <w:pPr>
              <w:pBdr>
                <w:bottom w:val="single" w:sz="4" w:space="1" w:color="auto"/>
              </w:pBdr>
              <w:jc w:val="center"/>
              <w:rPr>
                <w:b/>
                <w:bCs/>
                <w:sz w:val="22"/>
                <w:szCs w:val="22"/>
              </w:rPr>
            </w:pPr>
            <w:r w:rsidRPr="00927C0F">
              <w:rPr>
                <w:b/>
                <w:bCs/>
                <w:sz w:val="22"/>
                <w:szCs w:val="22"/>
              </w:rPr>
              <w:t>Interpretation</w:t>
            </w:r>
          </w:p>
        </w:tc>
        <w:tc>
          <w:tcPr>
            <w:tcW w:w="7143" w:type="dxa"/>
            <w:vAlign w:val="bottom"/>
          </w:tcPr>
          <w:p w14:paraId="5CCCAF54" w14:textId="5AFF8163" w:rsidR="006909F2" w:rsidRPr="00927C0F" w:rsidRDefault="006909F2" w:rsidP="006909F2">
            <w:pPr>
              <w:pBdr>
                <w:bottom w:val="single" w:sz="4" w:space="1" w:color="auto"/>
              </w:pBdr>
              <w:jc w:val="center"/>
              <w:rPr>
                <w:b/>
                <w:bCs/>
                <w:sz w:val="22"/>
                <w:szCs w:val="22"/>
              </w:rPr>
            </w:pPr>
            <w:r w:rsidRPr="00927C0F">
              <w:rPr>
                <w:b/>
                <w:bCs/>
                <w:sz w:val="22"/>
                <w:szCs w:val="22"/>
              </w:rPr>
              <w:t>The requirements of the publication</w:t>
            </w:r>
          </w:p>
        </w:tc>
        <w:tc>
          <w:tcPr>
            <w:tcW w:w="3175" w:type="dxa"/>
          </w:tcPr>
          <w:p w14:paraId="787FBAEB" w14:textId="77777777" w:rsidR="006909F2" w:rsidRPr="00927C0F" w:rsidRDefault="006909F2" w:rsidP="005C3493">
            <w:pPr>
              <w:jc w:val="center"/>
              <w:rPr>
                <w:b/>
                <w:bCs/>
                <w:sz w:val="22"/>
                <w:szCs w:val="22"/>
              </w:rPr>
            </w:pPr>
            <w:r w:rsidRPr="00927C0F">
              <w:rPr>
                <w:b/>
                <w:bCs/>
                <w:sz w:val="22"/>
                <w:szCs w:val="22"/>
              </w:rPr>
              <w:t>Effective date and</w:t>
            </w:r>
          </w:p>
          <w:p w14:paraId="336F1A0F" w14:textId="5732B44B" w:rsidR="006909F2" w:rsidRPr="00927C0F" w:rsidRDefault="006909F2" w:rsidP="002C51CD">
            <w:pPr>
              <w:pBdr>
                <w:bottom w:val="single" w:sz="4" w:space="1" w:color="auto"/>
              </w:pBdr>
              <w:jc w:val="center"/>
              <w:rPr>
                <w:b/>
                <w:bCs/>
                <w:sz w:val="22"/>
                <w:szCs w:val="22"/>
              </w:rPr>
            </w:pPr>
            <w:r w:rsidRPr="00927C0F">
              <w:rPr>
                <w:b/>
                <w:bCs/>
                <w:sz w:val="22"/>
                <w:szCs w:val="22"/>
              </w:rPr>
              <w:t>transitional provisions</w:t>
            </w:r>
          </w:p>
        </w:tc>
        <w:tc>
          <w:tcPr>
            <w:tcW w:w="2211" w:type="dxa"/>
            <w:vAlign w:val="bottom"/>
          </w:tcPr>
          <w:p w14:paraId="4847848B" w14:textId="2AB5D2B4" w:rsidR="006909F2" w:rsidRPr="00927C0F" w:rsidRDefault="006909F2" w:rsidP="006909F2">
            <w:pPr>
              <w:pBdr>
                <w:bottom w:val="single" w:sz="4" w:space="1" w:color="auto"/>
              </w:pBdr>
              <w:jc w:val="center"/>
              <w:rPr>
                <w:b/>
                <w:bCs/>
                <w:sz w:val="22"/>
                <w:szCs w:val="22"/>
              </w:rPr>
            </w:pPr>
            <w:r w:rsidRPr="00927C0F">
              <w:rPr>
                <w:b/>
                <w:bCs/>
                <w:sz w:val="22"/>
                <w:szCs w:val="22"/>
              </w:rPr>
              <w:t>Effects</w:t>
            </w:r>
          </w:p>
        </w:tc>
      </w:tr>
      <w:bookmarkEnd w:id="34"/>
      <w:bookmarkEnd w:id="35"/>
      <w:tr w:rsidR="00927C0F" w:rsidRPr="00927C0F" w14:paraId="10802C47" w14:textId="77777777" w:rsidTr="006909F2">
        <w:tc>
          <w:tcPr>
            <w:tcW w:w="2381" w:type="dxa"/>
          </w:tcPr>
          <w:p w14:paraId="37086D37" w14:textId="7AD334A8" w:rsidR="00927C0F" w:rsidRPr="00927C0F" w:rsidRDefault="00927C0F" w:rsidP="00927C0F">
            <w:pPr>
              <w:bidi/>
              <w:jc w:val="right"/>
              <w:rPr>
                <w:b/>
                <w:bCs/>
                <w:sz w:val="22"/>
                <w:szCs w:val="22"/>
              </w:rPr>
            </w:pPr>
            <w:r w:rsidRPr="00927C0F">
              <w:rPr>
                <w:b/>
                <w:bCs/>
                <w:sz w:val="22"/>
                <w:szCs w:val="22"/>
              </w:rPr>
              <w:t xml:space="preserve">Amendment to IAS 1, </w:t>
            </w:r>
            <w:r w:rsidRPr="00927C0F">
              <w:rPr>
                <w:b/>
                <w:bCs/>
                <w:i/>
                <w:iCs/>
                <w:sz w:val="22"/>
                <w:szCs w:val="22"/>
              </w:rPr>
              <w:t>Presentation of Financial Statements: Classification of Liabilities as Current or Non-Current</w:t>
            </w:r>
            <w:r w:rsidRPr="00927C0F">
              <w:rPr>
                <w:b/>
                <w:bCs/>
                <w:sz w:val="22"/>
                <w:szCs w:val="22"/>
              </w:rPr>
              <w:t xml:space="preserve"> and subsequent amendment: </w:t>
            </w:r>
            <w:r w:rsidRPr="00927C0F">
              <w:rPr>
                <w:b/>
                <w:bCs/>
                <w:i/>
                <w:iCs/>
                <w:sz w:val="22"/>
                <w:szCs w:val="22"/>
              </w:rPr>
              <w:t>Non-Current Liabilities with Covenants</w:t>
            </w:r>
          </w:p>
        </w:tc>
        <w:tc>
          <w:tcPr>
            <w:tcW w:w="7143" w:type="dxa"/>
          </w:tcPr>
          <w:p w14:paraId="54E35165" w14:textId="77777777" w:rsidR="00927C0F" w:rsidRDefault="00927C0F" w:rsidP="00927C0F">
            <w:pPr>
              <w:jc w:val="both"/>
              <w:rPr>
                <w:sz w:val="22"/>
                <w:szCs w:val="22"/>
              </w:rPr>
            </w:pPr>
            <w:r w:rsidRPr="0045739C">
              <w:rPr>
                <w:sz w:val="22"/>
                <w:szCs w:val="22"/>
              </w:rPr>
              <w:t>The Amendment</w:t>
            </w:r>
            <w:r>
              <w:rPr>
                <w:sz w:val="22"/>
                <w:szCs w:val="22"/>
              </w:rPr>
              <w:t xml:space="preserve"> </w:t>
            </w:r>
            <w:r w:rsidRPr="0045739C">
              <w:rPr>
                <w:sz w:val="22"/>
                <w:szCs w:val="22"/>
              </w:rPr>
              <w:t xml:space="preserve">replaces certain requirements for classifying liabilities as current or non-current. </w:t>
            </w:r>
          </w:p>
          <w:p w14:paraId="2FB6822F" w14:textId="77777777" w:rsidR="00927C0F" w:rsidRDefault="00927C0F" w:rsidP="00927C0F">
            <w:pPr>
              <w:jc w:val="both"/>
              <w:rPr>
                <w:sz w:val="22"/>
                <w:szCs w:val="22"/>
              </w:rPr>
            </w:pPr>
            <w:r>
              <w:rPr>
                <w:sz w:val="22"/>
                <w:szCs w:val="22"/>
              </w:rPr>
              <w:t>A</w:t>
            </w:r>
            <w:r w:rsidRPr="0045739C">
              <w:rPr>
                <w:sz w:val="22"/>
                <w:szCs w:val="22"/>
              </w:rPr>
              <w:t>ccording to the Amendment, a liability will be classified as non-current when the entity has the right to defer settlement for at least 12 months after the reporting period, and it "has substance" and is in existence at the end of the reporting period</w:t>
            </w:r>
            <w:r>
              <w:rPr>
                <w:sz w:val="22"/>
                <w:szCs w:val="22"/>
              </w:rPr>
              <w:t>.</w:t>
            </w:r>
          </w:p>
          <w:p w14:paraId="07AD0D89" w14:textId="77777777" w:rsidR="00927C0F" w:rsidRDefault="00927C0F" w:rsidP="00927C0F">
            <w:pPr>
              <w:jc w:val="both"/>
              <w:rPr>
                <w:sz w:val="22"/>
                <w:szCs w:val="22"/>
              </w:rPr>
            </w:pPr>
            <w:r>
              <w:rPr>
                <w:sz w:val="22"/>
                <w:szCs w:val="22"/>
              </w:rPr>
              <w:t xml:space="preserve">According to the Amendment, as published in October 2022, </w:t>
            </w:r>
            <w:r w:rsidRPr="0045739C">
              <w:rPr>
                <w:sz w:val="22"/>
                <w:szCs w:val="22"/>
              </w:rPr>
              <w:t xml:space="preserve">covenants with which the entity must comply after the reporting date, do not affect classification of the liability as current or non-current. Additionally, the </w:t>
            </w:r>
            <w:r>
              <w:rPr>
                <w:sz w:val="22"/>
                <w:szCs w:val="22"/>
              </w:rPr>
              <w:t>A</w:t>
            </w:r>
            <w:r w:rsidRPr="0045739C">
              <w:rPr>
                <w:sz w:val="22"/>
                <w:szCs w:val="22"/>
              </w:rPr>
              <w:t>mendment adds disclosure requirements for liabilities subject to covenants within 12 months after the reporting date, such as disclosure regarding the nature of the covenants, the date they need to be complied with and facts and circumstances that indicate the entity may have difficulty complying with the covenants.</w:t>
            </w:r>
          </w:p>
          <w:p w14:paraId="14ECE6B0" w14:textId="77777777" w:rsidR="00927C0F" w:rsidRDefault="00927C0F" w:rsidP="00927C0F">
            <w:pPr>
              <w:jc w:val="both"/>
              <w:rPr>
                <w:sz w:val="22"/>
                <w:szCs w:val="22"/>
              </w:rPr>
            </w:pPr>
            <w:r w:rsidRPr="0045739C">
              <w:rPr>
                <w:sz w:val="22"/>
                <w:szCs w:val="22"/>
              </w:rPr>
              <w:t>Furthermore, the Amendment clarifies that the conversion option of a liability will affect its classification as current or non-current, other than when the conversion option is recognized as equity.</w:t>
            </w:r>
          </w:p>
          <w:p w14:paraId="5952B577" w14:textId="470639C7" w:rsidR="00927C0F" w:rsidRPr="00927C0F" w:rsidRDefault="00927C0F" w:rsidP="00927C0F">
            <w:pPr>
              <w:jc w:val="both"/>
              <w:rPr>
                <w:sz w:val="20"/>
              </w:rPr>
            </w:pPr>
          </w:p>
        </w:tc>
        <w:tc>
          <w:tcPr>
            <w:tcW w:w="3175" w:type="dxa"/>
            <w:shd w:val="clear" w:color="auto" w:fill="auto"/>
          </w:tcPr>
          <w:p w14:paraId="493C3AC0" w14:textId="77777777" w:rsidR="00927C0F" w:rsidRPr="00927C0F" w:rsidRDefault="00927C0F" w:rsidP="00927C0F">
            <w:pPr>
              <w:jc w:val="both"/>
              <w:rPr>
                <w:sz w:val="22"/>
                <w:szCs w:val="22"/>
              </w:rPr>
            </w:pPr>
            <w:r w:rsidRPr="00927C0F">
              <w:rPr>
                <w:sz w:val="22"/>
                <w:szCs w:val="22"/>
              </w:rPr>
              <w:t>The Amendment is effective for reporting periods beginning on or after January 1, 2024.  The Amendment is applicable retrospectively, including an amendment to comparative data.</w:t>
            </w:r>
          </w:p>
          <w:p w14:paraId="550871F1" w14:textId="3A529645" w:rsidR="00927C0F" w:rsidRPr="00927C0F" w:rsidRDefault="00927C0F" w:rsidP="00927C0F">
            <w:pPr>
              <w:tabs>
                <w:tab w:val="left" w:pos="227"/>
                <w:tab w:val="left" w:pos="397"/>
                <w:tab w:val="left" w:pos="567"/>
              </w:tabs>
              <w:ind w:left="227" w:hanging="227"/>
              <w:rPr>
                <w:sz w:val="20"/>
              </w:rPr>
            </w:pPr>
          </w:p>
        </w:tc>
        <w:tc>
          <w:tcPr>
            <w:tcW w:w="2211" w:type="dxa"/>
          </w:tcPr>
          <w:p w14:paraId="26A6C034" w14:textId="77777777" w:rsidR="00927C0F" w:rsidRPr="00C55CCF" w:rsidRDefault="00927C0F" w:rsidP="00927C0F">
            <w:pPr>
              <w:jc w:val="both"/>
              <w:rPr>
                <w:sz w:val="22"/>
                <w:szCs w:val="22"/>
              </w:rPr>
            </w:pPr>
            <w:proofErr w:type="gramStart"/>
            <w:r w:rsidRPr="00C55CCF">
              <w:rPr>
                <w:sz w:val="22"/>
                <w:szCs w:val="22"/>
              </w:rPr>
              <w:t>Application</w:t>
            </w:r>
            <w:proofErr w:type="gramEnd"/>
            <w:r w:rsidRPr="00C55CCF">
              <w:rPr>
                <w:sz w:val="22"/>
                <w:szCs w:val="22"/>
              </w:rPr>
              <w:t xml:space="preserve"> of the Amendment did not have a material effect on the financial statements.</w:t>
            </w:r>
          </w:p>
          <w:p w14:paraId="400810FA" w14:textId="5B6E878A" w:rsidR="00927C0F" w:rsidRPr="00927C0F" w:rsidRDefault="00927C0F" w:rsidP="00927C0F">
            <w:pPr>
              <w:tabs>
                <w:tab w:val="left" w:pos="227"/>
                <w:tab w:val="left" w:pos="397"/>
                <w:tab w:val="left" w:pos="567"/>
              </w:tabs>
              <w:ind w:left="227" w:hanging="227"/>
              <w:rPr>
                <w:sz w:val="22"/>
                <w:szCs w:val="22"/>
              </w:rPr>
            </w:pPr>
          </w:p>
        </w:tc>
      </w:tr>
    </w:tbl>
    <w:p w14:paraId="42DECDD2" w14:textId="04129EB5" w:rsidR="003B2B96" w:rsidRDefault="003B2B96" w:rsidP="004814D6">
      <w:pPr>
        <w:rPr>
          <w:b/>
          <w:bCs/>
          <w:sz w:val="26"/>
          <w:szCs w:val="26"/>
        </w:rPr>
      </w:pPr>
    </w:p>
    <w:p w14:paraId="6CD10D99" w14:textId="77777777" w:rsidR="00927C0F" w:rsidRDefault="00927C0F" w:rsidP="00927C0F">
      <w:pPr>
        <w:rPr>
          <w:b/>
          <w:bCs/>
          <w:sz w:val="26"/>
          <w:szCs w:val="26"/>
        </w:rPr>
      </w:pPr>
    </w:p>
    <w:p w14:paraId="7A8001B9" w14:textId="1670E216" w:rsidR="005C3493" w:rsidRPr="00237FC5" w:rsidRDefault="00927C0F" w:rsidP="00927C0F">
      <w:pPr>
        <w:rPr>
          <w:b/>
          <w:bCs/>
          <w:sz w:val="22"/>
          <w:szCs w:val="22"/>
        </w:rPr>
        <w:sectPr w:rsidR="005C3493" w:rsidRPr="00237FC5" w:rsidSect="00593E8F">
          <w:endnotePr>
            <w:numFmt w:val="lowerLetter"/>
          </w:endnotePr>
          <w:type w:val="nextColumn"/>
          <w:pgSz w:w="16838" w:h="11906" w:orient="landscape"/>
          <w:pgMar w:top="1134" w:right="1134" w:bottom="1134" w:left="1134" w:header="567" w:footer="567" w:gutter="0"/>
          <w:paperSrc w:first="15" w:other="15"/>
          <w:cols w:space="720"/>
          <w:bidi/>
          <w:docGrid w:linePitch="326"/>
        </w:sectPr>
      </w:pPr>
      <w:r w:rsidRPr="00237FC5">
        <w:rPr>
          <w:b/>
          <w:bCs/>
          <w:sz w:val="22"/>
          <w:szCs w:val="22"/>
        </w:rPr>
        <w:t xml:space="preserve"> </w:t>
      </w:r>
    </w:p>
    <w:p w14:paraId="202D5CF4" w14:textId="77777777" w:rsidR="004D260B" w:rsidRPr="0020502A" w:rsidRDefault="004D260B" w:rsidP="0020502A">
      <w:pPr>
        <w:rPr>
          <w:rFonts w:asciiTheme="majorBidi" w:hAnsiTheme="majorBidi" w:cstheme="majorBidi"/>
          <w:b/>
          <w:bCs/>
          <w:color w:val="000000"/>
          <w:sz w:val="20"/>
        </w:rPr>
      </w:pPr>
      <w:bookmarkStart w:id="36" w:name="H3_Note_3__Significant_Accounting_Polici"/>
    </w:p>
    <w:p w14:paraId="580B886D" w14:textId="1FDDEF2D" w:rsidR="00C35D07" w:rsidRPr="0020502A" w:rsidRDefault="00C35D07" w:rsidP="0020502A">
      <w:pPr>
        <w:pStyle w:val="BEUR0"/>
        <w:jc w:val="both"/>
        <w:outlineLvl w:val="2"/>
        <w:rPr>
          <w:b w:val="0"/>
          <w:bCs w:val="0"/>
          <w:sz w:val="26"/>
          <w:szCs w:val="26"/>
        </w:rPr>
      </w:pPr>
      <w:r w:rsidRPr="0020502A">
        <w:rPr>
          <w:rFonts w:ascii="Times New Roman" w:hAnsi="Times New Roman"/>
          <w:sz w:val="26"/>
          <w:szCs w:val="26"/>
        </w:rPr>
        <w:t>Note 3 – Significant Accounting Policies</w:t>
      </w:r>
    </w:p>
    <w:bookmarkEnd w:id="36"/>
    <w:p w14:paraId="4D7D9CE8" w14:textId="77777777" w:rsidR="00C35D07" w:rsidRPr="004D260B" w:rsidRDefault="00C35D07" w:rsidP="00CC1EFE">
      <w:pPr>
        <w:ind w:left="720"/>
        <w:jc w:val="both"/>
        <w:rPr>
          <w:b/>
          <w:bCs/>
          <w:sz w:val="22"/>
          <w:szCs w:val="22"/>
        </w:rPr>
      </w:pPr>
    </w:p>
    <w:p w14:paraId="66F94BEB" w14:textId="3992131C" w:rsidR="00C35D07" w:rsidRPr="004D260B" w:rsidRDefault="00AE71F0" w:rsidP="00C5462B">
      <w:pPr>
        <w:pStyle w:val="af2"/>
        <w:numPr>
          <w:ilvl w:val="0"/>
          <w:numId w:val="22"/>
        </w:numPr>
        <w:jc w:val="both"/>
        <w:outlineLvl w:val="3"/>
        <w:rPr>
          <w:sz w:val="22"/>
          <w:szCs w:val="22"/>
        </w:rPr>
      </w:pPr>
      <w:bookmarkStart w:id="37" w:name="H4_Consolidated_financial_statements"/>
      <w:r w:rsidRPr="004D260B">
        <w:rPr>
          <w:b/>
          <w:bCs/>
          <w:sz w:val="22"/>
          <w:szCs w:val="22"/>
        </w:rPr>
        <w:t>Consolidated financial statements</w:t>
      </w:r>
    </w:p>
    <w:bookmarkEnd w:id="37"/>
    <w:p w14:paraId="04E255D5" w14:textId="77777777" w:rsidR="00C35D07" w:rsidRPr="00F02921" w:rsidRDefault="00C35D07" w:rsidP="00CC1EFE">
      <w:pPr>
        <w:autoSpaceDE w:val="0"/>
        <w:autoSpaceDN w:val="0"/>
        <w:adjustRightInd w:val="0"/>
        <w:ind w:left="1440" w:hanging="720"/>
        <w:jc w:val="both"/>
        <w:rPr>
          <w:sz w:val="22"/>
          <w:szCs w:val="22"/>
        </w:rPr>
      </w:pPr>
    </w:p>
    <w:p w14:paraId="644467FC" w14:textId="77777777" w:rsidR="00AE71F0" w:rsidRPr="007715B5" w:rsidRDefault="00AE71F0" w:rsidP="00387E42">
      <w:pPr>
        <w:autoSpaceDE w:val="0"/>
        <w:autoSpaceDN w:val="0"/>
        <w:adjustRightInd w:val="0"/>
        <w:ind w:left="1080"/>
        <w:jc w:val="both"/>
        <w:rPr>
          <w:sz w:val="22"/>
          <w:szCs w:val="22"/>
        </w:rPr>
      </w:pPr>
      <w:r w:rsidRPr="007715B5">
        <w:rPr>
          <w:sz w:val="22"/>
          <w:szCs w:val="22"/>
        </w:rPr>
        <w:t xml:space="preserve">The consolidated financial statements comprise the financial statements of companies that are controlled by the Company (subsidiaries). Control is achieved when the Company is exposed, or has rights, to variable returns from its involvement with the investee and </w:t>
      </w:r>
      <w:proofErr w:type="gramStart"/>
      <w:r w:rsidRPr="007715B5">
        <w:rPr>
          <w:sz w:val="22"/>
          <w:szCs w:val="22"/>
        </w:rPr>
        <w:t>has the ability to</w:t>
      </w:r>
      <w:proofErr w:type="gramEnd"/>
      <w:r w:rsidRPr="007715B5">
        <w:rPr>
          <w:sz w:val="22"/>
          <w:szCs w:val="22"/>
        </w:rPr>
        <w:t xml:space="preserve"> affect those returns through its power over the investee. Potential voting rights are considered when assessing whether an entity has control. The consolidation of the financial statements commences on the date on which control is obtained and ends when such control ceases.</w:t>
      </w:r>
    </w:p>
    <w:p w14:paraId="2F561473" w14:textId="77777777" w:rsidR="00AE71F0" w:rsidRPr="007715B5" w:rsidRDefault="00AE71F0" w:rsidP="00387E42">
      <w:pPr>
        <w:autoSpaceDE w:val="0"/>
        <w:autoSpaceDN w:val="0"/>
        <w:adjustRightInd w:val="0"/>
        <w:ind w:left="1800" w:hanging="720"/>
        <w:jc w:val="both"/>
        <w:rPr>
          <w:sz w:val="22"/>
          <w:szCs w:val="22"/>
        </w:rPr>
      </w:pPr>
    </w:p>
    <w:p w14:paraId="145B5AD1" w14:textId="77777777" w:rsidR="00AE71F0" w:rsidRPr="007715B5" w:rsidRDefault="00AE71F0" w:rsidP="00387E42">
      <w:pPr>
        <w:autoSpaceDE w:val="0"/>
        <w:autoSpaceDN w:val="0"/>
        <w:adjustRightInd w:val="0"/>
        <w:ind w:left="1080"/>
        <w:jc w:val="both"/>
        <w:rPr>
          <w:sz w:val="22"/>
          <w:szCs w:val="22"/>
        </w:rPr>
      </w:pPr>
      <w:r w:rsidRPr="007715B5">
        <w:rPr>
          <w:sz w:val="22"/>
          <w:szCs w:val="22"/>
        </w:rPr>
        <w:t>The financial statements of the Company and of the subsidiaries are prepared as of the same dates and periods. The consolidated financial statements are prepared using uniform accounting policies by all companies in the Group. Significant intragroup balances and transactions and gains or losses resulting from intragroup transactions are eliminated in full in the consolidated financial statements.</w:t>
      </w:r>
    </w:p>
    <w:p w14:paraId="0FB7D201" w14:textId="77777777" w:rsidR="00AE71F0" w:rsidRPr="007715B5" w:rsidRDefault="00AE71F0" w:rsidP="00387E42">
      <w:pPr>
        <w:autoSpaceDE w:val="0"/>
        <w:autoSpaceDN w:val="0"/>
        <w:adjustRightInd w:val="0"/>
        <w:ind w:left="1800" w:hanging="720"/>
        <w:jc w:val="both"/>
        <w:rPr>
          <w:sz w:val="22"/>
          <w:szCs w:val="22"/>
        </w:rPr>
      </w:pPr>
    </w:p>
    <w:p w14:paraId="1A002E2F" w14:textId="77777777" w:rsidR="00AE71F0" w:rsidRPr="007715B5" w:rsidRDefault="00AE71F0" w:rsidP="00387E42">
      <w:pPr>
        <w:autoSpaceDE w:val="0"/>
        <w:autoSpaceDN w:val="0"/>
        <w:adjustRightInd w:val="0"/>
        <w:ind w:left="1080"/>
        <w:jc w:val="both"/>
        <w:rPr>
          <w:sz w:val="22"/>
          <w:szCs w:val="22"/>
        </w:rPr>
      </w:pPr>
      <w:r w:rsidRPr="007715B5">
        <w:rPr>
          <w:sz w:val="22"/>
          <w:szCs w:val="22"/>
        </w:rPr>
        <w:t xml:space="preserve">Non-controlling interests in subsidiaries represent the equity in subsidiaries not attributable, directly or indirectly, to a parent. Non-controlling interests are presented in equity separately from the equity attributable to the equity holders of the Company. Profit or loss and components of other comprehensive income are attributed to the Company and to non-controlling interests. Losses are attributed to non-controlling interests even if they result in a negative balance of non-controlling interests in the consolidated statement of financial position. </w:t>
      </w:r>
    </w:p>
    <w:p w14:paraId="13F86EEF" w14:textId="77777777" w:rsidR="00AE71F0" w:rsidRPr="007715B5" w:rsidRDefault="00AE71F0" w:rsidP="00387E42">
      <w:pPr>
        <w:autoSpaceDE w:val="0"/>
        <w:autoSpaceDN w:val="0"/>
        <w:adjustRightInd w:val="0"/>
        <w:ind w:left="1800" w:hanging="720"/>
        <w:jc w:val="both"/>
        <w:rPr>
          <w:sz w:val="22"/>
          <w:szCs w:val="22"/>
        </w:rPr>
      </w:pPr>
    </w:p>
    <w:p w14:paraId="3CC48098" w14:textId="77777777" w:rsidR="00AE71F0" w:rsidRPr="007715B5" w:rsidRDefault="00AE71F0" w:rsidP="00387E42">
      <w:pPr>
        <w:autoSpaceDE w:val="0"/>
        <w:autoSpaceDN w:val="0"/>
        <w:adjustRightInd w:val="0"/>
        <w:ind w:left="1080"/>
        <w:jc w:val="both"/>
        <w:rPr>
          <w:sz w:val="22"/>
          <w:szCs w:val="22"/>
        </w:rPr>
      </w:pPr>
      <w:r w:rsidRPr="007715B5">
        <w:rPr>
          <w:sz w:val="22"/>
          <w:szCs w:val="22"/>
        </w:rPr>
        <w:t>A change in the ownership interest of a subsidiary, without a loss of control, is accounted for as a change in equity by adjusting the carrying amount of the non-controlling interests with a corresponding adjustment of the equity attributable to equity holders of the Company less / plus the consideration paid or received.</w:t>
      </w:r>
    </w:p>
    <w:p w14:paraId="598622C8" w14:textId="77777777" w:rsidR="00AE71F0" w:rsidRPr="007715B5" w:rsidRDefault="00AE71F0" w:rsidP="00387E42">
      <w:pPr>
        <w:autoSpaceDE w:val="0"/>
        <w:autoSpaceDN w:val="0"/>
        <w:adjustRightInd w:val="0"/>
        <w:ind w:left="1800" w:hanging="720"/>
        <w:jc w:val="both"/>
        <w:rPr>
          <w:sz w:val="22"/>
          <w:szCs w:val="22"/>
        </w:rPr>
      </w:pPr>
    </w:p>
    <w:p w14:paraId="09F12B26" w14:textId="77777777" w:rsidR="00AE71F0" w:rsidRPr="007715B5" w:rsidRDefault="00AE71F0" w:rsidP="00387E42">
      <w:pPr>
        <w:autoSpaceDE w:val="0"/>
        <w:autoSpaceDN w:val="0"/>
        <w:adjustRightInd w:val="0"/>
        <w:ind w:left="360" w:firstLine="720"/>
        <w:jc w:val="both"/>
        <w:rPr>
          <w:sz w:val="22"/>
          <w:szCs w:val="22"/>
        </w:rPr>
      </w:pPr>
      <w:r w:rsidRPr="007715B5">
        <w:rPr>
          <w:sz w:val="22"/>
          <w:szCs w:val="22"/>
        </w:rPr>
        <w:t>Upon the disposal of a subsidiary resulting in loss of control, the Company:</w:t>
      </w:r>
    </w:p>
    <w:p w14:paraId="04111824" w14:textId="77777777" w:rsidR="00AE71F0" w:rsidRPr="007715B5" w:rsidRDefault="00AE71F0" w:rsidP="00387E42">
      <w:pPr>
        <w:autoSpaceDE w:val="0"/>
        <w:autoSpaceDN w:val="0"/>
        <w:adjustRightInd w:val="0"/>
        <w:ind w:left="1800" w:hanging="720"/>
        <w:jc w:val="both"/>
        <w:rPr>
          <w:sz w:val="22"/>
          <w:szCs w:val="22"/>
        </w:rPr>
      </w:pPr>
    </w:p>
    <w:p w14:paraId="1ED7CD8F" w14:textId="77777777" w:rsidR="00AE71F0" w:rsidRPr="007715B5" w:rsidRDefault="00AE71F0" w:rsidP="00387E42">
      <w:pPr>
        <w:autoSpaceDE w:val="0"/>
        <w:autoSpaceDN w:val="0"/>
        <w:adjustRightInd w:val="0"/>
        <w:ind w:left="360" w:firstLine="720"/>
        <w:jc w:val="both"/>
        <w:rPr>
          <w:sz w:val="22"/>
          <w:szCs w:val="22"/>
        </w:rPr>
      </w:pPr>
      <w:r w:rsidRPr="007715B5">
        <w:rPr>
          <w:sz w:val="22"/>
          <w:szCs w:val="22"/>
        </w:rPr>
        <w:t>-</w:t>
      </w:r>
      <w:r w:rsidRPr="007715B5">
        <w:rPr>
          <w:sz w:val="22"/>
          <w:szCs w:val="22"/>
        </w:rPr>
        <w:tab/>
        <w:t>derecognizes the subsidiary's assets (including goodwill) and liabilities.</w:t>
      </w:r>
    </w:p>
    <w:p w14:paraId="57F5AE6E" w14:textId="77777777" w:rsidR="00AE71F0" w:rsidRPr="007715B5" w:rsidRDefault="00AE71F0" w:rsidP="00387E42">
      <w:pPr>
        <w:autoSpaceDE w:val="0"/>
        <w:autoSpaceDN w:val="0"/>
        <w:adjustRightInd w:val="0"/>
        <w:ind w:left="360" w:firstLine="720"/>
        <w:jc w:val="both"/>
        <w:rPr>
          <w:sz w:val="22"/>
          <w:szCs w:val="22"/>
        </w:rPr>
      </w:pPr>
      <w:r w:rsidRPr="007715B5">
        <w:rPr>
          <w:sz w:val="22"/>
          <w:szCs w:val="22"/>
        </w:rPr>
        <w:t>-</w:t>
      </w:r>
      <w:r w:rsidRPr="007715B5">
        <w:rPr>
          <w:sz w:val="22"/>
          <w:szCs w:val="22"/>
        </w:rPr>
        <w:tab/>
        <w:t>derecognizes the carrying amount of non-controlling interests.</w:t>
      </w:r>
    </w:p>
    <w:p w14:paraId="073196BE" w14:textId="77777777" w:rsidR="00AE71F0" w:rsidRPr="007715B5" w:rsidRDefault="00AE71F0" w:rsidP="00387E42">
      <w:pPr>
        <w:autoSpaceDE w:val="0"/>
        <w:autoSpaceDN w:val="0"/>
        <w:adjustRightInd w:val="0"/>
        <w:ind w:left="1080"/>
        <w:jc w:val="both"/>
        <w:rPr>
          <w:sz w:val="22"/>
          <w:szCs w:val="22"/>
        </w:rPr>
      </w:pPr>
      <w:r w:rsidRPr="007715B5">
        <w:rPr>
          <w:sz w:val="22"/>
          <w:szCs w:val="22"/>
        </w:rPr>
        <w:t>-</w:t>
      </w:r>
      <w:r w:rsidRPr="007715B5">
        <w:rPr>
          <w:sz w:val="22"/>
          <w:szCs w:val="22"/>
        </w:rPr>
        <w:tab/>
        <w:t>derecognizes the adjustments arising from translating financial statements carried to equity.</w:t>
      </w:r>
    </w:p>
    <w:p w14:paraId="1470B644" w14:textId="77777777" w:rsidR="00AE71F0" w:rsidRPr="007715B5" w:rsidRDefault="00AE71F0" w:rsidP="00387E42">
      <w:pPr>
        <w:autoSpaceDE w:val="0"/>
        <w:autoSpaceDN w:val="0"/>
        <w:adjustRightInd w:val="0"/>
        <w:ind w:left="360" w:firstLine="720"/>
        <w:jc w:val="both"/>
        <w:rPr>
          <w:sz w:val="22"/>
          <w:szCs w:val="22"/>
        </w:rPr>
      </w:pPr>
      <w:r w:rsidRPr="007715B5">
        <w:rPr>
          <w:sz w:val="22"/>
          <w:szCs w:val="22"/>
        </w:rPr>
        <w:t>-</w:t>
      </w:r>
      <w:r w:rsidRPr="007715B5">
        <w:rPr>
          <w:sz w:val="22"/>
          <w:szCs w:val="22"/>
        </w:rPr>
        <w:tab/>
        <w:t>recognizes the fair value of the consideration received.</w:t>
      </w:r>
    </w:p>
    <w:p w14:paraId="430D0DDE" w14:textId="14ECBB2D" w:rsidR="00AE71F0" w:rsidRPr="007715B5" w:rsidRDefault="00AE71F0" w:rsidP="00387E42">
      <w:pPr>
        <w:autoSpaceDE w:val="0"/>
        <w:autoSpaceDN w:val="0"/>
        <w:adjustRightInd w:val="0"/>
        <w:ind w:left="360" w:firstLine="720"/>
        <w:jc w:val="both"/>
        <w:rPr>
          <w:sz w:val="22"/>
          <w:szCs w:val="22"/>
        </w:rPr>
      </w:pPr>
      <w:r w:rsidRPr="007715B5">
        <w:rPr>
          <w:sz w:val="22"/>
          <w:szCs w:val="22"/>
        </w:rPr>
        <w:t>-</w:t>
      </w:r>
      <w:r w:rsidRPr="007715B5">
        <w:rPr>
          <w:sz w:val="22"/>
          <w:szCs w:val="22"/>
        </w:rPr>
        <w:tab/>
        <w:t>recognizes the fair value of any remaining investment.</w:t>
      </w:r>
    </w:p>
    <w:p w14:paraId="66D9DC35" w14:textId="77777777" w:rsidR="00AE71F0" w:rsidRPr="007715B5" w:rsidRDefault="00AE71F0" w:rsidP="00387E42">
      <w:pPr>
        <w:autoSpaceDE w:val="0"/>
        <w:autoSpaceDN w:val="0"/>
        <w:adjustRightInd w:val="0"/>
        <w:ind w:left="1800" w:hanging="720"/>
        <w:jc w:val="both"/>
        <w:rPr>
          <w:sz w:val="22"/>
          <w:szCs w:val="22"/>
        </w:rPr>
      </w:pPr>
      <w:r w:rsidRPr="007715B5">
        <w:rPr>
          <w:sz w:val="22"/>
          <w:szCs w:val="22"/>
        </w:rPr>
        <w:t>-</w:t>
      </w:r>
      <w:r w:rsidRPr="007715B5">
        <w:rPr>
          <w:sz w:val="22"/>
          <w:szCs w:val="22"/>
        </w:rPr>
        <w:tab/>
        <w:t>reclassifies the components previously recognized in other comprehensive income (loss) on the same basis as would be required if the subsidiary had directly disposed of the related assets or liabilities.</w:t>
      </w:r>
    </w:p>
    <w:p w14:paraId="47E642A1" w14:textId="54CFE829" w:rsidR="00AE71F0" w:rsidRDefault="00AE71F0" w:rsidP="00387E42">
      <w:pPr>
        <w:ind w:left="360" w:firstLine="720"/>
        <w:jc w:val="both"/>
        <w:rPr>
          <w:sz w:val="22"/>
          <w:szCs w:val="22"/>
        </w:rPr>
      </w:pPr>
      <w:r w:rsidRPr="007715B5">
        <w:rPr>
          <w:sz w:val="22"/>
          <w:szCs w:val="22"/>
        </w:rPr>
        <w:t>-</w:t>
      </w:r>
      <w:r w:rsidRPr="007715B5">
        <w:rPr>
          <w:sz w:val="22"/>
          <w:szCs w:val="22"/>
        </w:rPr>
        <w:tab/>
        <w:t>recognizes any resulting difference (surplus or deficit) as gain or loss.</w:t>
      </w:r>
      <w:r w:rsidRPr="007715B5" w:rsidDel="00AE71F0">
        <w:rPr>
          <w:sz w:val="22"/>
          <w:szCs w:val="22"/>
        </w:rPr>
        <w:t xml:space="preserve"> </w:t>
      </w:r>
    </w:p>
    <w:p w14:paraId="00C4C6D6" w14:textId="7FB40549" w:rsidR="00AE71F0" w:rsidRDefault="00AE71F0" w:rsidP="00AE71F0">
      <w:pPr>
        <w:ind w:firstLine="720"/>
        <w:jc w:val="both"/>
        <w:rPr>
          <w:sz w:val="22"/>
          <w:szCs w:val="22"/>
        </w:rPr>
      </w:pPr>
    </w:p>
    <w:p w14:paraId="0087EE14" w14:textId="508BEBD8" w:rsidR="007736EA" w:rsidRDefault="007736EA" w:rsidP="00C5462B">
      <w:pPr>
        <w:pStyle w:val="af2"/>
        <w:numPr>
          <w:ilvl w:val="0"/>
          <w:numId w:val="22"/>
        </w:numPr>
        <w:jc w:val="both"/>
        <w:outlineLvl w:val="3"/>
        <w:rPr>
          <w:b/>
          <w:bCs/>
          <w:sz w:val="22"/>
          <w:szCs w:val="22"/>
        </w:rPr>
      </w:pPr>
      <w:bookmarkStart w:id="38" w:name="H4_Business_combinations_and_goodwill"/>
      <w:r>
        <w:rPr>
          <w:b/>
          <w:bCs/>
          <w:sz w:val="22"/>
          <w:szCs w:val="22"/>
        </w:rPr>
        <w:t>Business combinations and goodwill</w:t>
      </w:r>
    </w:p>
    <w:bookmarkEnd w:id="38"/>
    <w:p w14:paraId="79C52332" w14:textId="77777777" w:rsidR="007736EA" w:rsidRDefault="007736EA" w:rsidP="007736EA">
      <w:pPr>
        <w:jc w:val="both"/>
        <w:rPr>
          <w:b/>
          <w:bCs/>
          <w:sz w:val="22"/>
          <w:szCs w:val="22"/>
        </w:rPr>
      </w:pPr>
    </w:p>
    <w:p w14:paraId="383BBA3B" w14:textId="4A87FE6B" w:rsidR="00AE71F0" w:rsidRDefault="007736EA" w:rsidP="007736EA">
      <w:pPr>
        <w:pStyle w:val="af2"/>
        <w:ind w:left="1080"/>
        <w:jc w:val="both"/>
        <w:rPr>
          <w:sz w:val="22"/>
          <w:szCs w:val="22"/>
        </w:rPr>
      </w:pPr>
      <w:r w:rsidRPr="007736EA">
        <w:rPr>
          <w:sz w:val="22"/>
          <w:szCs w:val="22"/>
        </w:rPr>
        <w:t xml:space="preserve">Business combinations are accounted for by applying the acquisition method. The cost of the acquisition is measured at the fair value of the consideration transferred on the acquisition date with the addition of non-controlling interests in the acquiree. In each business combination, the Company chooses whether to measure the non-controlling </w:t>
      </w:r>
      <w:proofErr w:type="gramStart"/>
      <w:r w:rsidRPr="007736EA">
        <w:rPr>
          <w:sz w:val="22"/>
          <w:szCs w:val="22"/>
        </w:rPr>
        <w:t>interests</w:t>
      </w:r>
      <w:proofErr w:type="gramEnd"/>
      <w:r w:rsidRPr="007736EA">
        <w:rPr>
          <w:sz w:val="22"/>
          <w:szCs w:val="22"/>
        </w:rPr>
        <w:t xml:space="preserve"> in the acquiree based on their fair value on the acquisition date or at their proportionate share in the fair value of the acquiree's net identifiable assets</w:t>
      </w:r>
      <w:r>
        <w:rPr>
          <w:sz w:val="22"/>
          <w:szCs w:val="22"/>
        </w:rPr>
        <w:t>.</w:t>
      </w:r>
    </w:p>
    <w:p w14:paraId="3124FE04" w14:textId="77777777" w:rsidR="007736EA" w:rsidRDefault="007736EA" w:rsidP="007736EA">
      <w:pPr>
        <w:pStyle w:val="af2"/>
        <w:ind w:left="1080"/>
        <w:rPr>
          <w:sz w:val="22"/>
          <w:szCs w:val="22"/>
        </w:rPr>
      </w:pPr>
      <w:r w:rsidRPr="007736EA">
        <w:rPr>
          <w:sz w:val="22"/>
          <w:szCs w:val="22"/>
        </w:rPr>
        <w:t>Direct acquisition costs are carried to the statement of profit or loss as incurred.</w:t>
      </w:r>
    </w:p>
    <w:p w14:paraId="597D0792" w14:textId="77777777" w:rsidR="004D260B" w:rsidRPr="007715B5" w:rsidRDefault="004D260B" w:rsidP="004D260B">
      <w:pPr>
        <w:pStyle w:val="af2"/>
        <w:ind w:left="1080"/>
        <w:jc w:val="both"/>
        <w:rPr>
          <w:sz w:val="22"/>
          <w:szCs w:val="22"/>
        </w:rPr>
      </w:pPr>
      <w:r w:rsidRPr="007736EA">
        <w:rPr>
          <w:sz w:val="22"/>
          <w:szCs w:val="22"/>
        </w:rPr>
        <w:t>In a business combination achieved in stages, equity interests in the acquiree that had been held by the acquirer prior to obtaining control are measured at the acquisition date fair value while recognizing a gain or loss resulting from the revaluation of the prior investment on the date of achieving control</w:t>
      </w:r>
      <w:r>
        <w:rPr>
          <w:sz w:val="22"/>
          <w:szCs w:val="22"/>
        </w:rPr>
        <w:t>.</w:t>
      </w:r>
    </w:p>
    <w:p w14:paraId="7331A103" w14:textId="7C371B0F" w:rsidR="004D260B" w:rsidRDefault="004D260B">
      <w:pPr>
        <w:rPr>
          <w:sz w:val="22"/>
          <w:szCs w:val="22"/>
        </w:rPr>
      </w:pPr>
      <w:r>
        <w:rPr>
          <w:sz w:val="22"/>
          <w:szCs w:val="22"/>
        </w:rPr>
        <w:br w:type="page"/>
      </w:r>
    </w:p>
    <w:p w14:paraId="517B90D4" w14:textId="77777777" w:rsidR="004D260B" w:rsidRDefault="004D260B" w:rsidP="007736EA">
      <w:pPr>
        <w:pStyle w:val="af2"/>
        <w:ind w:left="1080"/>
        <w:rPr>
          <w:sz w:val="22"/>
          <w:szCs w:val="22"/>
        </w:rPr>
      </w:pPr>
    </w:p>
    <w:p w14:paraId="6AC2FE22" w14:textId="77777777" w:rsidR="004D260B" w:rsidRPr="004D260B" w:rsidRDefault="004D260B" w:rsidP="004D260B">
      <w:pPr>
        <w:rPr>
          <w:b/>
          <w:bCs/>
          <w:sz w:val="22"/>
          <w:szCs w:val="22"/>
        </w:rPr>
      </w:pPr>
      <w:r w:rsidRPr="004D260B">
        <w:rPr>
          <w:b/>
          <w:bCs/>
          <w:sz w:val="22"/>
          <w:szCs w:val="22"/>
        </w:rPr>
        <w:t>Note 3 - Significant Accounting Policies (cont’d)</w:t>
      </w:r>
    </w:p>
    <w:p w14:paraId="559C521D" w14:textId="77777777" w:rsidR="004D260B" w:rsidRPr="004D260B" w:rsidRDefault="004D260B" w:rsidP="004D260B">
      <w:pPr>
        <w:autoSpaceDE w:val="0"/>
        <w:autoSpaceDN w:val="0"/>
        <w:adjustRightInd w:val="0"/>
        <w:ind w:firstLine="720"/>
        <w:jc w:val="both"/>
        <w:rPr>
          <w:sz w:val="22"/>
          <w:szCs w:val="22"/>
        </w:rPr>
      </w:pPr>
    </w:p>
    <w:p w14:paraId="690714B9" w14:textId="77777777" w:rsidR="004D260B" w:rsidRPr="004D260B" w:rsidRDefault="004D260B" w:rsidP="00C5462B">
      <w:pPr>
        <w:pStyle w:val="af2"/>
        <w:numPr>
          <w:ilvl w:val="0"/>
          <w:numId w:val="23"/>
        </w:numPr>
        <w:jc w:val="both"/>
        <w:rPr>
          <w:b/>
          <w:bCs/>
          <w:sz w:val="22"/>
          <w:szCs w:val="22"/>
        </w:rPr>
      </w:pPr>
      <w:bookmarkStart w:id="39" w:name="H4_Business_combinations_and_goodwill_Co"/>
      <w:r w:rsidRPr="004D260B">
        <w:rPr>
          <w:b/>
          <w:bCs/>
          <w:sz w:val="22"/>
          <w:szCs w:val="22"/>
        </w:rPr>
        <w:t>Business combinations and goodwill (Cont’d)</w:t>
      </w:r>
    </w:p>
    <w:bookmarkEnd w:id="39"/>
    <w:p w14:paraId="3F69FF5E" w14:textId="77777777" w:rsidR="004D260B" w:rsidRPr="007736EA" w:rsidRDefault="004D260B" w:rsidP="007736EA">
      <w:pPr>
        <w:pStyle w:val="af2"/>
        <w:ind w:left="1080"/>
        <w:rPr>
          <w:sz w:val="22"/>
          <w:szCs w:val="22"/>
        </w:rPr>
      </w:pPr>
    </w:p>
    <w:p w14:paraId="355CBBFF" w14:textId="1CE64E3E" w:rsidR="007736EA" w:rsidRDefault="007736EA" w:rsidP="007736EA">
      <w:pPr>
        <w:pStyle w:val="af2"/>
        <w:ind w:left="1210"/>
        <w:jc w:val="both"/>
        <w:rPr>
          <w:sz w:val="22"/>
          <w:szCs w:val="22"/>
        </w:rPr>
      </w:pPr>
      <w:r w:rsidRPr="007715B5">
        <w:rPr>
          <w:sz w:val="22"/>
          <w:szCs w:val="22"/>
        </w:rPr>
        <w:t xml:space="preserve">Contingent consideration is recognized at fair value on the acquisition date and classified as a financial asset or liability in accordance with </w:t>
      </w:r>
      <w:r w:rsidR="00C01EF2">
        <w:rPr>
          <w:sz w:val="22"/>
          <w:szCs w:val="22"/>
        </w:rPr>
        <w:t>I</w:t>
      </w:r>
      <w:r w:rsidR="00C01EF2">
        <w:rPr>
          <w:sz w:val="22"/>
          <w:szCs w:val="22"/>
          <w:lang w:bidi="he-IL"/>
        </w:rPr>
        <w:t xml:space="preserve">FRS </w:t>
      </w:r>
      <w:r w:rsidR="00C01EF2">
        <w:rPr>
          <w:rFonts w:hint="cs"/>
          <w:sz w:val="22"/>
          <w:szCs w:val="22"/>
          <w:rtl/>
          <w:lang w:bidi="he-IL"/>
        </w:rPr>
        <w:t>9</w:t>
      </w:r>
      <w:r w:rsidRPr="007715B5">
        <w:rPr>
          <w:sz w:val="22"/>
          <w:szCs w:val="22"/>
        </w:rPr>
        <w:t>. Subsequent changes in the fair value of the contingent consideration are recognized in profit or loss. If the contingent consideration is classified as an equity instrument, it is measured at fair value on the acquisition date without subsequent remeasurement.</w:t>
      </w:r>
    </w:p>
    <w:p w14:paraId="6632CFDC" w14:textId="485C8B3D" w:rsidR="007736EA" w:rsidRDefault="007736EA" w:rsidP="007736EA">
      <w:pPr>
        <w:pStyle w:val="af2"/>
        <w:ind w:left="1210"/>
        <w:jc w:val="both"/>
        <w:rPr>
          <w:sz w:val="22"/>
          <w:szCs w:val="22"/>
        </w:rPr>
      </w:pPr>
    </w:p>
    <w:p w14:paraId="215671E9" w14:textId="32920E3C" w:rsidR="007736EA" w:rsidRPr="007736EA" w:rsidRDefault="007736EA" w:rsidP="00C5462B">
      <w:pPr>
        <w:pStyle w:val="af2"/>
        <w:numPr>
          <w:ilvl w:val="0"/>
          <w:numId w:val="23"/>
        </w:numPr>
        <w:jc w:val="both"/>
        <w:outlineLvl w:val="3"/>
        <w:rPr>
          <w:b/>
          <w:bCs/>
          <w:sz w:val="22"/>
          <w:szCs w:val="22"/>
        </w:rPr>
      </w:pPr>
      <w:bookmarkStart w:id="40" w:name="H4_Investment_in_joint_arrangements"/>
      <w:r w:rsidRPr="007736EA">
        <w:rPr>
          <w:b/>
          <w:bCs/>
          <w:sz w:val="22"/>
          <w:szCs w:val="22"/>
        </w:rPr>
        <w:t>Investment in joint arrangements</w:t>
      </w:r>
    </w:p>
    <w:bookmarkEnd w:id="40"/>
    <w:p w14:paraId="7DF3EBFC" w14:textId="1D6315B9" w:rsidR="00AE71F0" w:rsidRDefault="00AE71F0" w:rsidP="00AE71F0">
      <w:pPr>
        <w:ind w:left="1440"/>
        <w:jc w:val="both"/>
        <w:rPr>
          <w:spacing w:val="-1"/>
          <w:sz w:val="22"/>
          <w:szCs w:val="22"/>
        </w:rPr>
      </w:pPr>
    </w:p>
    <w:p w14:paraId="6EE9A49D" w14:textId="7ED3E675" w:rsidR="00917832" w:rsidRPr="007715B5" w:rsidRDefault="00917832" w:rsidP="00387E42">
      <w:pPr>
        <w:ind w:left="1210"/>
        <w:rPr>
          <w:spacing w:val="-1"/>
          <w:sz w:val="22"/>
          <w:szCs w:val="22"/>
        </w:rPr>
      </w:pPr>
      <w:r w:rsidRPr="007715B5">
        <w:rPr>
          <w:spacing w:val="-1"/>
          <w:sz w:val="22"/>
          <w:szCs w:val="22"/>
        </w:rPr>
        <w:t xml:space="preserve">Joint arrangements are arrangements in which the Company has joint control. Joint control is the contractually agreed sharing of control of an arrangement, which exists only when decisions about the relevant activities require the unanimous consent of the parties sharing control. </w:t>
      </w:r>
    </w:p>
    <w:p w14:paraId="145CFACC" w14:textId="77777777" w:rsidR="00917832" w:rsidRPr="007715B5" w:rsidRDefault="00917832" w:rsidP="00387E42">
      <w:pPr>
        <w:rPr>
          <w:spacing w:val="-1"/>
          <w:sz w:val="22"/>
          <w:szCs w:val="22"/>
        </w:rPr>
      </w:pPr>
    </w:p>
    <w:p w14:paraId="4E0E1CFB" w14:textId="77777777" w:rsidR="00917832" w:rsidRPr="007715B5" w:rsidRDefault="00917832" w:rsidP="00387E42">
      <w:pPr>
        <w:ind w:left="490" w:firstLine="720"/>
        <w:rPr>
          <w:spacing w:val="-1"/>
          <w:sz w:val="22"/>
          <w:szCs w:val="22"/>
        </w:rPr>
      </w:pPr>
      <w:r w:rsidRPr="007715B5">
        <w:rPr>
          <w:spacing w:val="-1"/>
          <w:sz w:val="22"/>
          <w:szCs w:val="22"/>
        </w:rPr>
        <w:t>1.</w:t>
      </w:r>
      <w:r w:rsidRPr="007715B5">
        <w:rPr>
          <w:spacing w:val="-1"/>
          <w:sz w:val="22"/>
          <w:szCs w:val="22"/>
        </w:rPr>
        <w:tab/>
        <w:t>Joint ventures:</w:t>
      </w:r>
    </w:p>
    <w:p w14:paraId="0E7A9DDB" w14:textId="77777777" w:rsidR="00917832" w:rsidRPr="007715B5" w:rsidRDefault="00917832" w:rsidP="00387E42">
      <w:pPr>
        <w:rPr>
          <w:spacing w:val="-1"/>
          <w:sz w:val="22"/>
          <w:szCs w:val="22"/>
        </w:rPr>
      </w:pPr>
    </w:p>
    <w:p w14:paraId="110697C7" w14:textId="3902F5CF" w:rsidR="00917832" w:rsidRPr="007715B5" w:rsidRDefault="00917832" w:rsidP="00387E42">
      <w:pPr>
        <w:ind w:left="1210"/>
        <w:rPr>
          <w:spacing w:val="-1"/>
          <w:sz w:val="22"/>
          <w:szCs w:val="22"/>
        </w:rPr>
      </w:pPr>
      <w:r w:rsidRPr="007715B5">
        <w:rPr>
          <w:spacing w:val="-1"/>
          <w:sz w:val="22"/>
          <w:szCs w:val="22"/>
        </w:rPr>
        <w:t>In joint ventures the parties that have joint control of the arrangement have rights to the net assets of the arrangement. A joint venture is accounted for at equity</w:t>
      </w:r>
      <w:r w:rsidR="00BE2B6A">
        <w:rPr>
          <w:spacing w:val="-1"/>
          <w:sz w:val="22"/>
          <w:szCs w:val="22"/>
        </w:rPr>
        <w:t>.</w:t>
      </w:r>
      <w:r w:rsidRPr="007715B5">
        <w:rPr>
          <w:spacing w:val="-1"/>
          <w:sz w:val="22"/>
          <w:szCs w:val="22"/>
        </w:rPr>
        <w:t xml:space="preserve"> </w:t>
      </w:r>
    </w:p>
    <w:p w14:paraId="44F97021" w14:textId="77777777" w:rsidR="00917832" w:rsidRPr="007715B5" w:rsidRDefault="00917832" w:rsidP="00387E42">
      <w:pPr>
        <w:rPr>
          <w:spacing w:val="-1"/>
          <w:sz w:val="22"/>
          <w:szCs w:val="22"/>
        </w:rPr>
      </w:pPr>
    </w:p>
    <w:p w14:paraId="304F7CBA" w14:textId="12394B2F" w:rsidR="00917832" w:rsidRPr="007715B5" w:rsidRDefault="00917832" w:rsidP="00387E42">
      <w:pPr>
        <w:ind w:left="490" w:firstLine="720"/>
        <w:rPr>
          <w:spacing w:val="-1"/>
          <w:sz w:val="22"/>
          <w:szCs w:val="22"/>
        </w:rPr>
      </w:pPr>
      <w:r w:rsidRPr="007715B5">
        <w:rPr>
          <w:spacing w:val="-1"/>
          <w:sz w:val="22"/>
          <w:szCs w:val="22"/>
        </w:rPr>
        <w:t>2.</w:t>
      </w:r>
      <w:r w:rsidR="009545F6">
        <w:rPr>
          <w:spacing w:val="-1"/>
          <w:sz w:val="22"/>
          <w:szCs w:val="22"/>
        </w:rPr>
        <w:tab/>
      </w:r>
      <w:r w:rsidRPr="007715B5">
        <w:rPr>
          <w:spacing w:val="-1"/>
          <w:sz w:val="22"/>
          <w:szCs w:val="22"/>
        </w:rPr>
        <w:t xml:space="preserve">Joint operations: </w:t>
      </w:r>
    </w:p>
    <w:p w14:paraId="7470C422" w14:textId="77777777" w:rsidR="00917832" w:rsidRPr="007715B5" w:rsidRDefault="00917832" w:rsidP="00387E42">
      <w:pPr>
        <w:rPr>
          <w:spacing w:val="-1"/>
          <w:sz w:val="22"/>
          <w:szCs w:val="22"/>
        </w:rPr>
      </w:pPr>
    </w:p>
    <w:p w14:paraId="25214104" w14:textId="77777777" w:rsidR="00917832" w:rsidRPr="007715B5" w:rsidRDefault="00917832" w:rsidP="00387E42">
      <w:pPr>
        <w:ind w:left="1210"/>
        <w:rPr>
          <w:spacing w:val="-1"/>
          <w:sz w:val="22"/>
          <w:szCs w:val="22"/>
        </w:rPr>
      </w:pPr>
      <w:r w:rsidRPr="007715B5">
        <w:rPr>
          <w:spacing w:val="-1"/>
          <w:sz w:val="22"/>
          <w:szCs w:val="22"/>
        </w:rPr>
        <w:t>In joint operations the parties that have joint control of the arrangement have rights to the assets and obligations for the liabilities relating to the arrangement. The Company recognizes in relation to its interest its share of the assets, liabilities, revenues and expenses of the joint operation.</w:t>
      </w:r>
    </w:p>
    <w:p w14:paraId="07C80941" w14:textId="77777777" w:rsidR="00917832" w:rsidRPr="007715B5" w:rsidRDefault="00917832" w:rsidP="00387E42">
      <w:pPr>
        <w:rPr>
          <w:spacing w:val="-1"/>
          <w:sz w:val="22"/>
          <w:szCs w:val="22"/>
        </w:rPr>
      </w:pPr>
    </w:p>
    <w:p w14:paraId="7D451B64" w14:textId="4DDBE53E" w:rsidR="00AE71F0" w:rsidRDefault="00917832" w:rsidP="00387E42">
      <w:pPr>
        <w:ind w:left="1210"/>
        <w:jc w:val="both"/>
        <w:rPr>
          <w:spacing w:val="-1"/>
          <w:sz w:val="22"/>
          <w:szCs w:val="22"/>
        </w:rPr>
      </w:pPr>
      <w:r w:rsidRPr="007715B5">
        <w:rPr>
          <w:spacing w:val="-1"/>
          <w:sz w:val="22"/>
          <w:szCs w:val="22"/>
        </w:rPr>
        <w:t>The acquisition of interests in a joint operation which represents a business, as defined in IFRS 3, is accounted for using the acquisition method, including the measurement of the identifiable assets and liabilities at fair value, the recognition of deferred taxes arising from this measurement, the accounting treatment of the related transaction costs and the recognition of goodwill or bargain purchase gains. This applies to the acquisition of the initial interest and additional interests in a joint operation that represents a business.</w:t>
      </w:r>
    </w:p>
    <w:p w14:paraId="07F66181" w14:textId="77777777" w:rsidR="00917832" w:rsidRDefault="00917832" w:rsidP="00917832">
      <w:pPr>
        <w:ind w:left="1440"/>
        <w:jc w:val="both"/>
        <w:rPr>
          <w:spacing w:val="-1"/>
          <w:sz w:val="22"/>
          <w:szCs w:val="22"/>
        </w:rPr>
      </w:pPr>
    </w:p>
    <w:p w14:paraId="0C9154A5" w14:textId="32C512A4" w:rsidR="00917832" w:rsidRPr="007715B5" w:rsidRDefault="00917832" w:rsidP="00C5462B">
      <w:pPr>
        <w:pStyle w:val="af2"/>
        <w:numPr>
          <w:ilvl w:val="0"/>
          <w:numId w:val="23"/>
        </w:numPr>
        <w:jc w:val="both"/>
        <w:outlineLvl w:val="3"/>
        <w:rPr>
          <w:b/>
          <w:bCs/>
          <w:spacing w:val="-1"/>
          <w:sz w:val="22"/>
          <w:szCs w:val="22"/>
        </w:rPr>
      </w:pPr>
      <w:bookmarkStart w:id="41" w:name="H4_Investment_in_associates"/>
      <w:r w:rsidRPr="007715B5">
        <w:rPr>
          <w:b/>
          <w:bCs/>
          <w:spacing w:val="-1"/>
          <w:sz w:val="22"/>
          <w:szCs w:val="22"/>
        </w:rPr>
        <w:t>Investment in associates</w:t>
      </w:r>
    </w:p>
    <w:bookmarkEnd w:id="41"/>
    <w:p w14:paraId="2A3D6F1D" w14:textId="77777777" w:rsidR="00917832" w:rsidRDefault="00917832" w:rsidP="00917832">
      <w:pPr>
        <w:pStyle w:val="af2"/>
        <w:ind w:left="1210" w:firstLine="230"/>
        <w:rPr>
          <w:spacing w:val="-1"/>
          <w:sz w:val="22"/>
          <w:szCs w:val="22"/>
        </w:rPr>
      </w:pPr>
    </w:p>
    <w:p w14:paraId="77557584" w14:textId="7860878F" w:rsidR="00917832" w:rsidRPr="007715B5" w:rsidRDefault="00917832" w:rsidP="00387E42">
      <w:pPr>
        <w:pStyle w:val="af2"/>
        <w:ind w:left="1210"/>
        <w:rPr>
          <w:spacing w:val="-1"/>
          <w:sz w:val="22"/>
          <w:szCs w:val="22"/>
        </w:rPr>
      </w:pPr>
      <w:r w:rsidRPr="007715B5">
        <w:rPr>
          <w:spacing w:val="-1"/>
          <w:sz w:val="22"/>
          <w:szCs w:val="22"/>
        </w:rPr>
        <w:t>Associates are companies in which the Group has significant influence over the financial and operating policies without having control. The investment in an associate is accounted for using the equity method.</w:t>
      </w:r>
    </w:p>
    <w:p w14:paraId="248A3A66" w14:textId="77777777" w:rsidR="00917832" w:rsidRPr="00917832" w:rsidRDefault="00917832" w:rsidP="00917832">
      <w:pPr>
        <w:pStyle w:val="af2"/>
        <w:ind w:left="1210"/>
        <w:rPr>
          <w:b/>
          <w:bCs/>
          <w:spacing w:val="-1"/>
          <w:sz w:val="22"/>
          <w:szCs w:val="22"/>
        </w:rPr>
      </w:pPr>
    </w:p>
    <w:p w14:paraId="65EF0ED4" w14:textId="482E2836" w:rsidR="00917832" w:rsidRPr="007715B5" w:rsidRDefault="00917832" w:rsidP="00C5462B">
      <w:pPr>
        <w:pStyle w:val="af2"/>
        <w:numPr>
          <w:ilvl w:val="0"/>
          <w:numId w:val="23"/>
        </w:numPr>
        <w:outlineLvl w:val="3"/>
        <w:rPr>
          <w:b/>
          <w:bCs/>
          <w:spacing w:val="-1"/>
          <w:sz w:val="22"/>
          <w:szCs w:val="22"/>
        </w:rPr>
      </w:pPr>
      <w:bookmarkStart w:id="42" w:name="H4_Investments_accounted_for_using_the_e"/>
      <w:r w:rsidRPr="007715B5">
        <w:rPr>
          <w:b/>
          <w:bCs/>
          <w:spacing w:val="-1"/>
          <w:sz w:val="22"/>
          <w:szCs w:val="22"/>
        </w:rPr>
        <w:t>Investments accounted for using the equity method</w:t>
      </w:r>
    </w:p>
    <w:bookmarkEnd w:id="42"/>
    <w:p w14:paraId="1F18C890" w14:textId="77777777" w:rsidR="00917832" w:rsidRPr="00917832" w:rsidRDefault="00917832" w:rsidP="00917832">
      <w:pPr>
        <w:pStyle w:val="af2"/>
        <w:ind w:left="1210"/>
        <w:rPr>
          <w:b/>
          <w:bCs/>
          <w:spacing w:val="-1"/>
          <w:sz w:val="22"/>
          <w:szCs w:val="22"/>
        </w:rPr>
      </w:pPr>
    </w:p>
    <w:p w14:paraId="14D30538" w14:textId="77777777" w:rsidR="00917832" w:rsidRPr="007715B5" w:rsidRDefault="00917832" w:rsidP="00917832">
      <w:pPr>
        <w:pStyle w:val="af2"/>
        <w:ind w:left="1210"/>
        <w:rPr>
          <w:spacing w:val="-1"/>
          <w:sz w:val="22"/>
          <w:szCs w:val="22"/>
        </w:rPr>
      </w:pPr>
      <w:r w:rsidRPr="007715B5">
        <w:rPr>
          <w:spacing w:val="-1"/>
          <w:sz w:val="22"/>
          <w:szCs w:val="22"/>
        </w:rPr>
        <w:t>The Group's investments in associates and joint ventures are accounted for using the equity method.</w:t>
      </w:r>
    </w:p>
    <w:p w14:paraId="7E7C0510" w14:textId="77777777" w:rsidR="00917832" w:rsidRPr="007715B5" w:rsidRDefault="00917832" w:rsidP="00917832">
      <w:pPr>
        <w:pStyle w:val="af2"/>
        <w:ind w:left="1210"/>
        <w:rPr>
          <w:spacing w:val="-1"/>
          <w:sz w:val="22"/>
          <w:szCs w:val="22"/>
        </w:rPr>
      </w:pPr>
    </w:p>
    <w:p w14:paraId="6EFB5223" w14:textId="5A505A18" w:rsidR="00917832" w:rsidRPr="007715B5" w:rsidRDefault="00917832" w:rsidP="007715B5">
      <w:pPr>
        <w:pStyle w:val="af2"/>
        <w:ind w:left="1210"/>
        <w:jc w:val="both"/>
        <w:rPr>
          <w:spacing w:val="-1"/>
          <w:sz w:val="22"/>
          <w:szCs w:val="22"/>
        </w:rPr>
      </w:pPr>
      <w:r w:rsidRPr="007715B5">
        <w:rPr>
          <w:spacing w:val="-1"/>
          <w:sz w:val="22"/>
          <w:szCs w:val="22"/>
        </w:rPr>
        <w:t>Under the equity method, the investment in the associate or in the joint venture is presented at cost with the addition of post-acquisition changes in the Group's share of net assets, including other comprehensive income of the associate or the joint venture. Gains and losses resulting from transactions between the Group and the associate or the joint venture are eliminated to the extent of the interest in the associate or in the joint venture</w:t>
      </w:r>
      <w:r>
        <w:rPr>
          <w:spacing w:val="-1"/>
          <w:sz w:val="22"/>
          <w:szCs w:val="22"/>
        </w:rPr>
        <w:t>.</w:t>
      </w:r>
    </w:p>
    <w:p w14:paraId="77368286" w14:textId="085362FD" w:rsidR="004D260B" w:rsidRDefault="004D260B">
      <w:pPr>
        <w:rPr>
          <w:sz w:val="22"/>
          <w:szCs w:val="22"/>
        </w:rPr>
      </w:pPr>
      <w:r>
        <w:rPr>
          <w:sz w:val="22"/>
          <w:szCs w:val="22"/>
        </w:rPr>
        <w:br w:type="page"/>
      </w:r>
    </w:p>
    <w:p w14:paraId="49C00FE1" w14:textId="3552F591" w:rsidR="00CC2C04" w:rsidRPr="004D260B" w:rsidRDefault="00CC2C04" w:rsidP="008211D9">
      <w:pPr>
        <w:jc w:val="both"/>
        <w:rPr>
          <w:sz w:val="22"/>
          <w:szCs w:val="22"/>
        </w:rPr>
      </w:pPr>
    </w:p>
    <w:p w14:paraId="44216203" w14:textId="77777777" w:rsidR="00387E42" w:rsidRPr="004D260B" w:rsidRDefault="00387E42" w:rsidP="00387E42">
      <w:pPr>
        <w:rPr>
          <w:b/>
          <w:bCs/>
          <w:sz w:val="22"/>
          <w:szCs w:val="22"/>
        </w:rPr>
      </w:pPr>
      <w:r w:rsidRPr="004D260B">
        <w:rPr>
          <w:b/>
          <w:bCs/>
          <w:sz w:val="22"/>
          <w:szCs w:val="22"/>
        </w:rPr>
        <w:t>Note 3 - Significant Accounting Policies (cont’d)</w:t>
      </w:r>
    </w:p>
    <w:p w14:paraId="52259D10" w14:textId="08A3E75B" w:rsidR="00CC2C04" w:rsidRPr="004D260B" w:rsidRDefault="00CC2C04" w:rsidP="008211D9">
      <w:pPr>
        <w:jc w:val="both"/>
        <w:rPr>
          <w:sz w:val="22"/>
          <w:szCs w:val="22"/>
        </w:rPr>
      </w:pPr>
    </w:p>
    <w:p w14:paraId="521DADB8" w14:textId="23235395" w:rsidR="00CC2C04" w:rsidRPr="004D260B" w:rsidRDefault="00CC2C04" w:rsidP="00C5462B">
      <w:pPr>
        <w:pStyle w:val="af2"/>
        <w:numPr>
          <w:ilvl w:val="0"/>
          <w:numId w:val="24"/>
        </w:numPr>
        <w:rPr>
          <w:b/>
          <w:bCs/>
          <w:spacing w:val="-1"/>
          <w:sz w:val="22"/>
          <w:szCs w:val="22"/>
        </w:rPr>
      </w:pPr>
      <w:r w:rsidRPr="004D260B">
        <w:rPr>
          <w:b/>
          <w:bCs/>
          <w:spacing w:val="-1"/>
          <w:sz w:val="22"/>
          <w:szCs w:val="22"/>
        </w:rPr>
        <w:t>Investments accounted for using the equity method (Cont’d)</w:t>
      </w:r>
    </w:p>
    <w:p w14:paraId="1D4A4C22" w14:textId="32532345" w:rsidR="00CC2C04" w:rsidRDefault="00CC2C04" w:rsidP="00CC2C04">
      <w:pPr>
        <w:pStyle w:val="af2"/>
        <w:ind w:left="1210"/>
        <w:rPr>
          <w:b/>
          <w:bCs/>
          <w:spacing w:val="-1"/>
          <w:sz w:val="22"/>
          <w:szCs w:val="22"/>
        </w:rPr>
      </w:pPr>
    </w:p>
    <w:p w14:paraId="2A8536AB" w14:textId="77777777" w:rsidR="00CC2C04" w:rsidRPr="007715B5" w:rsidRDefault="00CC2C04" w:rsidP="00772DD9">
      <w:pPr>
        <w:pStyle w:val="af2"/>
        <w:ind w:left="1210"/>
        <w:jc w:val="both"/>
        <w:rPr>
          <w:spacing w:val="-1"/>
          <w:sz w:val="22"/>
          <w:szCs w:val="22"/>
        </w:rPr>
      </w:pPr>
      <w:r w:rsidRPr="007715B5">
        <w:rPr>
          <w:spacing w:val="-1"/>
          <w:sz w:val="22"/>
          <w:szCs w:val="22"/>
        </w:rPr>
        <w:t xml:space="preserve">Goodwill relating to the acquisition of an associate or a joint venture is presented as part of the investment in the associate or the joint venture, measured at cost and not systematically amortized. Goodwill is evaluated for impairment as part of the investment in the associate or in the joint </w:t>
      </w:r>
      <w:proofErr w:type="gramStart"/>
      <w:r w:rsidRPr="007715B5">
        <w:rPr>
          <w:spacing w:val="-1"/>
          <w:sz w:val="22"/>
          <w:szCs w:val="22"/>
        </w:rPr>
        <w:t>venture as a whole</w:t>
      </w:r>
      <w:proofErr w:type="gramEnd"/>
      <w:r w:rsidRPr="007715B5">
        <w:rPr>
          <w:spacing w:val="-1"/>
          <w:sz w:val="22"/>
          <w:szCs w:val="22"/>
        </w:rPr>
        <w:t>.</w:t>
      </w:r>
    </w:p>
    <w:p w14:paraId="538F0095" w14:textId="77777777" w:rsidR="00CC2C04" w:rsidRPr="007715B5" w:rsidRDefault="00CC2C04" w:rsidP="00CC2C04">
      <w:pPr>
        <w:pStyle w:val="af2"/>
        <w:ind w:left="1210"/>
        <w:rPr>
          <w:spacing w:val="-1"/>
          <w:sz w:val="22"/>
          <w:szCs w:val="22"/>
        </w:rPr>
      </w:pPr>
    </w:p>
    <w:p w14:paraId="30163264" w14:textId="77777777" w:rsidR="00CC2C04" w:rsidRPr="007715B5" w:rsidRDefault="00CC2C04" w:rsidP="00772DD9">
      <w:pPr>
        <w:pStyle w:val="af2"/>
        <w:ind w:left="1210"/>
        <w:jc w:val="both"/>
        <w:rPr>
          <w:spacing w:val="-1"/>
          <w:sz w:val="22"/>
          <w:szCs w:val="22"/>
        </w:rPr>
      </w:pPr>
      <w:r w:rsidRPr="007715B5">
        <w:rPr>
          <w:spacing w:val="-1"/>
          <w:sz w:val="22"/>
          <w:szCs w:val="22"/>
        </w:rPr>
        <w:t xml:space="preserve">The financial statements of the Company and of the associate or joint venture are prepared as of the same dates and periods. The accounting policies applied in the financial statements of the </w:t>
      </w:r>
      <w:proofErr w:type="gramStart"/>
      <w:r w:rsidRPr="007715B5">
        <w:rPr>
          <w:spacing w:val="-1"/>
          <w:sz w:val="22"/>
          <w:szCs w:val="22"/>
        </w:rPr>
        <w:t>associate</w:t>
      </w:r>
      <w:proofErr w:type="gramEnd"/>
      <w:r w:rsidRPr="007715B5">
        <w:rPr>
          <w:spacing w:val="-1"/>
          <w:sz w:val="22"/>
          <w:szCs w:val="22"/>
        </w:rPr>
        <w:t xml:space="preserve"> or the joint venture are uniform and consistent with the policies applied in the financial statements of the Group.</w:t>
      </w:r>
    </w:p>
    <w:p w14:paraId="5E97ED22" w14:textId="77777777" w:rsidR="00CC2C04" w:rsidRPr="007715B5" w:rsidRDefault="00CC2C04" w:rsidP="00772DD9">
      <w:pPr>
        <w:pStyle w:val="af2"/>
        <w:ind w:left="1210"/>
        <w:jc w:val="both"/>
        <w:rPr>
          <w:spacing w:val="-1"/>
          <w:sz w:val="22"/>
          <w:szCs w:val="22"/>
        </w:rPr>
      </w:pPr>
    </w:p>
    <w:p w14:paraId="05712425" w14:textId="77777777" w:rsidR="00CC2C04" w:rsidRPr="007715B5" w:rsidRDefault="00CC2C04" w:rsidP="00772DD9">
      <w:pPr>
        <w:pStyle w:val="af2"/>
        <w:ind w:left="1210"/>
        <w:jc w:val="both"/>
        <w:rPr>
          <w:spacing w:val="-1"/>
          <w:sz w:val="22"/>
          <w:szCs w:val="22"/>
        </w:rPr>
      </w:pPr>
      <w:r w:rsidRPr="007715B5">
        <w:rPr>
          <w:spacing w:val="-1"/>
          <w:sz w:val="22"/>
          <w:szCs w:val="22"/>
        </w:rPr>
        <w:t>Upon the acquisition of an associate or a joint venture achieved in stages when the former investment in the acquiree was accounted for pursuant to the provisions of IFRS 9, the Group applies the principles of IFRS 3 regarding business combinations achieved in stages. Consequently, equity interests in the acquiree that had been held by the Group prior to achieving significant influence or joint control are measured at fair value on the acquisition date and are included in the acquisition consideration while recognizing a gain or loss resulting from the fair value measurement.</w:t>
      </w:r>
    </w:p>
    <w:p w14:paraId="60845D68" w14:textId="77777777" w:rsidR="00CC2C04" w:rsidRPr="007715B5" w:rsidRDefault="00CC2C04" w:rsidP="00772DD9">
      <w:pPr>
        <w:pStyle w:val="af2"/>
        <w:ind w:left="1210"/>
        <w:jc w:val="both"/>
        <w:rPr>
          <w:spacing w:val="-1"/>
          <w:sz w:val="22"/>
          <w:szCs w:val="22"/>
        </w:rPr>
      </w:pPr>
    </w:p>
    <w:p w14:paraId="510040F0" w14:textId="77777777" w:rsidR="00CC2C04" w:rsidRPr="007715B5" w:rsidRDefault="00CC2C04" w:rsidP="00772DD9">
      <w:pPr>
        <w:pStyle w:val="af2"/>
        <w:ind w:left="1210"/>
        <w:jc w:val="both"/>
        <w:rPr>
          <w:spacing w:val="-1"/>
          <w:sz w:val="22"/>
          <w:szCs w:val="22"/>
        </w:rPr>
      </w:pPr>
      <w:r w:rsidRPr="007715B5">
        <w:rPr>
          <w:spacing w:val="-1"/>
          <w:sz w:val="22"/>
          <w:szCs w:val="22"/>
        </w:rPr>
        <w:t xml:space="preserve">Losses of an associate in amounts which exceed its equity are recognized by the Company to the extent of its investment in the associate plus any losses that the Company may incur </w:t>
      </w:r>
      <w:proofErr w:type="gramStart"/>
      <w:r w:rsidRPr="007715B5">
        <w:rPr>
          <w:spacing w:val="-1"/>
          <w:sz w:val="22"/>
          <w:szCs w:val="22"/>
        </w:rPr>
        <w:t>as a result of</w:t>
      </w:r>
      <w:proofErr w:type="gramEnd"/>
      <w:r w:rsidRPr="007715B5">
        <w:rPr>
          <w:spacing w:val="-1"/>
          <w:sz w:val="22"/>
          <w:szCs w:val="22"/>
        </w:rPr>
        <w:t xml:space="preserve"> a guarantee or other financial support provided in respect of the associate. For this purpose, the investment includes long-term receivables (such as loans granted) for which settlement is neither planned nor likely to occur in the foreseeable future.</w:t>
      </w:r>
    </w:p>
    <w:p w14:paraId="11C80F15" w14:textId="77777777" w:rsidR="00CC2C04" w:rsidRPr="007715B5" w:rsidRDefault="00CC2C04" w:rsidP="00CC2C04">
      <w:pPr>
        <w:pStyle w:val="af2"/>
        <w:ind w:left="1210"/>
        <w:rPr>
          <w:spacing w:val="-1"/>
          <w:sz w:val="22"/>
          <w:szCs w:val="22"/>
        </w:rPr>
      </w:pPr>
    </w:p>
    <w:p w14:paraId="42F74E94" w14:textId="77777777" w:rsidR="00CC2C04" w:rsidRPr="007715B5" w:rsidRDefault="00CC2C04" w:rsidP="00772DD9">
      <w:pPr>
        <w:pStyle w:val="af2"/>
        <w:ind w:left="1210"/>
        <w:jc w:val="both"/>
        <w:rPr>
          <w:spacing w:val="-1"/>
          <w:sz w:val="22"/>
          <w:szCs w:val="22"/>
        </w:rPr>
      </w:pPr>
      <w:r w:rsidRPr="007715B5">
        <w:rPr>
          <w:spacing w:val="-1"/>
          <w:sz w:val="22"/>
          <w:szCs w:val="22"/>
        </w:rPr>
        <w:t xml:space="preserve">The equity method is applied until the loss of significant influence in the associate or loss of joint control in the joint venture or classification as investment held for sale. </w:t>
      </w:r>
    </w:p>
    <w:p w14:paraId="248E5537" w14:textId="77777777" w:rsidR="00CC2C04" w:rsidRPr="007715B5" w:rsidRDefault="00CC2C04" w:rsidP="00772DD9">
      <w:pPr>
        <w:pStyle w:val="af2"/>
        <w:ind w:left="1210"/>
        <w:jc w:val="both"/>
        <w:rPr>
          <w:spacing w:val="-1"/>
          <w:sz w:val="22"/>
          <w:szCs w:val="22"/>
        </w:rPr>
      </w:pPr>
    </w:p>
    <w:p w14:paraId="3A7CD639" w14:textId="709ECC54" w:rsidR="00CC2C04" w:rsidRDefault="00CC2C04" w:rsidP="00772DD9">
      <w:pPr>
        <w:pStyle w:val="af2"/>
        <w:ind w:left="1210"/>
        <w:jc w:val="both"/>
        <w:rPr>
          <w:spacing w:val="-1"/>
          <w:sz w:val="22"/>
          <w:szCs w:val="22"/>
        </w:rPr>
      </w:pPr>
      <w:r w:rsidRPr="007715B5">
        <w:rPr>
          <w:spacing w:val="-1"/>
          <w:sz w:val="22"/>
          <w:szCs w:val="22"/>
        </w:rPr>
        <w:t xml:space="preserve">The Company continues to apply the equity method even in cases where </w:t>
      </w:r>
      <w:proofErr w:type="gramStart"/>
      <w:r w:rsidRPr="007715B5">
        <w:rPr>
          <w:spacing w:val="-1"/>
          <w:sz w:val="22"/>
          <w:szCs w:val="22"/>
        </w:rPr>
        <w:t>the investment</w:t>
      </w:r>
      <w:proofErr w:type="gramEnd"/>
      <w:r w:rsidRPr="007715B5">
        <w:rPr>
          <w:spacing w:val="-1"/>
          <w:sz w:val="22"/>
          <w:szCs w:val="22"/>
        </w:rPr>
        <w:t xml:space="preserve"> in the associate becomes an investment in a joint venture and vice versa. The Company applies the provisions of IFRS 5 to the investment or a portion of the investment in the associate or the joint venture that is classified as held-for-sale. Any retained interest in this investment which is not classified as held-for-sale continues to be accounted for using the equity method.</w:t>
      </w:r>
    </w:p>
    <w:p w14:paraId="631F04D6" w14:textId="77777777" w:rsidR="00CC2C04" w:rsidRDefault="00CC2C04" w:rsidP="00772DD9">
      <w:pPr>
        <w:pStyle w:val="af2"/>
        <w:ind w:left="1210"/>
        <w:jc w:val="both"/>
        <w:rPr>
          <w:spacing w:val="-1"/>
          <w:sz w:val="22"/>
          <w:szCs w:val="22"/>
        </w:rPr>
      </w:pPr>
    </w:p>
    <w:p w14:paraId="1711B678" w14:textId="7C5EFD0E" w:rsidR="00CC2C04" w:rsidRDefault="00CC2C04" w:rsidP="00772DD9">
      <w:pPr>
        <w:pStyle w:val="af2"/>
        <w:ind w:left="1210"/>
        <w:jc w:val="both"/>
        <w:rPr>
          <w:spacing w:val="-1"/>
          <w:sz w:val="22"/>
          <w:szCs w:val="22"/>
        </w:rPr>
      </w:pPr>
      <w:r w:rsidRPr="00CC2C04">
        <w:rPr>
          <w:spacing w:val="-1"/>
          <w:sz w:val="22"/>
          <w:szCs w:val="22"/>
        </w:rPr>
        <w:t>On the date of loss of significant influence or joint control, the Group measures any remaining investment in the associate or the joint venture at fair value and recognizes in profit or loss the difference between the fair value of any remaining investment plus any proceeds from the sale of the investment in the associate or the joint venture and the carrying amount of the investment on that date.</w:t>
      </w:r>
    </w:p>
    <w:p w14:paraId="61180CD9" w14:textId="6981032E" w:rsidR="00CC2C04" w:rsidRDefault="00CC2C04" w:rsidP="00772DD9">
      <w:pPr>
        <w:pStyle w:val="af2"/>
        <w:ind w:left="1210"/>
        <w:jc w:val="both"/>
        <w:rPr>
          <w:spacing w:val="-1"/>
          <w:sz w:val="22"/>
          <w:szCs w:val="22"/>
        </w:rPr>
      </w:pPr>
    </w:p>
    <w:p w14:paraId="1563E9B5" w14:textId="379CF9FA" w:rsidR="00CC2C04" w:rsidRDefault="00CC2C04" w:rsidP="00C5462B">
      <w:pPr>
        <w:pStyle w:val="af2"/>
        <w:numPr>
          <w:ilvl w:val="0"/>
          <w:numId w:val="24"/>
        </w:numPr>
        <w:jc w:val="both"/>
        <w:outlineLvl w:val="3"/>
        <w:rPr>
          <w:b/>
          <w:bCs/>
          <w:spacing w:val="-1"/>
          <w:sz w:val="22"/>
          <w:szCs w:val="22"/>
        </w:rPr>
      </w:pPr>
      <w:bookmarkStart w:id="43" w:name="H4_Functional_currency_presentation_curr"/>
      <w:r w:rsidRPr="00CC2C04">
        <w:rPr>
          <w:b/>
          <w:bCs/>
          <w:spacing w:val="-1"/>
          <w:sz w:val="22"/>
          <w:szCs w:val="22"/>
        </w:rPr>
        <w:t>Functional currency, presentation currency and foreign currency</w:t>
      </w:r>
    </w:p>
    <w:bookmarkEnd w:id="43"/>
    <w:p w14:paraId="1C2EBF98" w14:textId="4C3B9D23" w:rsidR="00CC2C04" w:rsidRDefault="00CC2C04" w:rsidP="00772DD9">
      <w:pPr>
        <w:pStyle w:val="af2"/>
        <w:ind w:left="1210"/>
        <w:jc w:val="both"/>
        <w:rPr>
          <w:b/>
          <w:bCs/>
          <w:spacing w:val="-1"/>
          <w:sz w:val="22"/>
          <w:szCs w:val="22"/>
        </w:rPr>
      </w:pPr>
    </w:p>
    <w:p w14:paraId="2608241A" w14:textId="4B3D0A8C" w:rsidR="00CC2C04" w:rsidRPr="007715B5" w:rsidRDefault="00CC2C04" w:rsidP="00772DD9">
      <w:pPr>
        <w:pStyle w:val="af2"/>
        <w:ind w:left="1210"/>
        <w:jc w:val="both"/>
        <w:rPr>
          <w:spacing w:val="-1"/>
          <w:sz w:val="22"/>
          <w:szCs w:val="22"/>
        </w:rPr>
      </w:pPr>
      <w:r w:rsidRPr="007715B5">
        <w:rPr>
          <w:spacing w:val="-1"/>
          <w:sz w:val="22"/>
          <w:szCs w:val="22"/>
        </w:rPr>
        <w:t>Transactions denominated in foreign currency are recorded upon initial recognition at the exchange rate at the date of the transaction. After initial recognition, monetary assets and liabilities denominated in foreign currency are translated at each reporting date into the functional currency at the exchange rate at that date. Exchange rate differences, other than those capitalized to qualifying assets or accounted for as hedging transactions in equity, are recognized in profit or loss. Non-monetary assets and liabilities denominated in foreign currency and measured at cost are translated at the exchange rate at the date of the transaction. Non-monetary assets and liabilities denominated in foreign currency and measured at fair value are translated into the functional currency using the exchange rate prevailing at the date when the fair value was determined</w:t>
      </w:r>
      <w:r>
        <w:rPr>
          <w:spacing w:val="-1"/>
          <w:sz w:val="22"/>
          <w:szCs w:val="22"/>
        </w:rPr>
        <w:t>.</w:t>
      </w:r>
    </w:p>
    <w:p w14:paraId="12EF4954" w14:textId="77777777" w:rsidR="00CC2C04" w:rsidRDefault="00CC2C04" w:rsidP="008211D9">
      <w:pPr>
        <w:jc w:val="both"/>
        <w:rPr>
          <w:sz w:val="22"/>
          <w:szCs w:val="22"/>
        </w:rPr>
      </w:pPr>
    </w:p>
    <w:p w14:paraId="0B5B7C34" w14:textId="77777777" w:rsidR="004D260B" w:rsidRPr="004D260B" w:rsidRDefault="004D260B" w:rsidP="008211D9">
      <w:pPr>
        <w:jc w:val="both"/>
        <w:rPr>
          <w:sz w:val="22"/>
          <w:szCs w:val="22"/>
        </w:rPr>
      </w:pPr>
    </w:p>
    <w:p w14:paraId="5BE834C0" w14:textId="77777777" w:rsidR="0099751B" w:rsidRPr="004D260B" w:rsidRDefault="0099751B" w:rsidP="0099751B">
      <w:pPr>
        <w:rPr>
          <w:b/>
          <w:bCs/>
          <w:sz w:val="22"/>
          <w:szCs w:val="22"/>
        </w:rPr>
      </w:pPr>
      <w:r w:rsidRPr="004D260B">
        <w:rPr>
          <w:b/>
          <w:bCs/>
          <w:sz w:val="22"/>
          <w:szCs w:val="22"/>
        </w:rPr>
        <w:t>Note 3 - Significant Accounting Policies (cont’d)</w:t>
      </w:r>
    </w:p>
    <w:p w14:paraId="273638BF" w14:textId="09AA12ED" w:rsidR="00F2331D" w:rsidRPr="004D260B" w:rsidRDefault="00F2331D" w:rsidP="00F2331D">
      <w:pPr>
        <w:jc w:val="both"/>
        <w:rPr>
          <w:b/>
          <w:bCs/>
          <w:sz w:val="22"/>
          <w:szCs w:val="22"/>
        </w:rPr>
      </w:pPr>
    </w:p>
    <w:p w14:paraId="098F575F" w14:textId="1D95D484" w:rsidR="00F2331D" w:rsidRPr="004D260B" w:rsidRDefault="00F2331D" w:rsidP="00C5462B">
      <w:pPr>
        <w:pStyle w:val="af2"/>
        <w:numPr>
          <w:ilvl w:val="0"/>
          <w:numId w:val="24"/>
        </w:numPr>
        <w:outlineLvl w:val="3"/>
        <w:rPr>
          <w:b/>
          <w:bCs/>
          <w:spacing w:val="-1"/>
          <w:sz w:val="22"/>
          <w:szCs w:val="22"/>
        </w:rPr>
      </w:pPr>
      <w:bookmarkStart w:id="44" w:name="H4_Investment_property"/>
      <w:r w:rsidRPr="004D260B">
        <w:rPr>
          <w:b/>
          <w:bCs/>
          <w:spacing w:val="-1"/>
          <w:sz w:val="22"/>
          <w:szCs w:val="22"/>
        </w:rPr>
        <w:t>Investment property</w:t>
      </w:r>
    </w:p>
    <w:p w14:paraId="02D18B22" w14:textId="77777777" w:rsidR="0099751B" w:rsidRPr="00F02921" w:rsidRDefault="0099751B" w:rsidP="007715B5">
      <w:pPr>
        <w:jc w:val="both"/>
        <w:rPr>
          <w:sz w:val="22"/>
          <w:szCs w:val="22"/>
        </w:rPr>
      </w:pPr>
      <w:bookmarkStart w:id="45" w:name="_Hlk534636493"/>
      <w:bookmarkEnd w:id="44"/>
    </w:p>
    <w:p w14:paraId="5FBF5A62" w14:textId="77777777" w:rsidR="008C50D3" w:rsidRPr="007715B5" w:rsidRDefault="008C50D3" w:rsidP="00387E42">
      <w:pPr>
        <w:ind w:left="1210"/>
        <w:jc w:val="both"/>
        <w:rPr>
          <w:sz w:val="22"/>
          <w:szCs w:val="22"/>
        </w:rPr>
      </w:pPr>
      <w:r w:rsidRPr="007715B5">
        <w:rPr>
          <w:sz w:val="22"/>
          <w:szCs w:val="22"/>
        </w:rPr>
        <w:t>An investment property is property (land or a building or both) held by the owner (lessor under an operating lease) or by the lessee under a lease to earn rentals or for capital appreciation or both rather than for use in the production or supply of goods or services, for administrative purposes or for sale in the ordinary course of business.</w:t>
      </w:r>
    </w:p>
    <w:p w14:paraId="4AFB410F" w14:textId="77777777" w:rsidR="008C50D3" w:rsidRPr="007715B5" w:rsidRDefault="008C50D3" w:rsidP="00387E42">
      <w:pPr>
        <w:jc w:val="both"/>
        <w:rPr>
          <w:sz w:val="22"/>
          <w:szCs w:val="22"/>
        </w:rPr>
      </w:pPr>
    </w:p>
    <w:p w14:paraId="5832654E" w14:textId="1C8C84D9" w:rsidR="008C50D3" w:rsidRPr="00F02921" w:rsidRDefault="008C50D3" w:rsidP="00387E42">
      <w:pPr>
        <w:ind w:left="1210"/>
        <w:jc w:val="both"/>
        <w:rPr>
          <w:sz w:val="22"/>
          <w:szCs w:val="22"/>
        </w:rPr>
      </w:pPr>
      <w:r w:rsidRPr="007715B5">
        <w:rPr>
          <w:sz w:val="22"/>
          <w:szCs w:val="22"/>
        </w:rPr>
        <w:t xml:space="preserve">Investment property is derecognized on disposal or when the investment property ceases to be </w:t>
      </w:r>
      <w:proofErr w:type="gramStart"/>
      <w:r w:rsidRPr="007715B5">
        <w:rPr>
          <w:sz w:val="22"/>
          <w:szCs w:val="22"/>
        </w:rPr>
        <w:t>used</w:t>
      </w:r>
      <w:proofErr w:type="gramEnd"/>
      <w:r w:rsidRPr="007715B5">
        <w:rPr>
          <w:sz w:val="22"/>
          <w:szCs w:val="22"/>
        </w:rPr>
        <w:t xml:space="preserve"> and no future economic benefits are expected from its disposal. The difference between the net disposal proceeds and the carrying amount of the asset is recognized in profit or loss in the period of the disposal</w:t>
      </w:r>
      <w:r>
        <w:rPr>
          <w:b/>
          <w:bCs/>
          <w:sz w:val="22"/>
          <w:szCs w:val="22"/>
        </w:rPr>
        <w:t>.</w:t>
      </w:r>
    </w:p>
    <w:p w14:paraId="13F35BA0" w14:textId="77777777" w:rsidR="008E4D5C" w:rsidRDefault="008E4D5C" w:rsidP="00387E42">
      <w:pPr>
        <w:ind w:left="1210"/>
        <w:jc w:val="both"/>
        <w:rPr>
          <w:spacing w:val="-2"/>
          <w:sz w:val="22"/>
          <w:szCs w:val="22"/>
        </w:rPr>
      </w:pPr>
      <w:bookmarkStart w:id="46" w:name="_Hlk534637968"/>
      <w:bookmarkStart w:id="47" w:name="_Hlk534637829"/>
    </w:p>
    <w:p w14:paraId="744D6E54" w14:textId="2F55989C" w:rsidR="00C35D07" w:rsidRDefault="00C35D07" w:rsidP="00387E42">
      <w:pPr>
        <w:ind w:left="1210"/>
        <w:jc w:val="both"/>
        <w:rPr>
          <w:spacing w:val="-2"/>
          <w:sz w:val="22"/>
          <w:szCs w:val="22"/>
        </w:rPr>
      </w:pPr>
      <w:r w:rsidRPr="00F02921">
        <w:rPr>
          <w:spacing w:val="-2"/>
          <w:sz w:val="22"/>
          <w:szCs w:val="22"/>
        </w:rPr>
        <w:t>In subsequent periods the investment property is measured at fair value with any changes therein recognized in profit or loss. Investment property under construction is measured at fair value when its</w:t>
      </w:r>
      <w:r w:rsidR="00360D91">
        <w:rPr>
          <w:spacing w:val="-2"/>
          <w:sz w:val="22"/>
          <w:szCs w:val="22"/>
        </w:rPr>
        <w:t xml:space="preserve"> </w:t>
      </w:r>
      <w:r w:rsidRPr="00F02921">
        <w:rPr>
          <w:spacing w:val="-2"/>
          <w:sz w:val="22"/>
          <w:szCs w:val="22"/>
        </w:rPr>
        <w:t>value can be reliably determined. Borrowing costs are capitalized to investment property under construction measured at fair value.</w:t>
      </w:r>
    </w:p>
    <w:p w14:paraId="01CC6E2B" w14:textId="44CEC43B" w:rsidR="008C50D3" w:rsidRDefault="008C50D3" w:rsidP="00387E42">
      <w:pPr>
        <w:ind w:left="1210"/>
        <w:jc w:val="both"/>
        <w:rPr>
          <w:spacing w:val="-2"/>
          <w:sz w:val="22"/>
          <w:szCs w:val="22"/>
        </w:rPr>
      </w:pPr>
    </w:p>
    <w:p w14:paraId="605E9202" w14:textId="77777777" w:rsidR="008C50D3" w:rsidRPr="008C50D3" w:rsidRDefault="008C50D3" w:rsidP="00387E42">
      <w:pPr>
        <w:ind w:left="1210"/>
        <w:jc w:val="both"/>
        <w:rPr>
          <w:sz w:val="22"/>
          <w:szCs w:val="22"/>
        </w:rPr>
      </w:pPr>
      <w:r w:rsidRPr="008C50D3">
        <w:rPr>
          <w:sz w:val="22"/>
          <w:szCs w:val="22"/>
        </w:rPr>
        <w:t xml:space="preserve">Investment property is measured initially at cost, including costs directly attributable to the acquisition. After initial recognition, investment property is measured at fair </w:t>
      </w:r>
      <w:proofErr w:type="gramStart"/>
      <w:r w:rsidRPr="008C50D3">
        <w:rPr>
          <w:sz w:val="22"/>
          <w:szCs w:val="22"/>
        </w:rPr>
        <w:t>value</w:t>
      </w:r>
      <w:proofErr w:type="gramEnd"/>
      <w:r w:rsidRPr="008C50D3">
        <w:rPr>
          <w:sz w:val="22"/>
          <w:szCs w:val="22"/>
        </w:rPr>
        <w:t xml:space="preserve"> which reflects market conditions at the reporting date. Gains or losses arising from changes in the fair value of investment property are included in profit or loss when they arise. Investment property is not systematically amortized. </w:t>
      </w:r>
    </w:p>
    <w:p w14:paraId="27143B0F" w14:textId="77777777" w:rsidR="008C50D3" w:rsidRPr="008C50D3" w:rsidRDefault="008C50D3" w:rsidP="00387E42">
      <w:pPr>
        <w:ind w:left="1210"/>
        <w:rPr>
          <w:sz w:val="22"/>
          <w:szCs w:val="22"/>
        </w:rPr>
      </w:pPr>
    </w:p>
    <w:p w14:paraId="4B4AE4BF" w14:textId="297445A6" w:rsidR="008C50D3" w:rsidRDefault="008C50D3" w:rsidP="00387E42">
      <w:pPr>
        <w:ind w:left="1210"/>
        <w:jc w:val="both"/>
        <w:rPr>
          <w:sz w:val="22"/>
          <w:szCs w:val="22"/>
        </w:rPr>
      </w:pPr>
      <w:r w:rsidRPr="008C50D3">
        <w:rPr>
          <w:sz w:val="22"/>
          <w:szCs w:val="22"/>
        </w:rPr>
        <w:t xml:space="preserve">Investment property under construction for future use as investment property is also measured at fair value, as above, if fair value can be reliably measured. If fair value cannot be reliably measured, due to the nature and risks of the project, then it is measured at cost less impairment losses, if any, until the </w:t>
      </w:r>
      <w:proofErr w:type="gramStart"/>
      <w:r w:rsidRPr="008C50D3">
        <w:rPr>
          <w:sz w:val="22"/>
          <w:szCs w:val="22"/>
        </w:rPr>
        <w:t>earlier of the</w:t>
      </w:r>
      <w:proofErr w:type="gramEnd"/>
      <w:r w:rsidRPr="008C50D3">
        <w:rPr>
          <w:sz w:val="22"/>
          <w:szCs w:val="22"/>
        </w:rPr>
        <w:t xml:space="preserve"> date when the fair value can be reliably measured and the date when construction is complete. The cost basis of investment property under construction includes cost of land, costs of borrowings that are used to finance construction, directly attributable incremental planning and development costs and brokerage fees relating to agreements to lease the property.</w:t>
      </w:r>
    </w:p>
    <w:p w14:paraId="6CA0B051" w14:textId="520FCF31" w:rsidR="008C50D3" w:rsidRDefault="008C50D3" w:rsidP="00387E42">
      <w:pPr>
        <w:ind w:left="1210"/>
        <w:jc w:val="both"/>
        <w:rPr>
          <w:sz w:val="22"/>
          <w:szCs w:val="22"/>
        </w:rPr>
      </w:pPr>
    </w:p>
    <w:p w14:paraId="438C6B02" w14:textId="67DB5EDE" w:rsidR="008C50D3" w:rsidRPr="00F02921" w:rsidRDefault="008C50D3" w:rsidP="00387E42">
      <w:pPr>
        <w:ind w:left="1210"/>
        <w:jc w:val="both"/>
        <w:rPr>
          <w:sz w:val="22"/>
          <w:szCs w:val="22"/>
        </w:rPr>
      </w:pPr>
      <w:r w:rsidRPr="008C50D3">
        <w:rPr>
          <w:sz w:val="22"/>
          <w:szCs w:val="22"/>
        </w:rPr>
        <w:t>In determining the fair value of investment property, the Group relies on valuations performed by external valuation specialists who are experts in real estate valuations and who have the necessary knowledge and experience and by the Group management which has extensive professional experience and by internal valuation specialists.</w:t>
      </w:r>
    </w:p>
    <w:p w14:paraId="3799D703" w14:textId="648EFD99" w:rsidR="008C50D3" w:rsidRDefault="008C50D3" w:rsidP="0099751B">
      <w:pPr>
        <w:rPr>
          <w:b/>
          <w:bCs/>
          <w:sz w:val="26"/>
          <w:szCs w:val="26"/>
        </w:rPr>
      </w:pPr>
    </w:p>
    <w:p w14:paraId="3A0D2A03" w14:textId="5F8EFF4B" w:rsidR="008C50D3" w:rsidRPr="0014382E" w:rsidRDefault="008C50D3" w:rsidP="00C5462B">
      <w:pPr>
        <w:pStyle w:val="af2"/>
        <w:numPr>
          <w:ilvl w:val="0"/>
          <w:numId w:val="24"/>
        </w:numPr>
        <w:outlineLvl w:val="3"/>
        <w:rPr>
          <w:b/>
          <w:bCs/>
          <w:spacing w:val="-1"/>
          <w:sz w:val="22"/>
          <w:szCs w:val="22"/>
        </w:rPr>
      </w:pPr>
      <w:bookmarkStart w:id="48" w:name="H4_Property_plant_and_equipment"/>
      <w:r>
        <w:rPr>
          <w:b/>
          <w:bCs/>
          <w:spacing w:val="-1"/>
          <w:sz w:val="22"/>
          <w:szCs w:val="22"/>
        </w:rPr>
        <w:t xml:space="preserve">Property, </w:t>
      </w:r>
      <w:r w:rsidRPr="008C50D3">
        <w:rPr>
          <w:b/>
          <w:bCs/>
          <w:spacing w:val="-1"/>
          <w:sz w:val="22"/>
          <w:szCs w:val="22"/>
        </w:rPr>
        <w:t>plant and equipment</w:t>
      </w:r>
    </w:p>
    <w:bookmarkEnd w:id="48"/>
    <w:p w14:paraId="5CA3C7F2" w14:textId="2FD9A4C0" w:rsidR="008C50D3" w:rsidRPr="007715B5" w:rsidRDefault="008C50D3" w:rsidP="0099751B">
      <w:pPr>
        <w:rPr>
          <w:sz w:val="22"/>
          <w:szCs w:val="22"/>
        </w:rPr>
      </w:pPr>
    </w:p>
    <w:p w14:paraId="1B89C6DF" w14:textId="77777777" w:rsidR="008C50D3" w:rsidRPr="007715B5" w:rsidRDefault="008C50D3" w:rsidP="00387E42">
      <w:pPr>
        <w:ind w:left="1210"/>
        <w:jc w:val="both"/>
        <w:rPr>
          <w:sz w:val="22"/>
          <w:szCs w:val="22"/>
        </w:rPr>
      </w:pPr>
      <w:r w:rsidRPr="007715B5">
        <w:rPr>
          <w:sz w:val="22"/>
          <w:szCs w:val="22"/>
        </w:rPr>
        <w:t xml:space="preserve">Property, plant and equipment are measured at cost, including directly attributable costs, less accumulated depreciation, accumulated impairment losses and any related investment grants and excluding day-to-day servicing expenses. </w:t>
      </w:r>
      <w:proofErr w:type="gramStart"/>
      <w:r w:rsidRPr="007715B5">
        <w:rPr>
          <w:sz w:val="22"/>
          <w:szCs w:val="22"/>
        </w:rPr>
        <w:t>Cost</w:t>
      </w:r>
      <w:proofErr w:type="gramEnd"/>
      <w:r w:rsidRPr="007715B5">
        <w:rPr>
          <w:sz w:val="22"/>
          <w:szCs w:val="22"/>
        </w:rPr>
        <w:t xml:space="preserve"> includes spare parts and auxiliary equipment that are used in connection with plant and equipment.</w:t>
      </w:r>
    </w:p>
    <w:p w14:paraId="0F9F1136" w14:textId="77777777" w:rsidR="008C50D3" w:rsidRPr="007715B5" w:rsidRDefault="008C50D3" w:rsidP="00387E42">
      <w:pPr>
        <w:jc w:val="both"/>
        <w:rPr>
          <w:sz w:val="22"/>
          <w:szCs w:val="22"/>
        </w:rPr>
      </w:pPr>
    </w:p>
    <w:p w14:paraId="646400EF" w14:textId="77777777" w:rsidR="008C50D3" w:rsidRPr="007715B5" w:rsidRDefault="008C50D3" w:rsidP="00387E42">
      <w:pPr>
        <w:ind w:left="1210"/>
        <w:jc w:val="both"/>
        <w:rPr>
          <w:sz w:val="22"/>
          <w:szCs w:val="22"/>
        </w:rPr>
      </w:pPr>
      <w:r w:rsidRPr="007715B5">
        <w:rPr>
          <w:sz w:val="22"/>
          <w:szCs w:val="22"/>
        </w:rPr>
        <w:t xml:space="preserve">A part of an item of property, plant and equipment with a cost that is significant in relation to the total cost of the item is depreciated separately using the component method. </w:t>
      </w:r>
    </w:p>
    <w:p w14:paraId="6B84B321" w14:textId="77777777" w:rsidR="008C50D3" w:rsidRPr="007715B5" w:rsidRDefault="008C50D3" w:rsidP="00387E42">
      <w:pPr>
        <w:jc w:val="both"/>
        <w:rPr>
          <w:sz w:val="22"/>
          <w:szCs w:val="22"/>
        </w:rPr>
      </w:pPr>
    </w:p>
    <w:p w14:paraId="5CD8DED0" w14:textId="77777777" w:rsidR="008C50D3" w:rsidRPr="007715B5" w:rsidRDefault="008C50D3" w:rsidP="00387E42">
      <w:pPr>
        <w:ind w:left="1210"/>
        <w:jc w:val="both"/>
        <w:rPr>
          <w:sz w:val="22"/>
          <w:szCs w:val="22"/>
        </w:rPr>
      </w:pPr>
      <w:r w:rsidRPr="007715B5">
        <w:rPr>
          <w:sz w:val="22"/>
          <w:szCs w:val="22"/>
        </w:rPr>
        <w:t xml:space="preserve">The cost of an item of property, plant and equipment comprises the initial estimate of the costs of dismantling and removing the item and restoring the site on which the item is located. </w:t>
      </w:r>
    </w:p>
    <w:p w14:paraId="36AC3190" w14:textId="75580B72" w:rsidR="004D260B" w:rsidRDefault="004D260B">
      <w:pPr>
        <w:rPr>
          <w:sz w:val="22"/>
          <w:szCs w:val="22"/>
        </w:rPr>
      </w:pPr>
      <w:r>
        <w:rPr>
          <w:sz w:val="22"/>
          <w:szCs w:val="22"/>
        </w:rPr>
        <w:br w:type="page"/>
      </w:r>
    </w:p>
    <w:p w14:paraId="76122B61" w14:textId="11F4D197" w:rsidR="008C50D3" w:rsidRPr="004D260B" w:rsidRDefault="008C50D3" w:rsidP="008C50D3">
      <w:pPr>
        <w:rPr>
          <w:sz w:val="22"/>
          <w:szCs w:val="22"/>
        </w:rPr>
      </w:pPr>
    </w:p>
    <w:p w14:paraId="2ABF2044" w14:textId="77777777" w:rsidR="008C50D3" w:rsidRPr="004D260B" w:rsidRDefault="008C50D3" w:rsidP="008C50D3">
      <w:pPr>
        <w:rPr>
          <w:b/>
          <w:bCs/>
          <w:sz w:val="22"/>
          <w:szCs w:val="22"/>
        </w:rPr>
      </w:pPr>
      <w:r w:rsidRPr="004D260B">
        <w:rPr>
          <w:b/>
          <w:bCs/>
          <w:sz w:val="22"/>
          <w:szCs w:val="22"/>
        </w:rPr>
        <w:t>Note 3 - Significant Accounting Policies (cont’d)</w:t>
      </w:r>
    </w:p>
    <w:p w14:paraId="781957F5" w14:textId="0E4FE441" w:rsidR="008C50D3" w:rsidRPr="004D260B" w:rsidRDefault="008C50D3" w:rsidP="008C50D3">
      <w:pPr>
        <w:rPr>
          <w:sz w:val="22"/>
          <w:szCs w:val="22"/>
        </w:rPr>
      </w:pPr>
    </w:p>
    <w:p w14:paraId="6F70289C" w14:textId="4B477977" w:rsidR="008C50D3" w:rsidRPr="004D260B" w:rsidRDefault="008C50D3" w:rsidP="00C5462B">
      <w:pPr>
        <w:pStyle w:val="af2"/>
        <w:numPr>
          <w:ilvl w:val="0"/>
          <w:numId w:val="25"/>
        </w:numPr>
        <w:rPr>
          <w:b/>
          <w:bCs/>
          <w:spacing w:val="-1"/>
          <w:sz w:val="22"/>
          <w:szCs w:val="22"/>
        </w:rPr>
      </w:pPr>
      <w:r w:rsidRPr="004D260B">
        <w:rPr>
          <w:b/>
          <w:bCs/>
          <w:spacing w:val="-1"/>
          <w:sz w:val="22"/>
          <w:szCs w:val="22"/>
        </w:rPr>
        <w:t>Property, plant and equipment (Cont’d)</w:t>
      </w:r>
    </w:p>
    <w:p w14:paraId="26B9397E" w14:textId="77777777" w:rsidR="008C50D3" w:rsidRPr="004D260B" w:rsidRDefault="008C50D3" w:rsidP="008C50D3">
      <w:pPr>
        <w:rPr>
          <w:sz w:val="22"/>
          <w:szCs w:val="22"/>
        </w:rPr>
      </w:pPr>
    </w:p>
    <w:p w14:paraId="4B1E52F3" w14:textId="1CF2AFB0" w:rsidR="008C50D3" w:rsidRPr="0020502A" w:rsidRDefault="008C50D3" w:rsidP="00772DD9">
      <w:pPr>
        <w:ind w:left="720"/>
        <w:jc w:val="both"/>
        <w:rPr>
          <w:b/>
          <w:bCs/>
          <w:sz w:val="22"/>
          <w:szCs w:val="22"/>
        </w:rPr>
      </w:pPr>
      <w:r w:rsidRPr="007715B5">
        <w:rPr>
          <w:sz w:val="22"/>
          <w:szCs w:val="22"/>
        </w:rPr>
        <w:t>Depreciation is calculated on a straight-line basis over the useful life of the assets at annual rates as follows</w:t>
      </w:r>
      <w:r>
        <w:rPr>
          <w:sz w:val="22"/>
          <w:szCs w:val="22"/>
        </w:rPr>
        <w:t>:</w:t>
      </w:r>
      <w:r w:rsidR="00BE2B6A">
        <w:rPr>
          <w:b/>
          <w:bCs/>
          <w:sz w:val="22"/>
          <w:szCs w:val="22"/>
        </w:rPr>
        <w:t xml:space="preserve"> </w:t>
      </w:r>
    </w:p>
    <w:p w14:paraId="4B7B30B9" w14:textId="77777777" w:rsidR="008C50D3" w:rsidRDefault="008C50D3" w:rsidP="0099751B">
      <w:pPr>
        <w:rPr>
          <w:b/>
          <w:bCs/>
          <w:sz w:val="26"/>
          <w:szCs w:val="26"/>
        </w:rPr>
      </w:pPr>
    </w:p>
    <w:bookmarkEnd w:id="46"/>
    <w:p w14:paraId="36DABDEF" w14:textId="3C59D800" w:rsidR="00C35D07" w:rsidRPr="00226F27" w:rsidRDefault="00C35D07" w:rsidP="003B2B96">
      <w:pPr>
        <w:ind w:left="720"/>
        <w:jc w:val="both"/>
        <w:rPr>
          <w:sz w:val="22"/>
          <w:szCs w:val="22"/>
        </w:rPr>
      </w:pPr>
      <w:r w:rsidRPr="00226F27">
        <w:rPr>
          <w:sz w:val="22"/>
          <w:szCs w:val="22"/>
        </w:rPr>
        <w:t>●</w:t>
      </w:r>
      <w:r w:rsidRPr="00226F27">
        <w:rPr>
          <w:sz w:val="22"/>
          <w:szCs w:val="22"/>
        </w:rPr>
        <w:tab/>
        <w:t>Equipment and computers</w:t>
      </w:r>
      <w:r w:rsidRPr="00226F27">
        <w:rPr>
          <w:sz w:val="22"/>
          <w:szCs w:val="22"/>
        </w:rPr>
        <w:tab/>
      </w:r>
      <w:r w:rsidRPr="00226F27">
        <w:rPr>
          <w:sz w:val="22"/>
          <w:szCs w:val="22"/>
        </w:rPr>
        <w:tab/>
        <w:t>3-</w:t>
      </w:r>
      <w:r w:rsidR="00226F27" w:rsidRPr="00226F27">
        <w:rPr>
          <w:sz w:val="22"/>
          <w:szCs w:val="22"/>
        </w:rPr>
        <w:t xml:space="preserve">16 </w:t>
      </w:r>
      <w:r w:rsidRPr="00226F27">
        <w:rPr>
          <w:sz w:val="22"/>
          <w:szCs w:val="22"/>
        </w:rPr>
        <w:t>years</w:t>
      </w:r>
    </w:p>
    <w:p w14:paraId="00B5461B" w14:textId="5DC05775" w:rsidR="00F12F64" w:rsidRDefault="00C35D07" w:rsidP="003B2B96">
      <w:pPr>
        <w:ind w:left="720"/>
        <w:jc w:val="both"/>
        <w:rPr>
          <w:sz w:val="22"/>
          <w:szCs w:val="22"/>
        </w:rPr>
      </w:pPr>
      <w:r w:rsidRPr="00226F27">
        <w:rPr>
          <w:sz w:val="22"/>
          <w:szCs w:val="22"/>
        </w:rPr>
        <w:t>●</w:t>
      </w:r>
      <w:r w:rsidRPr="00226F27">
        <w:rPr>
          <w:sz w:val="22"/>
          <w:szCs w:val="22"/>
        </w:rPr>
        <w:tab/>
        <w:t>Motor vehicles</w:t>
      </w:r>
      <w:r w:rsidRPr="00226F27">
        <w:rPr>
          <w:sz w:val="22"/>
          <w:szCs w:val="22"/>
        </w:rPr>
        <w:tab/>
      </w:r>
      <w:r w:rsidRPr="00226F27">
        <w:rPr>
          <w:sz w:val="22"/>
          <w:szCs w:val="22"/>
        </w:rPr>
        <w:tab/>
      </w:r>
      <w:r w:rsidRPr="00226F27">
        <w:rPr>
          <w:sz w:val="22"/>
          <w:szCs w:val="22"/>
        </w:rPr>
        <w:tab/>
      </w:r>
      <w:r w:rsidRPr="00226F27">
        <w:rPr>
          <w:sz w:val="22"/>
          <w:szCs w:val="22"/>
        </w:rPr>
        <w:tab/>
      </w:r>
      <w:r w:rsidR="00226F27" w:rsidRPr="00226F27">
        <w:rPr>
          <w:sz w:val="22"/>
          <w:szCs w:val="22"/>
        </w:rPr>
        <w:t xml:space="preserve">4-7 </w:t>
      </w:r>
      <w:r w:rsidRPr="00226F27">
        <w:rPr>
          <w:sz w:val="22"/>
          <w:szCs w:val="22"/>
        </w:rPr>
        <w:t>years</w:t>
      </w:r>
    </w:p>
    <w:p w14:paraId="6565BF61" w14:textId="68AD7F23" w:rsidR="003868F4" w:rsidRDefault="003868F4" w:rsidP="003868F4">
      <w:pPr>
        <w:ind w:left="720"/>
        <w:jc w:val="both"/>
        <w:rPr>
          <w:sz w:val="22"/>
          <w:szCs w:val="22"/>
        </w:rPr>
      </w:pPr>
      <w:r w:rsidRPr="00AB2E4F">
        <w:rPr>
          <w:sz w:val="22"/>
          <w:szCs w:val="22"/>
        </w:rPr>
        <w:t>●</w:t>
      </w:r>
      <w:r w:rsidRPr="00AB2E4F">
        <w:rPr>
          <w:sz w:val="22"/>
          <w:szCs w:val="22"/>
        </w:rPr>
        <w:tab/>
        <w:t>Hotel</w:t>
      </w:r>
      <w:r w:rsidRPr="00AB2E4F">
        <w:rPr>
          <w:sz w:val="22"/>
          <w:szCs w:val="22"/>
        </w:rPr>
        <w:tab/>
      </w:r>
      <w:r w:rsidRPr="00AB2E4F">
        <w:rPr>
          <w:sz w:val="22"/>
          <w:szCs w:val="22"/>
        </w:rPr>
        <w:tab/>
      </w:r>
      <w:r w:rsidRPr="00AB2E4F">
        <w:rPr>
          <w:sz w:val="22"/>
          <w:szCs w:val="22"/>
        </w:rPr>
        <w:tab/>
      </w:r>
      <w:r w:rsidRPr="00AB2E4F">
        <w:rPr>
          <w:sz w:val="22"/>
          <w:szCs w:val="22"/>
        </w:rPr>
        <w:tab/>
      </w:r>
      <w:r w:rsidRPr="00AB2E4F">
        <w:rPr>
          <w:sz w:val="22"/>
          <w:szCs w:val="22"/>
        </w:rPr>
        <w:tab/>
      </w:r>
      <w:r w:rsidRPr="00AB2E4F">
        <w:rPr>
          <w:sz w:val="22"/>
          <w:szCs w:val="22"/>
        </w:rPr>
        <w:tab/>
      </w:r>
      <w:r w:rsidR="00243412">
        <w:rPr>
          <w:sz w:val="22"/>
          <w:szCs w:val="22"/>
          <w:lang w:bidi="he-IL"/>
        </w:rPr>
        <w:t>40</w:t>
      </w:r>
      <w:r w:rsidRPr="00AB2E4F">
        <w:rPr>
          <w:sz w:val="22"/>
          <w:szCs w:val="22"/>
        </w:rPr>
        <w:t xml:space="preserve"> years</w:t>
      </w:r>
    </w:p>
    <w:p w14:paraId="454F29D6" w14:textId="77777777" w:rsidR="00C35D07" w:rsidRPr="00F02921" w:rsidRDefault="00C35D07" w:rsidP="003B2B96">
      <w:pPr>
        <w:ind w:left="720"/>
        <w:jc w:val="both"/>
        <w:rPr>
          <w:sz w:val="22"/>
          <w:szCs w:val="22"/>
        </w:rPr>
      </w:pPr>
    </w:p>
    <w:p w14:paraId="60531922" w14:textId="1468AB73" w:rsidR="008C50D3" w:rsidRPr="00F02921" w:rsidRDefault="008C50D3" w:rsidP="003B2B96">
      <w:pPr>
        <w:ind w:left="720"/>
        <w:jc w:val="both"/>
        <w:rPr>
          <w:sz w:val="22"/>
          <w:szCs w:val="22"/>
        </w:rPr>
      </w:pPr>
      <w:r w:rsidRPr="008C50D3">
        <w:rPr>
          <w:sz w:val="22"/>
          <w:szCs w:val="22"/>
        </w:rPr>
        <w:t>Leasehold improvements are depreciated on a straight-line basis over the shorter of the lease term (including the extension option held by the Group and intended to be exercised) and the useful life of the improvement</w:t>
      </w:r>
      <w:r>
        <w:rPr>
          <w:sz w:val="22"/>
          <w:szCs w:val="22"/>
        </w:rPr>
        <w:t>.</w:t>
      </w:r>
    </w:p>
    <w:bookmarkEnd w:id="45"/>
    <w:p w14:paraId="1B3E04B0" w14:textId="77777777" w:rsidR="00C35D07" w:rsidRDefault="00C35D07" w:rsidP="00C1205D">
      <w:pPr>
        <w:ind w:left="1440"/>
        <w:jc w:val="both"/>
        <w:rPr>
          <w:sz w:val="22"/>
          <w:szCs w:val="22"/>
          <w:lang w:bidi="he-IL"/>
        </w:rPr>
      </w:pPr>
    </w:p>
    <w:p w14:paraId="62AA5CFB" w14:textId="0E86281B" w:rsidR="00C35D07" w:rsidRPr="007715B5" w:rsidRDefault="00963DD2" w:rsidP="00C5462B">
      <w:pPr>
        <w:pStyle w:val="af2"/>
        <w:numPr>
          <w:ilvl w:val="0"/>
          <w:numId w:val="25"/>
        </w:numPr>
        <w:jc w:val="both"/>
        <w:outlineLvl w:val="3"/>
        <w:rPr>
          <w:b/>
          <w:bCs/>
          <w:sz w:val="22"/>
          <w:szCs w:val="22"/>
        </w:rPr>
      </w:pPr>
      <w:bookmarkStart w:id="49" w:name="H5_Financial_instruments"/>
      <w:bookmarkStart w:id="50" w:name="H4_Financial_instruments"/>
      <w:bookmarkStart w:id="51" w:name="_Hlk534638725"/>
      <w:r w:rsidRPr="007715B5">
        <w:rPr>
          <w:b/>
          <w:bCs/>
          <w:sz w:val="22"/>
          <w:szCs w:val="22"/>
        </w:rPr>
        <w:t>Financial i</w:t>
      </w:r>
      <w:r w:rsidR="00C35D07" w:rsidRPr="007715B5">
        <w:rPr>
          <w:b/>
          <w:bCs/>
          <w:sz w:val="22"/>
          <w:szCs w:val="22"/>
        </w:rPr>
        <w:t>nstruments</w:t>
      </w:r>
    </w:p>
    <w:bookmarkEnd w:id="49"/>
    <w:bookmarkEnd w:id="50"/>
    <w:p w14:paraId="793D244D" w14:textId="4C18A1B5" w:rsidR="00136060" w:rsidRDefault="00136060" w:rsidP="00CC1EFE">
      <w:pPr>
        <w:ind w:left="720"/>
        <w:jc w:val="both"/>
        <w:rPr>
          <w:b/>
          <w:bCs/>
          <w:sz w:val="22"/>
          <w:szCs w:val="22"/>
        </w:rPr>
      </w:pPr>
    </w:p>
    <w:p w14:paraId="60185E2B" w14:textId="6741D1F8" w:rsidR="00136060" w:rsidRPr="00C435F7" w:rsidRDefault="00136060" w:rsidP="00F00E32">
      <w:pPr>
        <w:ind w:firstLine="720"/>
        <w:jc w:val="both"/>
        <w:outlineLvl w:val="4"/>
        <w:rPr>
          <w:b/>
          <w:bCs/>
          <w:sz w:val="22"/>
          <w:szCs w:val="22"/>
        </w:rPr>
      </w:pPr>
      <w:bookmarkStart w:id="52" w:name="H6_1Nonderivative_financial_assets_"/>
      <w:bookmarkStart w:id="53" w:name="H5_1Nonderivative_financial_assets_"/>
      <w:r w:rsidRPr="00C435F7">
        <w:rPr>
          <w:b/>
          <w:bCs/>
          <w:sz w:val="22"/>
          <w:szCs w:val="22"/>
        </w:rPr>
        <w:t>(1)</w:t>
      </w:r>
      <w:r w:rsidRPr="00C435F7">
        <w:rPr>
          <w:b/>
          <w:bCs/>
          <w:sz w:val="22"/>
          <w:szCs w:val="22"/>
        </w:rPr>
        <w:tab/>
        <w:t xml:space="preserve">Non-derivative financial </w:t>
      </w:r>
      <w:r>
        <w:rPr>
          <w:b/>
          <w:bCs/>
          <w:sz w:val="22"/>
          <w:szCs w:val="22"/>
        </w:rPr>
        <w:t xml:space="preserve">assets </w:t>
      </w:r>
    </w:p>
    <w:bookmarkEnd w:id="52"/>
    <w:bookmarkEnd w:id="53"/>
    <w:p w14:paraId="3B3C143D" w14:textId="21E18E16" w:rsidR="00136060" w:rsidRDefault="00136060" w:rsidP="00CC1EFE">
      <w:pPr>
        <w:ind w:left="720"/>
        <w:jc w:val="both"/>
        <w:rPr>
          <w:b/>
          <w:bCs/>
          <w:sz w:val="22"/>
          <w:szCs w:val="22"/>
        </w:rPr>
      </w:pPr>
    </w:p>
    <w:p w14:paraId="30E9EEBF" w14:textId="77777777" w:rsidR="00136060" w:rsidRPr="00377C8B" w:rsidRDefault="00136060" w:rsidP="00F00E32">
      <w:pPr>
        <w:ind w:left="1440"/>
        <w:outlineLvl w:val="5"/>
        <w:rPr>
          <w:sz w:val="22"/>
          <w:szCs w:val="22"/>
          <w:u w:val="single"/>
        </w:rPr>
      </w:pPr>
      <w:bookmarkStart w:id="54" w:name="H6_Initial_recognition_and_measurement_o"/>
      <w:r w:rsidRPr="00377C8B">
        <w:rPr>
          <w:sz w:val="22"/>
          <w:szCs w:val="22"/>
          <w:u w:val="single"/>
        </w:rPr>
        <w:t>Initial recognition and measurement of financial assets</w:t>
      </w:r>
    </w:p>
    <w:bookmarkEnd w:id="54"/>
    <w:p w14:paraId="1978F1DA" w14:textId="77777777" w:rsidR="00136060" w:rsidRPr="00676817" w:rsidRDefault="00136060" w:rsidP="00377C8B">
      <w:pPr>
        <w:ind w:left="1440"/>
        <w:jc w:val="both"/>
        <w:rPr>
          <w:sz w:val="22"/>
          <w:szCs w:val="22"/>
        </w:rPr>
      </w:pPr>
      <w:r w:rsidRPr="00676817">
        <w:rPr>
          <w:sz w:val="22"/>
          <w:szCs w:val="22"/>
        </w:rPr>
        <w:t xml:space="preserve">The Group initially recognizes trade receivables and debt instruments issued on the date that they are created. All other financial assets are recognized initially on the trade date at which the Group becomes a party to the contractual provisions of the instrument. </w:t>
      </w:r>
      <w:r>
        <w:rPr>
          <w:sz w:val="22"/>
          <w:szCs w:val="22"/>
        </w:rPr>
        <w:t>A</w:t>
      </w:r>
      <w:r w:rsidRPr="00676817">
        <w:rPr>
          <w:sz w:val="22"/>
          <w:szCs w:val="22"/>
        </w:rPr>
        <w:t xml:space="preserve"> financial asset </w:t>
      </w:r>
      <w:r>
        <w:rPr>
          <w:sz w:val="22"/>
          <w:szCs w:val="22"/>
        </w:rPr>
        <w:t>is</w:t>
      </w:r>
      <w:r w:rsidRPr="00676817">
        <w:rPr>
          <w:sz w:val="22"/>
          <w:szCs w:val="22"/>
        </w:rPr>
        <w:t xml:space="preserve"> initially measured at fair value plus</w:t>
      </w:r>
      <w:r>
        <w:rPr>
          <w:sz w:val="22"/>
          <w:szCs w:val="22"/>
        </w:rPr>
        <w:t xml:space="preserve"> </w:t>
      </w:r>
      <w:r w:rsidRPr="00676817">
        <w:rPr>
          <w:sz w:val="22"/>
          <w:szCs w:val="22"/>
        </w:rPr>
        <w:t>transaction costs that are directly attributable to the acquisition or issuance of the financial asset. A trade receivable without a significant financing component is initially measured at the transaction price. Receivables originating from contract assets are initially measured at the carrying amount of the contract assets on the date classification was changed from contract asset to receivables.</w:t>
      </w:r>
    </w:p>
    <w:p w14:paraId="3BCCAD85" w14:textId="77777777" w:rsidR="0099751B" w:rsidRDefault="0099751B" w:rsidP="00377C8B">
      <w:pPr>
        <w:ind w:left="1440"/>
        <w:rPr>
          <w:sz w:val="22"/>
          <w:szCs w:val="22"/>
          <w:u w:val="single"/>
        </w:rPr>
      </w:pPr>
    </w:p>
    <w:p w14:paraId="504CAD96" w14:textId="18B390F4" w:rsidR="00136060" w:rsidRPr="00676817" w:rsidRDefault="00136060" w:rsidP="00377C8B">
      <w:pPr>
        <w:ind w:left="1440"/>
        <w:rPr>
          <w:b/>
          <w:bCs/>
          <w:i/>
          <w:iCs/>
          <w:sz w:val="22"/>
          <w:szCs w:val="22"/>
        </w:rPr>
      </w:pPr>
      <w:r w:rsidRPr="00377C8B">
        <w:rPr>
          <w:sz w:val="22"/>
          <w:szCs w:val="22"/>
          <w:u w:val="single"/>
        </w:rPr>
        <w:t>Derecognition of financial assets</w:t>
      </w:r>
    </w:p>
    <w:p w14:paraId="28AC2ED5" w14:textId="77777777" w:rsidR="00136060" w:rsidRDefault="00136060" w:rsidP="00377C8B">
      <w:pPr>
        <w:ind w:left="1440"/>
        <w:jc w:val="both"/>
        <w:rPr>
          <w:sz w:val="22"/>
          <w:szCs w:val="22"/>
        </w:rPr>
      </w:pPr>
      <w:r>
        <w:rPr>
          <w:sz w:val="22"/>
          <w:szCs w:val="22"/>
        </w:rPr>
        <w:t>F</w:t>
      </w:r>
      <w:r w:rsidRPr="004C41AF">
        <w:rPr>
          <w:sz w:val="22"/>
          <w:szCs w:val="22"/>
        </w:rPr>
        <w:t>inancial asset</w:t>
      </w:r>
      <w:r>
        <w:rPr>
          <w:sz w:val="22"/>
          <w:szCs w:val="22"/>
        </w:rPr>
        <w:t>s are derecognized</w:t>
      </w:r>
      <w:r w:rsidRPr="004C41AF">
        <w:rPr>
          <w:sz w:val="22"/>
          <w:szCs w:val="22"/>
        </w:rPr>
        <w:t xml:space="preserve"> when the contractual rights </w:t>
      </w:r>
      <w:r>
        <w:rPr>
          <w:sz w:val="22"/>
          <w:szCs w:val="22"/>
        </w:rPr>
        <w:t xml:space="preserve">of the Group </w:t>
      </w:r>
      <w:r w:rsidRPr="004C41AF">
        <w:rPr>
          <w:sz w:val="22"/>
          <w:szCs w:val="22"/>
        </w:rPr>
        <w:t>to the cash fl</w:t>
      </w:r>
      <w:r>
        <w:rPr>
          <w:sz w:val="22"/>
          <w:szCs w:val="22"/>
        </w:rPr>
        <w:t>ows from the asset expire, or the Group</w:t>
      </w:r>
      <w:r w:rsidRPr="004C41AF">
        <w:rPr>
          <w:sz w:val="22"/>
          <w:szCs w:val="22"/>
        </w:rPr>
        <w:t xml:space="preserve"> transfers the rights to receive the contractual cash flows on the financial asset in a transaction in which substantially all the risks and rewards of ownership of the financial asset are transferred. </w:t>
      </w:r>
      <w:r w:rsidRPr="0030002E">
        <w:rPr>
          <w:sz w:val="22"/>
          <w:szCs w:val="22"/>
        </w:rPr>
        <w:t xml:space="preserve">When the Group retains substantially </w:t>
      </w:r>
      <w:proofErr w:type="gramStart"/>
      <w:r w:rsidRPr="0030002E">
        <w:rPr>
          <w:sz w:val="22"/>
          <w:szCs w:val="22"/>
        </w:rPr>
        <w:t xml:space="preserve">all </w:t>
      </w:r>
      <w:r>
        <w:rPr>
          <w:sz w:val="22"/>
          <w:szCs w:val="22"/>
        </w:rPr>
        <w:t>of</w:t>
      </w:r>
      <w:proofErr w:type="gramEnd"/>
      <w:r>
        <w:rPr>
          <w:sz w:val="22"/>
          <w:szCs w:val="22"/>
        </w:rPr>
        <w:t xml:space="preserve"> </w:t>
      </w:r>
      <w:r w:rsidRPr="0030002E">
        <w:rPr>
          <w:sz w:val="22"/>
          <w:szCs w:val="22"/>
        </w:rPr>
        <w:t>the risks and rewards of ownership of the financial asset, it continues to recognize the financial asset.</w:t>
      </w:r>
    </w:p>
    <w:p w14:paraId="708D64F6" w14:textId="77777777" w:rsidR="00136060" w:rsidRPr="0030002E" w:rsidRDefault="00136060" w:rsidP="00377C8B">
      <w:pPr>
        <w:ind w:left="1440"/>
        <w:jc w:val="both"/>
        <w:rPr>
          <w:sz w:val="22"/>
          <w:szCs w:val="22"/>
        </w:rPr>
      </w:pPr>
    </w:p>
    <w:p w14:paraId="7B672B6C" w14:textId="77777777" w:rsidR="00136060" w:rsidRPr="00377C8B" w:rsidRDefault="00136060" w:rsidP="00F00E32">
      <w:pPr>
        <w:ind w:left="1440"/>
        <w:outlineLvl w:val="5"/>
        <w:rPr>
          <w:sz w:val="22"/>
          <w:szCs w:val="22"/>
          <w:u w:val="single"/>
        </w:rPr>
      </w:pPr>
      <w:bookmarkStart w:id="55" w:name="H6_Classification_of_financial_assets_in"/>
      <w:r w:rsidRPr="00377C8B">
        <w:rPr>
          <w:sz w:val="22"/>
          <w:szCs w:val="22"/>
          <w:u w:val="single"/>
        </w:rPr>
        <w:t>Classification of financial assets into categories and the accounting treatment of each category</w:t>
      </w:r>
    </w:p>
    <w:bookmarkEnd w:id="55"/>
    <w:p w14:paraId="3FF9CA64" w14:textId="77777777" w:rsidR="00136060" w:rsidRPr="006E625E" w:rsidRDefault="00136060" w:rsidP="00377C8B">
      <w:pPr>
        <w:ind w:left="1440"/>
        <w:jc w:val="both"/>
        <w:rPr>
          <w:sz w:val="22"/>
          <w:szCs w:val="22"/>
        </w:rPr>
      </w:pPr>
      <w:r w:rsidRPr="006E625E">
        <w:rPr>
          <w:sz w:val="22"/>
          <w:szCs w:val="22"/>
        </w:rPr>
        <w:t>Financial assets are classified at initial recognition to one of the following measurement categories: amortized cost; fair value through other comprehensive income – investments in debt instruments; fair value through other comprehensive income – investments in equity instruments; or fair value through profit or loss.</w:t>
      </w:r>
    </w:p>
    <w:p w14:paraId="6CD6376A" w14:textId="77777777" w:rsidR="00136060" w:rsidRPr="006E625E" w:rsidRDefault="00136060" w:rsidP="00377C8B">
      <w:pPr>
        <w:ind w:left="1440"/>
        <w:jc w:val="both"/>
        <w:rPr>
          <w:sz w:val="22"/>
          <w:szCs w:val="22"/>
        </w:rPr>
      </w:pPr>
    </w:p>
    <w:p w14:paraId="764F24B5" w14:textId="64640BEF" w:rsidR="00136060" w:rsidRDefault="00136060" w:rsidP="00237FC5">
      <w:pPr>
        <w:ind w:left="1440"/>
        <w:jc w:val="both"/>
        <w:rPr>
          <w:b/>
          <w:bCs/>
          <w:sz w:val="22"/>
          <w:szCs w:val="22"/>
        </w:rPr>
      </w:pPr>
      <w:r w:rsidRPr="006E625E">
        <w:rPr>
          <w:sz w:val="22"/>
          <w:szCs w:val="22"/>
        </w:rPr>
        <w:t>Financial assets are not reclassified in subsequent periods unless, and only if, the Group changes its business model for the management of financial debt assets, in which case the affected financial debt assets are reclassified at the beginning of the period following the change in the business model.</w:t>
      </w:r>
    </w:p>
    <w:p w14:paraId="3BFB56E1" w14:textId="77777777" w:rsidR="004F6797" w:rsidRDefault="004F6797" w:rsidP="00136060">
      <w:pPr>
        <w:ind w:left="1440"/>
        <w:jc w:val="both"/>
        <w:rPr>
          <w:sz w:val="22"/>
          <w:szCs w:val="22"/>
        </w:rPr>
      </w:pPr>
    </w:p>
    <w:p w14:paraId="7D8F07BA" w14:textId="0B5DFBBD" w:rsidR="004D260B" w:rsidRDefault="004D260B">
      <w:pPr>
        <w:rPr>
          <w:sz w:val="22"/>
          <w:szCs w:val="22"/>
          <w:u w:val="single"/>
        </w:rPr>
      </w:pPr>
      <w:r>
        <w:rPr>
          <w:sz w:val="22"/>
          <w:szCs w:val="22"/>
          <w:u w:val="single"/>
        </w:rPr>
        <w:br w:type="page"/>
      </w:r>
    </w:p>
    <w:p w14:paraId="148D8904" w14:textId="438768DE" w:rsidR="00A402EC" w:rsidRPr="004D260B" w:rsidRDefault="00A402EC" w:rsidP="00377C8B">
      <w:pPr>
        <w:ind w:left="1440"/>
        <w:rPr>
          <w:sz w:val="22"/>
          <w:szCs w:val="22"/>
          <w:u w:val="single"/>
        </w:rPr>
      </w:pPr>
    </w:p>
    <w:p w14:paraId="573587EF" w14:textId="77777777" w:rsidR="00A402EC" w:rsidRPr="004D260B" w:rsidRDefault="00A402EC" w:rsidP="00A402EC">
      <w:pPr>
        <w:rPr>
          <w:b/>
          <w:bCs/>
          <w:sz w:val="22"/>
          <w:szCs w:val="22"/>
        </w:rPr>
      </w:pPr>
      <w:r w:rsidRPr="004D260B">
        <w:rPr>
          <w:b/>
          <w:bCs/>
          <w:sz w:val="22"/>
          <w:szCs w:val="22"/>
        </w:rPr>
        <w:t>Note 3 - Significant Accounting Policies (cont’d)</w:t>
      </w:r>
    </w:p>
    <w:p w14:paraId="3BACC28D" w14:textId="77777777" w:rsidR="00A402EC" w:rsidRPr="004D260B" w:rsidRDefault="00A402EC" w:rsidP="00A402EC">
      <w:pPr>
        <w:rPr>
          <w:b/>
          <w:bCs/>
          <w:sz w:val="22"/>
          <w:szCs w:val="22"/>
        </w:rPr>
      </w:pPr>
    </w:p>
    <w:p w14:paraId="6DB0762F" w14:textId="4BBD58AB" w:rsidR="00A402EC" w:rsidRPr="004D260B" w:rsidRDefault="00A402EC" w:rsidP="00A402EC">
      <w:pPr>
        <w:ind w:left="720"/>
        <w:jc w:val="both"/>
        <w:rPr>
          <w:b/>
          <w:bCs/>
          <w:sz w:val="22"/>
          <w:szCs w:val="22"/>
        </w:rPr>
      </w:pPr>
      <w:r w:rsidRPr="004D260B">
        <w:rPr>
          <w:b/>
          <w:bCs/>
          <w:sz w:val="22"/>
          <w:szCs w:val="22"/>
        </w:rPr>
        <w:t>I.</w:t>
      </w:r>
      <w:r w:rsidRPr="004D260B">
        <w:rPr>
          <w:b/>
          <w:bCs/>
          <w:sz w:val="22"/>
          <w:szCs w:val="22"/>
        </w:rPr>
        <w:tab/>
        <w:t>Financial instruments (cont'd)</w:t>
      </w:r>
    </w:p>
    <w:p w14:paraId="25B2D68C" w14:textId="77777777" w:rsidR="00A402EC" w:rsidRPr="004D260B" w:rsidRDefault="00A402EC" w:rsidP="00A402EC">
      <w:pPr>
        <w:ind w:left="720"/>
        <w:jc w:val="both"/>
        <w:rPr>
          <w:b/>
          <w:bCs/>
          <w:sz w:val="22"/>
          <w:szCs w:val="22"/>
        </w:rPr>
      </w:pPr>
    </w:p>
    <w:p w14:paraId="58DD7ADF" w14:textId="77777777" w:rsidR="00A402EC" w:rsidRPr="004D260B" w:rsidRDefault="00A402EC" w:rsidP="00A402EC">
      <w:pPr>
        <w:ind w:firstLine="720"/>
        <w:jc w:val="both"/>
        <w:rPr>
          <w:sz w:val="22"/>
          <w:szCs w:val="22"/>
          <w:u w:val="single"/>
        </w:rPr>
      </w:pPr>
      <w:r w:rsidRPr="004D260B">
        <w:rPr>
          <w:b/>
          <w:bCs/>
          <w:sz w:val="22"/>
          <w:szCs w:val="22"/>
        </w:rPr>
        <w:t>(1)</w:t>
      </w:r>
      <w:r w:rsidRPr="004D260B">
        <w:rPr>
          <w:b/>
          <w:bCs/>
          <w:sz w:val="22"/>
          <w:szCs w:val="22"/>
        </w:rPr>
        <w:tab/>
        <w:t>Non-derivative financial assets (cont'd)</w:t>
      </w:r>
    </w:p>
    <w:p w14:paraId="426CDDA7" w14:textId="77777777" w:rsidR="00A402EC" w:rsidRDefault="00A402EC" w:rsidP="00377C8B">
      <w:pPr>
        <w:ind w:left="1440"/>
        <w:rPr>
          <w:sz w:val="22"/>
          <w:szCs w:val="22"/>
          <w:u w:val="single"/>
        </w:rPr>
      </w:pPr>
    </w:p>
    <w:p w14:paraId="6F7FB23B" w14:textId="7803BCBF" w:rsidR="004F6797" w:rsidRPr="00377C8B" w:rsidRDefault="004F6797" w:rsidP="00377C8B">
      <w:pPr>
        <w:ind w:left="1440"/>
        <w:rPr>
          <w:sz w:val="22"/>
          <w:szCs w:val="22"/>
          <w:u w:val="single"/>
        </w:rPr>
      </w:pPr>
      <w:r w:rsidRPr="00377C8B">
        <w:rPr>
          <w:sz w:val="22"/>
          <w:szCs w:val="22"/>
          <w:u w:val="single"/>
        </w:rPr>
        <w:t>Classification of financial assets into categories and the accounting treatment of each category (cont'd)</w:t>
      </w:r>
    </w:p>
    <w:p w14:paraId="00B3CA7E" w14:textId="2D233D81" w:rsidR="00136060" w:rsidRPr="006E625E" w:rsidRDefault="00136060" w:rsidP="00377C8B">
      <w:pPr>
        <w:ind w:left="1440"/>
        <w:jc w:val="both"/>
        <w:rPr>
          <w:sz w:val="22"/>
          <w:szCs w:val="22"/>
        </w:rPr>
      </w:pPr>
      <w:r w:rsidRPr="006E625E">
        <w:rPr>
          <w:sz w:val="22"/>
          <w:szCs w:val="22"/>
        </w:rPr>
        <w:t>A financial asset is measured at amortized cost if it meets both of the following conditions and is not designated at fair value through profit or loss:</w:t>
      </w:r>
    </w:p>
    <w:p w14:paraId="0C6BECFD" w14:textId="77777777" w:rsidR="00136060" w:rsidRPr="006E625E" w:rsidRDefault="00136060" w:rsidP="00377C8B">
      <w:pPr>
        <w:ind w:left="2007" w:hanging="567"/>
        <w:jc w:val="both"/>
        <w:rPr>
          <w:sz w:val="22"/>
          <w:szCs w:val="22"/>
        </w:rPr>
      </w:pPr>
      <w:r w:rsidRPr="006E625E">
        <w:rPr>
          <w:sz w:val="22"/>
          <w:szCs w:val="22"/>
        </w:rPr>
        <w:t>-</w:t>
      </w:r>
      <w:r w:rsidRPr="006E625E">
        <w:rPr>
          <w:sz w:val="22"/>
          <w:szCs w:val="22"/>
        </w:rPr>
        <w:tab/>
        <w:t xml:space="preserve">It is held within a business model whose objective is to hold assets </w:t>
      </w:r>
      <w:proofErr w:type="gramStart"/>
      <w:r w:rsidRPr="006E625E">
        <w:rPr>
          <w:sz w:val="22"/>
          <w:szCs w:val="22"/>
        </w:rPr>
        <w:t>so as to</w:t>
      </w:r>
      <w:proofErr w:type="gramEnd"/>
      <w:r w:rsidRPr="006E625E">
        <w:rPr>
          <w:sz w:val="22"/>
          <w:szCs w:val="22"/>
        </w:rPr>
        <w:t xml:space="preserve"> collect contractual cash </w:t>
      </w:r>
      <w:proofErr w:type="gramStart"/>
      <w:r w:rsidRPr="006E625E">
        <w:rPr>
          <w:sz w:val="22"/>
          <w:szCs w:val="22"/>
        </w:rPr>
        <w:t>flows</w:t>
      </w:r>
      <w:proofErr w:type="gramEnd"/>
      <w:r w:rsidRPr="006E625E">
        <w:rPr>
          <w:sz w:val="22"/>
          <w:szCs w:val="22"/>
        </w:rPr>
        <w:t>; and</w:t>
      </w:r>
    </w:p>
    <w:p w14:paraId="236F55A5" w14:textId="77777777" w:rsidR="00136060" w:rsidRPr="006E625E" w:rsidRDefault="00136060" w:rsidP="00377C8B">
      <w:pPr>
        <w:ind w:left="2007" w:hanging="567"/>
        <w:jc w:val="both"/>
        <w:rPr>
          <w:sz w:val="22"/>
          <w:szCs w:val="22"/>
        </w:rPr>
      </w:pPr>
      <w:r w:rsidRPr="006E625E">
        <w:rPr>
          <w:sz w:val="22"/>
          <w:szCs w:val="22"/>
        </w:rPr>
        <w:t>-</w:t>
      </w:r>
      <w:r w:rsidRPr="006E625E">
        <w:rPr>
          <w:sz w:val="22"/>
          <w:szCs w:val="22"/>
        </w:rPr>
        <w:tab/>
        <w:t xml:space="preserve">The contractual terms of the financial </w:t>
      </w:r>
      <w:proofErr w:type="gramStart"/>
      <w:r w:rsidRPr="006E625E">
        <w:rPr>
          <w:sz w:val="22"/>
          <w:szCs w:val="22"/>
        </w:rPr>
        <w:t>asset</w:t>
      </w:r>
      <w:proofErr w:type="gramEnd"/>
      <w:r w:rsidRPr="006E625E">
        <w:rPr>
          <w:sz w:val="22"/>
          <w:szCs w:val="22"/>
        </w:rPr>
        <w:t xml:space="preserve"> give rise to cash flows representing solely payments of principal and interest on the principal amount outstanding</w:t>
      </w:r>
      <w:r w:rsidRPr="003540DA">
        <w:rPr>
          <w:sz w:val="22"/>
          <w:szCs w:val="22"/>
        </w:rPr>
        <w:t xml:space="preserve"> </w:t>
      </w:r>
      <w:r w:rsidRPr="006E625E">
        <w:rPr>
          <w:sz w:val="22"/>
          <w:szCs w:val="22"/>
        </w:rPr>
        <w:t>on specified dates.</w:t>
      </w:r>
    </w:p>
    <w:p w14:paraId="01354E9C" w14:textId="77777777" w:rsidR="00136060" w:rsidRPr="006E625E" w:rsidRDefault="00136060" w:rsidP="00377C8B">
      <w:pPr>
        <w:ind w:left="1440"/>
        <w:jc w:val="both"/>
        <w:rPr>
          <w:sz w:val="22"/>
          <w:szCs w:val="22"/>
        </w:rPr>
      </w:pPr>
    </w:p>
    <w:p w14:paraId="75156037" w14:textId="77777777" w:rsidR="00136060" w:rsidRPr="006E625E" w:rsidRDefault="00136060" w:rsidP="00377C8B">
      <w:pPr>
        <w:ind w:left="1440"/>
        <w:jc w:val="both"/>
        <w:rPr>
          <w:sz w:val="22"/>
          <w:szCs w:val="22"/>
        </w:rPr>
      </w:pPr>
      <w:r w:rsidRPr="006E625E">
        <w:rPr>
          <w:sz w:val="22"/>
          <w:szCs w:val="22"/>
        </w:rPr>
        <w:t>A debt instrument is measured at fair value through other comprehensive income if it meets both of the following conditions and is not designated at fair value through profit or loss:</w:t>
      </w:r>
    </w:p>
    <w:p w14:paraId="5019269D" w14:textId="77777777" w:rsidR="00136060" w:rsidRPr="006E625E" w:rsidRDefault="00136060" w:rsidP="00377C8B">
      <w:pPr>
        <w:ind w:left="2007" w:hanging="567"/>
        <w:jc w:val="both"/>
        <w:rPr>
          <w:sz w:val="22"/>
          <w:szCs w:val="22"/>
        </w:rPr>
      </w:pPr>
      <w:r w:rsidRPr="006E625E">
        <w:rPr>
          <w:sz w:val="22"/>
          <w:szCs w:val="22"/>
        </w:rPr>
        <w:t>-</w:t>
      </w:r>
      <w:r w:rsidRPr="006E625E">
        <w:rPr>
          <w:sz w:val="22"/>
          <w:szCs w:val="22"/>
        </w:rPr>
        <w:tab/>
        <w:t>It is held within a business model whose objective is achieved by both collecting contractual cash flows and selling financial assets; and</w:t>
      </w:r>
    </w:p>
    <w:p w14:paraId="6FEB2FC5" w14:textId="77777777" w:rsidR="00136060" w:rsidRPr="006E625E" w:rsidRDefault="00136060" w:rsidP="00377C8B">
      <w:pPr>
        <w:ind w:left="2007" w:hanging="567"/>
        <w:jc w:val="both"/>
        <w:rPr>
          <w:sz w:val="22"/>
          <w:szCs w:val="22"/>
        </w:rPr>
      </w:pPr>
      <w:r w:rsidRPr="006E625E">
        <w:rPr>
          <w:sz w:val="22"/>
          <w:szCs w:val="22"/>
        </w:rPr>
        <w:t>-</w:t>
      </w:r>
      <w:r w:rsidRPr="006E625E">
        <w:rPr>
          <w:sz w:val="22"/>
          <w:szCs w:val="22"/>
        </w:rPr>
        <w:tab/>
        <w:t>The contractual terms of the debt instrument give rise to cash flows representing solely payments of principal and interest on the principal amount outstanding</w:t>
      </w:r>
      <w:r w:rsidRPr="003540DA">
        <w:rPr>
          <w:sz w:val="22"/>
          <w:szCs w:val="22"/>
        </w:rPr>
        <w:t xml:space="preserve"> </w:t>
      </w:r>
      <w:r w:rsidRPr="006E625E">
        <w:rPr>
          <w:sz w:val="22"/>
          <w:szCs w:val="22"/>
        </w:rPr>
        <w:t>on specified dates.</w:t>
      </w:r>
    </w:p>
    <w:p w14:paraId="2C94977F" w14:textId="77777777" w:rsidR="00136060" w:rsidRPr="006E625E" w:rsidRDefault="00136060" w:rsidP="00377C8B">
      <w:pPr>
        <w:ind w:left="1440"/>
        <w:jc w:val="both"/>
        <w:rPr>
          <w:sz w:val="22"/>
          <w:szCs w:val="22"/>
        </w:rPr>
      </w:pPr>
    </w:p>
    <w:p w14:paraId="5C7B4CB6" w14:textId="608856CC" w:rsidR="00136060" w:rsidRPr="006E625E" w:rsidRDefault="00136060" w:rsidP="00377C8B">
      <w:pPr>
        <w:ind w:left="1440"/>
        <w:jc w:val="both"/>
        <w:rPr>
          <w:sz w:val="22"/>
          <w:szCs w:val="22"/>
        </w:rPr>
      </w:pPr>
      <w:r w:rsidRPr="006E625E">
        <w:rPr>
          <w:sz w:val="22"/>
          <w:szCs w:val="22"/>
        </w:rPr>
        <w:t xml:space="preserve">All financial assets not classified as measured at amortized cost or fair value through other comprehensive income as described above, as well as financial assets designated at fair value through profit or loss, are measured at fair value through profit or loss. </w:t>
      </w:r>
    </w:p>
    <w:p w14:paraId="013AC6AD" w14:textId="77777777" w:rsidR="00136060" w:rsidRPr="006E625E" w:rsidRDefault="00136060" w:rsidP="00377C8B">
      <w:pPr>
        <w:ind w:left="1440"/>
        <w:jc w:val="both"/>
        <w:rPr>
          <w:sz w:val="22"/>
          <w:szCs w:val="22"/>
        </w:rPr>
      </w:pPr>
    </w:p>
    <w:p w14:paraId="46E4852F" w14:textId="77777777" w:rsidR="00136060" w:rsidRDefault="00136060" w:rsidP="00377C8B">
      <w:pPr>
        <w:ind w:left="1440"/>
        <w:jc w:val="both"/>
        <w:rPr>
          <w:sz w:val="22"/>
          <w:szCs w:val="22"/>
        </w:rPr>
      </w:pPr>
      <w:r w:rsidRPr="006E625E">
        <w:rPr>
          <w:sz w:val="22"/>
          <w:szCs w:val="22"/>
        </w:rPr>
        <w:t xml:space="preserve">The Group has balances of trade and other receivables and deposits that are held within a business model whose objective is collecting contractual cash flows. The contractual cash </w:t>
      </w:r>
      <w:proofErr w:type="gramStart"/>
      <w:r w:rsidRPr="006E625E">
        <w:rPr>
          <w:sz w:val="22"/>
          <w:szCs w:val="22"/>
        </w:rPr>
        <w:t>flows</w:t>
      </w:r>
      <w:proofErr w:type="gramEnd"/>
      <w:r w:rsidRPr="006E625E">
        <w:rPr>
          <w:sz w:val="22"/>
          <w:szCs w:val="22"/>
        </w:rPr>
        <w:t xml:space="preserve"> of these financial assets represent solely payments of principal and interest that reflects consideration for the time value of money and the credit risk. Accordingly, these financial assets are measured at amortized cost.</w:t>
      </w:r>
    </w:p>
    <w:p w14:paraId="47D6279A" w14:textId="77777777" w:rsidR="00136060" w:rsidRDefault="00136060" w:rsidP="00377C8B">
      <w:pPr>
        <w:ind w:left="1440"/>
        <w:jc w:val="both"/>
        <w:rPr>
          <w:sz w:val="22"/>
          <w:szCs w:val="22"/>
        </w:rPr>
      </w:pPr>
    </w:p>
    <w:p w14:paraId="7DBA27D7" w14:textId="77777777" w:rsidR="00136060" w:rsidRPr="00377C8B" w:rsidRDefault="00136060" w:rsidP="00F00E32">
      <w:pPr>
        <w:ind w:left="1440"/>
        <w:outlineLvl w:val="5"/>
        <w:rPr>
          <w:sz w:val="22"/>
          <w:szCs w:val="22"/>
          <w:u w:val="single"/>
        </w:rPr>
      </w:pPr>
      <w:bookmarkStart w:id="56" w:name="H6_Assessment_of_the_business_model_for_"/>
      <w:r w:rsidRPr="00377C8B">
        <w:rPr>
          <w:sz w:val="22"/>
          <w:szCs w:val="22"/>
          <w:u w:val="single"/>
        </w:rPr>
        <w:t>Assessment of the business model for debt assets</w:t>
      </w:r>
    </w:p>
    <w:bookmarkEnd w:id="56"/>
    <w:p w14:paraId="59E297E1" w14:textId="77777777" w:rsidR="007508CC" w:rsidRDefault="007508CC" w:rsidP="00377C8B">
      <w:pPr>
        <w:ind w:left="1440"/>
        <w:jc w:val="both"/>
        <w:rPr>
          <w:sz w:val="22"/>
          <w:szCs w:val="22"/>
        </w:rPr>
      </w:pPr>
      <w:r>
        <w:rPr>
          <w:sz w:val="22"/>
          <w:szCs w:val="22"/>
        </w:rPr>
        <w:t xml:space="preserve">The Group assesses the objective of the business model within which the financial asset is held on the level of the portfolio, since this best reflects the manner by which the business is </w:t>
      </w:r>
      <w:proofErr w:type="gramStart"/>
      <w:r>
        <w:rPr>
          <w:sz w:val="22"/>
          <w:szCs w:val="22"/>
        </w:rPr>
        <w:t>managed</w:t>
      </w:r>
      <w:proofErr w:type="gramEnd"/>
      <w:r>
        <w:rPr>
          <w:sz w:val="22"/>
          <w:szCs w:val="22"/>
        </w:rPr>
        <w:t xml:space="preserve"> and information is provided to management.</w:t>
      </w:r>
    </w:p>
    <w:p w14:paraId="5299EED3" w14:textId="77777777" w:rsidR="0099751B" w:rsidRDefault="0099751B" w:rsidP="00237FC5">
      <w:pPr>
        <w:jc w:val="both"/>
        <w:rPr>
          <w:sz w:val="22"/>
          <w:szCs w:val="22"/>
        </w:rPr>
      </w:pPr>
    </w:p>
    <w:p w14:paraId="2325CF18" w14:textId="7224FE92" w:rsidR="00136060" w:rsidRDefault="007508CC" w:rsidP="00377C8B">
      <w:pPr>
        <w:ind w:left="1440"/>
        <w:jc w:val="both"/>
        <w:rPr>
          <w:sz w:val="22"/>
          <w:szCs w:val="22"/>
        </w:rPr>
      </w:pPr>
      <w:r>
        <w:rPr>
          <w:sz w:val="22"/>
          <w:szCs w:val="22"/>
        </w:rPr>
        <w:t>Transfers of financial assets to third parties in transactions that do not qualify for derecognition are not considered sales for purposes of assessment of the business model, consistent with the Group's continuing recognition of those financial assets.</w:t>
      </w:r>
      <w:r w:rsidRPr="007F3C8B">
        <w:rPr>
          <w:sz w:val="22"/>
          <w:szCs w:val="22"/>
        </w:rPr>
        <w:t xml:space="preserve"> </w:t>
      </w:r>
      <w:r>
        <w:rPr>
          <w:sz w:val="22"/>
          <w:szCs w:val="22"/>
        </w:rPr>
        <w:t>Financial assets held for trading or that are managed and whose performance is assessed on a fair value basis, are measured at fair value through profit or loss</w:t>
      </w:r>
      <w:r w:rsidR="007466ED">
        <w:rPr>
          <w:sz w:val="22"/>
          <w:szCs w:val="22"/>
        </w:rPr>
        <w:t>.</w:t>
      </w:r>
    </w:p>
    <w:p w14:paraId="37D1F737" w14:textId="77777777" w:rsidR="00136060" w:rsidRPr="00377C8B" w:rsidRDefault="00136060" w:rsidP="00377C8B">
      <w:pPr>
        <w:jc w:val="both"/>
        <w:rPr>
          <w:sz w:val="12"/>
          <w:szCs w:val="12"/>
        </w:rPr>
      </w:pPr>
    </w:p>
    <w:p w14:paraId="0D05CF3A" w14:textId="77777777" w:rsidR="00136060" w:rsidRPr="00377C8B" w:rsidRDefault="00136060" w:rsidP="00F00E32">
      <w:pPr>
        <w:ind w:left="1440"/>
        <w:outlineLvl w:val="5"/>
        <w:rPr>
          <w:sz w:val="22"/>
          <w:szCs w:val="22"/>
          <w:u w:val="single"/>
        </w:rPr>
      </w:pPr>
      <w:bookmarkStart w:id="57" w:name="H6_Assessment_whether_cash_flows_are_sol"/>
      <w:r w:rsidRPr="00377C8B">
        <w:rPr>
          <w:sz w:val="22"/>
          <w:szCs w:val="22"/>
          <w:u w:val="single"/>
        </w:rPr>
        <w:t>Assessment whether cash flows are solely payments of principal and interest</w:t>
      </w:r>
    </w:p>
    <w:bookmarkEnd w:id="57"/>
    <w:p w14:paraId="016713AE" w14:textId="77777777" w:rsidR="007508CC" w:rsidRPr="007508CC" w:rsidRDefault="007508CC" w:rsidP="00772DD9">
      <w:pPr>
        <w:ind w:left="1440"/>
        <w:jc w:val="both"/>
        <w:rPr>
          <w:sz w:val="22"/>
          <w:szCs w:val="22"/>
        </w:rPr>
      </w:pPr>
      <w:r w:rsidRPr="007508CC">
        <w:rPr>
          <w:sz w:val="22"/>
          <w:szCs w:val="22"/>
        </w:rPr>
        <w:t>For the purpose of assessing whether the cash flows are solely payments of principal and interest, ‘principal’ is defined as the fair value of the financial asset on initial recognition, ‘interest’ is defined as consideration for the time value of money, for the credit risk associated with the principal amount outstanding during a particular period of time and for other risks and basic costs of a loan, as well as a profit margin.</w:t>
      </w:r>
    </w:p>
    <w:p w14:paraId="6A6AADFC" w14:textId="77777777" w:rsidR="007508CC" w:rsidRPr="007508CC" w:rsidRDefault="007508CC" w:rsidP="00772DD9">
      <w:pPr>
        <w:ind w:left="1440"/>
        <w:jc w:val="both"/>
        <w:rPr>
          <w:sz w:val="22"/>
          <w:szCs w:val="22"/>
        </w:rPr>
      </w:pPr>
    </w:p>
    <w:p w14:paraId="19A18A19" w14:textId="77777777" w:rsidR="007508CC" w:rsidRPr="007508CC" w:rsidRDefault="007508CC" w:rsidP="00772DD9">
      <w:pPr>
        <w:ind w:left="1440"/>
        <w:jc w:val="both"/>
        <w:rPr>
          <w:sz w:val="22"/>
          <w:szCs w:val="22"/>
        </w:rPr>
      </w:pPr>
      <w:r w:rsidRPr="007508CC">
        <w:rPr>
          <w:sz w:val="22"/>
          <w:szCs w:val="22"/>
        </w:rPr>
        <w:t xml:space="preserve">In its assessing whether the contractual cash flows are solely payments of principal and interest, the Group considers the contractual terms of the instrument. This includes assessing whether the financial asset contains a contractual term that could change the timing or amount of contractual cash flows such that it would not meet this condition. </w:t>
      </w:r>
    </w:p>
    <w:p w14:paraId="653B8F16" w14:textId="430B64D6" w:rsidR="00C52BA0" w:rsidRDefault="00C52BA0">
      <w:pPr>
        <w:rPr>
          <w:sz w:val="22"/>
          <w:szCs w:val="22"/>
        </w:rPr>
      </w:pPr>
      <w:r>
        <w:rPr>
          <w:sz w:val="22"/>
          <w:szCs w:val="22"/>
        </w:rPr>
        <w:br w:type="page"/>
      </w:r>
    </w:p>
    <w:p w14:paraId="46F5AEAC" w14:textId="77777777" w:rsidR="004D260B" w:rsidRPr="007508CC" w:rsidRDefault="004D260B" w:rsidP="007508CC">
      <w:pPr>
        <w:ind w:left="1440"/>
        <w:rPr>
          <w:sz w:val="22"/>
          <w:szCs w:val="22"/>
        </w:rPr>
      </w:pPr>
    </w:p>
    <w:p w14:paraId="78AF8694" w14:textId="77777777" w:rsidR="00A402EC" w:rsidRPr="004D260B" w:rsidRDefault="00A402EC" w:rsidP="00A402EC">
      <w:pPr>
        <w:rPr>
          <w:b/>
          <w:bCs/>
          <w:sz w:val="22"/>
          <w:szCs w:val="22"/>
        </w:rPr>
      </w:pPr>
      <w:r w:rsidRPr="004D260B">
        <w:rPr>
          <w:b/>
          <w:bCs/>
          <w:sz w:val="22"/>
          <w:szCs w:val="22"/>
        </w:rPr>
        <w:t>Note 3 - Significant Accounting Policies (cont’d)</w:t>
      </w:r>
    </w:p>
    <w:p w14:paraId="00CADAD9" w14:textId="77777777" w:rsidR="00A402EC" w:rsidRPr="004D260B" w:rsidRDefault="00A402EC" w:rsidP="00A402EC">
      <w:pPr>
        <w:rPr>
          <w:b/>
          <w:bCs/>
          <w:sz w:val="22"/>
          <w:szCs w:val="22"/>
        </w:rPr>
      </w:pPr>
    </w:p>
    <w:p w14:paraId="013A6CB6" w14:textId="552B438E" w:rsidR="00A402EC" w:rsidRPr="004D260B" w:rsidRDefault="00A402EC" w:rsidP="00A402EC">
      <w:pPr>
        <w:ind w:left="720"/>
        <w:jc w:val="both"/>
        <w:rPr>
          <w:b/>
          <w:bCs/>
          <w:sz w:val="22"/>
          <w:szCs w:val="22"/>
        </w:rPr>
      </w:pPr>
      <w:r w:rsidRPr="004D260B">
        <w:rPr>
          <w:b/>
          <w:bCs/>
          <w:sz w:val="22"/>
          <w:szCs w:val="22"/>
        </w:rPr>
        <w:t>I.</w:t>
      </w:r>
      <w:r w:rsidRPr="004D260B">
        <w:rPr>
          <w:b/>
          <w:bCs/>
          <w:sz w:val="22"/>
          <w:szCs w:val="22"/>
        </w:rPr>
        <w:tab/>
        <w:t>Financial instruments (cont'd)</w:t>
      </w:r>
    </w:p>
    <w:p w14:paraId="3969263C" w14:textId="77777777" w:rsidR="00A402EC" w:rsidRPr="004D260B" w:rsidRDefault="00A402EC" w:rsidP="00A402EC">
      <w:pPr>
        <w:ind w:left="720"/>
        <w:jc w:val="both"/>
        <w:rPr>
          <w:b/>
          <w:bCs/>
          <w:sz w:val="22"/>
          <w:szCs w:val="22"/>
        </w:rPr>
      </w:pPr>
    </w:p>
    <w:p w14:paraId="11EC9FE8" w14:textId="77777777" w:rsidR="00A402EC" w:rsidRPr="004D260B" w:rsidRDefault="00A402EC" w:rsidP="00A402EC">
      <w:pPr>
        <w:ind w:firstLine="720"/>
        <w:jc w:val="both"/>
        <w:rPr>
          <w:sz w:val="22"/>
          <w:szCs w:val="22"/>
          <w:u w:val="single"/>
        </w:rPr>
      </w:pPr>
      <w:r w:rsidRPr="004D260B">
        <w:rPr>
          <w:b/>
          <w:bCs/>
          <w:sz w:val="22"/>
          <w:szCs w:val="22"/>
        </w:rPr>
        <w:t>(1)</w:t>
      </w:r>
      <w:r w:rsidRPr="004D260B">
        <w:rPr>
          <w:b/>
          <w:bCs/>
          <w:sz w:val="22"/>
          <w:szCs w:val="22"/>
        </w:rPr>
        <w:tab/>
        <w:t>Non-derivative financial assets (cont'd)</w:t>
      </w:r>
    </w:p>
    <w:p w14:paraId="66A71ECD" w14:textId="77777777" w:rsidR="00A402EC" w:rsidRDefault="00A402EC" w:rsidP="007715B5">
      <w:pPr>
        <w:rPr>
          <w:sz w:val="22"/>
          <w:szCs w:val="22"/>
          <w:u w:val="single"/>
        </w:rPr>
      </w:pPr>
    </w:p>
    <w:p w14:paraId="7BF32493" w14:textId="09463D37" w:rsidR="007508CC" w:rsidRPr="008457EB" w:rsidRDefault="007508CC" w:rsidP="007508CC">
      <w:pPr>
        <w:ind w:left="1440"/>
        <w:rPr>
          <w:sz w:val="22"/>
          <w:szCs w:val="22"/>
          <w:u w:val="single"/>
        </w:rPr>
      </w:pPr>
      <w:proofErr w:type="gramStart"/>
      <w:r w:rsidRPr="008457EB">
        <w:rPr>
          <w:sz w:val="22"/>
          <w:szCs w:val="22"/>
          <w:u w:val="single"/>
        </w:rPr>
        <w:t>Assessment</w:t>
      </w:r>
      <w:proofErr w:type="gramEnd"/>
      <w:r w:rsidRPr="008457EB">
        <w:rPr>
          <w:sz w:val="22"/>
          <w:szCs w:val="22"/>
          <w:u w:val="single"/>
        </w:rPr>
        <w:t xml:space="preserve"> whether cash flows are solely payments of principal and interest</w:t>
      </w:r>
      <w:r>
        <w:rPr>
          <w:sz w:val="22"/>
          <w:szCs w:val="22"/>
          <w:u w:val="single"/>
        </w:rPr>
        <w:t xml:space="preserve"> (cont'd)</w:t>
      </w:r>
    </w:p>
    <w:p w14:paraId="538E5516" w14:textId="13F3DF26" w:rsidR="004F6797" w:rsidRDefault="007508CC" w:rsidP="007508CC">
      <w:pPr>
        <w:ind w:left="1440"/>
        <w:jc w:val="both"/>
        <w:rPr>
          <w:sz w:val="22"/>
          <w:szCs w:val="22"/>
        </w:rPr>
      </w:pPr>
      <w:r w:rsidRPr="007508CC">
        <w:rPr>
          <w:sz w:val="22"/>
          <w:szCs w:val="22"/>
        </w:rPr>
        <w:t xml:space="preserve">A prepayment feature is consistent with the solely payments of principal and interest criterion if the prepayment amount substantially represents unpaid amounts of principal and interest on the principal amount outstanding, which may include reasonable compensation, received or paid, for early termination of the contract. Additionally, for a financial asset acquired at a significant premium or discount compared to its contractual stated value, a feature that permits or requires prepayment at an amount that substantially represents the contractual stated value plus accrued (but unpaid) interest (which may also include reasonable additional compensation, received or paid, for early termination), is treated as consistent with this criterion if the fair value of the prepayment feature is insignificant at initial recognition.   </w:t>
      </w:r>
    </w:p>
    <w:p w14:paraId="2A04AEF0" w14:textId="77777777" w:rsidR="00136060" w:rsidRDefault="00136060" w:rsidP="00136060">
      <w:pPr>
        <w:ind w:left="1440"/>
        <w:jc w:val="both"/>
        <w:rPr>
          <w:b/>
          <w:bCs/>
          <w:i/>
          <w:iCs/>
          <w:sz w:val="22"/>
          <w:szCs w:val="22"/>
        </w:rPr>
      </w:pPr>
    </w:p>
    <w:p w14:paraId="77F13CB0" w14:textId="5C4DA6CB" w:rsidR="00136060" w:rsidRPr="00377C8B" w:rsidRDefault="00136060" w:rsidP="000B59AD">
      <w:pPr>
        <w:ind w:left="1440"/>
        <w:outlineLvl w:val="5"/>
        <w:rPr>
          <w:sz w:val="22"/>
          <w:szCs w:val="22"/>
          <w:u w:val="single"/>
        </w:rPr>
      </w:pPr>
      <w:bookmarkStart w:id="58" w:name="H6_Subsequent_measurement_and_gains_and_"/>
      <w:r w:rsidRPr="00377C8B">
        <w:rPr>
          <w:sz w:val="22"/>
          <w:szCs w:val="22"/>
          <w:u w:val="single"/>
        </w:rPr>
        <w:t>Subsequent measurement and gains and losses</w:t>
      </w:r>
    </w:p>
    <w:bookmarkEnd w:id="58"/>
    <w:p w14:paraId="6A121A62" w14:textId="77777777" w:rsidR="00F93F14" w:rsidRDefault="00F93F14" w:rsidP="00136060">
      <w:pPr>
        <w:ind w:left="1440"/>
        <w:jc w:val="both"/>
        <w:rPr>
          <w:i/>
          <w:iCs/>
          <w:sz w:val="22"/>
          <w:szCs w:val="22"/>
        </w:rPr>
      </w:pPr>
    </w:p>
    <w:p w14:paraId="664A7430" w14:textId="77777777" w:rsidR="007508CC" w:rsidRDefault="007508CC" w:rsidP="00377C8B">
      <w:pPr>
        <w:ind w:left="1440"/>
        <w:jc w:val="both"/>
        <w:rPr>
          <w:i/>
          <w:iCs/>
          <w:sz w:val="22"/>
          <w:szCs w:val="22"/>
        </w:rPr>
      </w:pPr>
      <w:r>
        <w:rPr>
          <w:i/>
          <w:iCs/>
          <w:sz w:val="22"/>
          <w:szCs w:val="22"/>
        </w:rPr>
        <w:t>Financial assets at fair value through profit or loss</w:t>
      </w:r>
    </w:p>
    <w:p w14:paraId="51584F7F" w14:textId="10470E98" w:rsidR="007508CC" w:rsidRDefault="007508CC" w:rsidP="00377C8B">
      <w:pPr>
        <w:ind w:left="1440"/>
        <w:jc w:val="both"/>
        <w:rPr>
          <w:sz w:val="22"/>
          <w:szCs w:val="22"/>
        </w:rPr>
      </w:pPr>
      <w:r>
        <w:rPr>
          <w:sz w:val="22"/>
          <w:szCs w:val="22"/>
        </w:rPr>
        <w:t>These assets are subsequently measured at fair value. Net gains and losses, including any interest income or dividend income, are recognized in profit or loss</w:t>
      </w:r>
      <w:r w:rsidR="007466ED">
        <w:rPr>
          <w:sz w:val="22"/>
          <w:szCs w:val="22"/>
        </w:rPr>
        <w:t>.</w:t>
      </w:r>
    </w:p>
    <w:p w14:paraId="43EE90DB" w14:textId="77777777" w:rsidR="007508CC" w:rsidRDefault="007508CC" w:rsidP="00377C8B">
      <w:pPr>
        <w:ind w:left="1440"/>
        <w:jc w:val="both"/>
        <w:rPr>
          <w:sz w:val="22"/>
          <w:szCs w:val="22"/>
        </w:rPr>
      </w:pPr>
    </w:p>
    <w:p w14:paraId="3237F39B" w14:textId="77777777" w:rsidR="007508CC" w:rsidRDefault="007508CC" w:rsidP="00377C8B">
      <w:pPr>
        <w:ind w:left="1440"/>
        <w:jc w:val="both"/>
        <w:rPr>
          <w:i/>
          <w:iCs/>
          <w:sz w:val="22"/>
          <w:szCs w:val="22"/>
        </w:rPr>
      </w:pPr>
      <w:r>
        <w:rPr>
          <w:i/>
          <w:iCs/>
          <w:sz w:val="22"/>
          <w:szCs w:val="22"/>
        </w:rPr>
        <w:t>Financial assets at amortized cost</w:t>
      </w:r>
    </w:p>
    <w:p w14:paraId="2789572E" w14:textId="77777777" w:rsidR="007508CC" w:rsidRDefault="007508CC" w:rsidP="00377C8B">
      <w:pPr>
        <w:ind w:left="1440"/>
        <w:jc w:val="both"/>
        <w:rPr>
          <w:sz w:val="22"/>
          <w:szCs w:val="22"/>
        </w:rPr>
      </w:pPr>
      <w:r>
        <w:rPr>
          <w:sz w:val="22"/>
          <w:szCs w:val="22"/>
        </w:rPr>
        <w:t xml:space="preserve">These assets are subsequently measured at amortized cost using the effective interest method. The amortized cost is reduced by impairment losses. Interest income, foreign exchange gains and losses and impairment are recognized in profit or loss. Any gain or loss on derecognition is recognized in profit or loss. </w:t>
      </w:r>
    </w:p>
    <w:p w14:paraId="006F99A3" w14:textId="15D72EE2" w:rsidR="00136060" w:rsidRDefault="00136060" w:rsidP="00CC1EFE">
      <w:pPr>
        <w:ind w:left="720"/>
        <w:jc w:val="both"/>
        <w:rPr>
          <w:b/>
          <w:bCs/>
          <w:sz w:val="22"/>
          <w:szCs w:val="22"/>
        </w:rPr>
      </w:pPr>
    </w:p>
    <w:p w14:paraId="6D47AAFE" w14:textId="1E59B549" w:rsidR="005B235A" w:rsidRPr="007D0596" w:rsidRDefault="005B235A" w:rsidP="000B59AD">
      <w:pPr>
        <w:ind w:firstLine="720"/>
        <w:jc w:val="both"/>
        <w:outlineLvl w:val="4"/>
        <w:rPr>
          <w:b/>
          <w:bCs/>
          <w:sz w:val="22"/>
          <w:szCs w:val="22"/>
        </w:rPr>
      </w:pPr>
      <w:bookmarkStart w:id="59" w:name="H5_2Nonderivative_financial_liabilities_"/>
      <w:r w:rsidRPr="00893554">
        <w:rPr>
          <w:b/>
          <w:bCs/>
          <w:sz w:val="22"/>
          <w:szCs w:val="22"/>
        </w:rPr>
        <w:t>(</w:t>
      </w:r>
      <w:r w:rsidR="00BE0625">
        <w:rPr>
          <w:b/>
          <w:bCs/>
          <w:sz w:val="22"/>
          <w:szCs w:val="22"/>
        </w:rPr>
        <w:t>2</w:t>
      </w:r>
      <w:r w:rsidRPr="00893554">
        <w:rPr>
          <w:b/>
          <w:bCs/>
          <w:sz w:val="22"/>
          <w:szCs w:val="22"/>
        </w:rPr>
        <w:t>)</w:t>
      </w:r>
      <w:r w:rsidRPr="00893554">
        <w:rPr>
          <w:b/>
          <w:bCs/>
          <w:sz w:val="22"/>
          <w:szCs w:val="22"/>
        </w:rPr>
        <w:tab/>
        <w:t>Non-derivative financial liabilities</w:t>
      </w:r>
      <w:r w:rsidR="00CE3C72">
        <w:rPr>
          <w:b/>
          <w:bCs/>
          <w:sz w:val="22"/>
          <w:szCs w:val="22"/>
        </w:rPr>
        <w:t xml:space="preserve"> </w:t>
      </w:r>
    </w:p>
    <w:bookmarkEnd w:id="59"/>
    <w:p w14:paraId="47E4BAF1" w14:textId="77777777" w:rsidR="005B235A" w:rsidRDefault="005B235A" w:rsidP="00CC1EFE">
      <w:pPr>
        <w:ind w:firstLine="720"/>
        <w:jc w:val="both"/>
        <w:rPr>
          <w:b/>
          <w:bCs/>
          <w:sz w:val="22"/>
          <w:szCs w:val="22"/>
        </w:rPr>
      </w:pPr>
    </w:p>
    <w:p w14:paraId="2CE0C70E" w14:textId="0CFA0B03" w:rsidR="00C35D07" w:rsidRPr="00F02921" w:rsidRDefault="00C35D07" w:rsidP="006D683B">
      <w:pPr>
        <w:tabs>
          <w:tab w:val="left" w:pos="1134"/>
        </w:tabs>
        <w:ind w:left="1440"/>
        <w:jc w:val="both"/>
        <w:rPr>
          <w:sz w:val="22"/>
          <w:szCs w:val="22"/>
        </w:rPr>
      </w:pPr>
      <w:r w:rsidRPr="00F02921">
        <w:rPr>
          <w:sz w:val="22"/>
          <w:szCs w:val="22"/>
        </w:rPr>
        <w:t>Non-derivative financial liabilities include loans and borrowings from banks</w:t>
      </w:r>
      <w:r w:rsidR="004039C5">
        <w:rPr>
          <w:sz w:val="22"/>
          <w:szCs w:val="22"/>
        </w:rPr>
        <w:t xml:space="preserve">, related </w:t>
      </w:r>
      <w:r w:rsidR="009D10A4">
        <w:rPr>
          <w:sz w:val="22"/>
          <w:szCs w:val="22"/>
        </w:rPr>
        <w:t>parties</w:t>
      </w:r>
      <w:r w:rsidRPr="00F02921">
        <w:rPr>
          <w:sz w:val="22"/>
          <w:szCs w:val="22"/>
        </w:rPr>
        <w:t xml:space="preserve"> and others, finance lease liabilities and trade and other payables.</w:t>
      </w:r>
    </w:p>
    <w:p w14:paraId="73D68E27" w14:textId="77777777" w:rsidR="004039C5" w:rsidRPr="00F02921" w:rsidRDefault="004039C5" w:rsidP="00B64C26">
      <w:pPr>
        <w:tabs>
          <w:tab w:val="left" w:pos="1134"/>
        </w:tabs>
        <w:ind w:left="1440"/>
        <w:jc w:val="both"/>
        <w:rPr>
          <w:sz w:val="22"/>
          <w:szCs w:val="22"/>
        </w:rPr>
      </w:pPr>
    </w:p>
    <w:p w14:paraId="091862C3" w14:textId="77777777" w:rsidR="00C35D07" w:rsidRPr="00F02921" w:rsidRDefault="00C35D07" w:rsidP="000B59AD">
      <w:pPr>
        <w:ind w:left="1440"/>
        <w:jc w:val="both"/>
        <w:outlineLvl w:val="5"/>
        <w:rPr>
          <w:sz w:val="22"/>
          <w:szCs w:val="22"/>
          <w:rtl/>
          <w:lang w:bidi="he-IL"/>
        </w:rPr>
      </w:pPr>
      <w:bookmarkStart w:id="60" w:name="H6_Initial_recognition_of_financial_liab"/>
      <w:r w:rsidRPr="00F02921">
        <w:rPr>
          <w:sz w:val="22"/>
          <w:szCs w:val="22"/>
          <w:u w:val="single"/>
        </w:rPr>
        <w:t>Initial recognition of financial liabilities</w:t>
      </w:r>
    </w:p>
    <w:bookmarkEnd w:id="60"/>
    <w:p w14:paraId="0791783C" w14:textId="2D4561B8" w:rsidR="00C35D07" w:rsidRPr="00F02921" w:rsidRDefault="00C35D07" w:rsidP="004039C5">
      <w:pPr>
        <w:ind w:left="1440"/>
        <w:jc w:val="both"/>
        <w:rPr>
          <w:sz w:val="22"/>
          <w:szCs w:val="22"/>
        </w:rPr>
      </w:pPr>
      <w:r w:rsidRPr="00F02921">
        <w:rPr>
          <w:sz w:val="22"/>
          <w:szCs w:val="22"/>
        </w:rPr>
        <w:t xml:space="preserve">The Group initially recognizes debt </w:t>
      </w:r>
      <w:r w:rsidR="005B235A" w:rsidRPr="00F02921">
        <w:rPr>
          <w:sz w:val="22"/>
          <w:szCs w:val="22"/>
        </w:rPr>
        <w:t xml:space="preserve">securities </w:t>
      </w:r>
      <w:r w:rsidR="005B235A">
        <w:rPr>
          <w:sz w:val="22"/>
          <w:szCs w:val="22"/>
        </w:rPr>
        <w:t>issued</w:t>
      </w:r>
      <w:r w:rsidR="00E548BB" w:rsidRPr="00F02921">
        <w:rPr>
          <w:sz w:val="22"/>
          <w:szCs w:val="22"/>
        </w:rPr>
        <w:t xml:space="preserve"> </w:t>
      </w:r>
      <w:r w:rsidRPr="00F02921">
        <w:rPr>
          <w:sz w:val="22"/>
          <w:szCs w:val="22"/>
        </w:rPr>
        <w:t xml:space="preserve">on the date that they </w:t>
      </w:r>
      <w:proofErr w:type="gramStart"/>
      <w:r w:rsidRPr="00F02921">
        <w:rPr>
          <w:sz w:val="22"/>
          <w:szCs w:val="22"/>
        </w:rPr>
        <w:t>are originated</w:t>
      </w:r>
      <w:proofErr w:type="gramEnd"/>
      <w:r w:rsidRPr="00F02921">
        <w:rPr>
          <w:sz w:val="22"/>
          <w:szCs w:val="22"/>
        </w:rPr>
        <w:t>. A</w:t>
      </w:r>
      <w:r w:rsidR="00817F0B">
        <w:rPr>
          <w:sz w:val="22"/>
          <w:szCs w:val="22"/>
        </w:rPr>
        <w:t xml:space="preserve">ll other financial liabilities </w:t>
      </w:r>
      <w:r w:rsidRPr="00F02921">
        <w:rPr>
          <w:sz w:val="22"/>
          <w:szCs w:val="22"/>
        </w:rPr>
        <w:t>are recognized initially on the trade date, which is the date that the Group becomes a party to the contractual provisions of the instrument.</w:t>
      </w:r>
    </w:p>
    <w:p w14:paraId="72BE3B68" w14:textId="77777777" w:rsidR="00C35D07" w:rsidRPr="00F02921" w:rsidRDefault="00C35D07" w:rsidP="00B64C26">
      <w:pPr>
        <w:ind w:left="1440"/>
        <w:jc w:val="both"/>
        <w:rPr>
          <w:sz w:val="22"/>
          <w:szCs w:val="22"/>
        </w:rPr>
      </w:pPr>
    </w:p>
    <w:p w14:paraId="0E7AA523" w14:textId="3A898DD7" w:rsidR="00E457CB" w:rsidRPr="00377C8B" w:rsidRDefault="00E457CB" w:rsidP="000B59AD">
      <w:pPr>
        <w:ind w:left="1440"/>
        <w:jc w:val="both"/>
        <w:outlineLvl w:val="5"/>
        <w:rPr>
          <w:sz w:val="22"/>
          <w:szCs w:val="22"/>
          <w:u w:val="single"/>
        </w:rPr>
      </w:pPr>
      <w:bookmarkStart w:id="61" w:name="H6_Subsequent_measurement_of_financial_l"/>
      <w:r w:rsidRPr="00377C8B">
        <w:rPr>
          <w:sz w:val="22"/>
          <w:szCs w:val="22"/>
          <w:u w:val="single"/>
        </w:rPr>
        <w:t>Subsequent measurement of financial liabilities</w:t>
      </w:r>
    </w:p>
    <w:bookmarkEnd w:id="61"/>
    <w:p w14:paraId="06FA0C08" w14:textId="76A0B632" w:rsidR="00C35D07" w:rsidRPr="00F02921" w:rsidRDefault="00C35D07" w:rsidP="004039C5">
      <w:pPr>
        <w:ind w:left="1440"/>
        <w:jc w:val="both"/>
        <w:rPr>
          <w:sz w:val="22"/>
          <w:szCs w:val="22"/>
          <w:lang w:bidi="he-IL"/>
        </w:rPr>
      </w:pPr>
      <w:r w:rsidRPr="00F02921">
        <w:rPr>
          <w:sz w:val="22"/>
          <w:szCs w:val="22"/>
        </w:rPr>
        <w:t xml:space="preserve">Financial liabilities are recognized initially at fair value plus any directly attributable transaction costs. </w:t>
      </w:r>
      <w:proofErr w:type="gramStart"/>
      <w:r w:rsidRPr="00F02921">
        <w:rPr>
          <w:sz w:val="22"/>
          <w:szCs w:val="22"/>
        </w:rPr>
        <w:t>Subsequent to</w:t>
      </w:r>
      <w:proofErr w:type="gramEnd"/>
      <w:r w:rsidRPr="00F02921">
        <w:rPr>
          <w:sz w:val="22"/>
          <w:szCs w:val="22"/>
        </w:rPr>
        <w:t xml:space="preserve"> initial recognition these financial liabilities are measured at amortized cost using the effective interest method.</w:t>
      </w:r>
    </w:p>
    <w:p w14:paraId="41AC3D23" w14:textId="77777777" w:rsidR="00C35D07" w:rsidRPr="00F02921" w:rsidRDefault="00C35D07" w:rsidP="00CC1EFE">
      <w:pPr>
        <w:ind w:left="1440"/>
        <w:jc w:val="both"/>
        <w:rPr>
          <w:sz w:val="22"/>
          <w:szCs w:val="22"/>
          <w:lang w:bidi="he-IL"/>
        </w:rPr>
      </w:pPr>
    </w:p>
    <w:p w14:paraId="07B24454" w14:textId="59C28D0F" w:rsidR="00C35D07" w:rsidRPr="00F02921" w:rsidRDefault="00C35D07" w:rsidP="00CC1EFE">
      <w:pPr>
        <w:ind w:left="1440"/>
        <w:jc w:val="both"/>
        <w:rPr>
          <w:sz w:val="22"/>
          <w:szCs w:val="22"/>
        </w:rPr>
      </w:pPr>
      <w:r w:rsidRPr="00F02921">
        <w:rPr>
          <w:sz w:val="22"/>
          <w:szCs w:val="22"/>
        </w:rPr>
        <w:t xml:space="preserve">Transaction costs directly attributable to an expected issuance of an instrument that will be classified as a financial liability are recognized as an asset in the framework of deferred expenses in the statement of financial position. These transaction costs are deducted from the financial liability upon its initial </w:t>
      </w:r>
      <w:r w:rsidR="005B235A" w:rsidRPr="00F02921">
        <w:rPr>
          <w:sz w:val="22"/>
          <w:szCs w:val="22"/>
        </w:rPr>
        <w:t>recognition or</w:t>
      </w:r>
      <w:r w:rsidRPr="00F02921">
        <w:rPr>
          <w:sz w:val="22"/>
          <w:szCs w:val="22"/>
        </w:rPr>
        <w:t xml:space="preserve"> are amortized as financing expenses in the statement of income when the issuance is no longer expected to occur.</w:t>
      </w:r>
    </w:p>
    <w:p w14:paraId="5CF41179" w14:textId="77777777" w:rsidR="00C35D07" w:rsidRPr="00F02921" w:rsidRDefault="00C35D07" w:rsidP="00CC1EFE">
      <w:pPr>
        <w:ind w:left="1440"/>
        <w:jc w:val="both"/>
        <w:rPr>
          <w:sz w:val="22"/>
          <w:szCs w:val="22"/>
          <w:rtl/>
          <w:lang w:bidi="he-IL"/>
        </w:rPr>
      </w:pPr>
    </w:p>
    <w:p w14:paraId="1A4F2953" w14:textId="4DC928F5" w:rsidR="00C35D07" w:rsidRPr="00F02921" w:rsidRDefault="00C35D07" w:rsidP="000B59AD">
      <w:pPr>
        <w:ind w:left="1440"/>
        <w:jc w:val="both"/>
        <w:outlineLvl w:val="5"/>
        <w:rPr>
          <w:sz w:val="22"/>
          <w:szCs w:val="22"/>
        </w:rPr>
      </w:pPr>
      <w:bookmarkStart w:id="62" w:name="H6_Derecognition_of_financial_liabilitie"/>
      <w:r w:rsidRPr="00F02921">
        <w:rPr>
          <w:sz w:val="22"/>
          <w:szCs w:val="22"/>
          <w:u w:val="single"/>
        </w:rPr>
        <w:t>De</w:t>
      </w:r>
      <w:r w:rsidR="00226F27">
        <w:rPr>
          <w:sz w:val="22"/>
          <w:szCs w:val="22"/>
          <w:u w:val="single"/>
        </w:rPr>
        <w:t>-</w:t>
      </w:r>
      <w:r w:rsidRPr="00F02921">
        <w:rPr>
          <w:sz w:val="22"/>
          <w:szCs w:val="22"/>
          <w:u w:val="single"/>
        </w:rPr>
        <w:t>recognition of financial liabilities</w:t>
      </w:r>
      <w:r w:rsidRPr="00F02921">
        <w:rPr>
          <w:sz w:val="22"/>
          <w:szCs w:val="22"/>
        </w:rPr>
        <w:t xml:space="preserve"> </w:t>
      </w:r>
    </w:p>
    <w:bookmarkEnd w:id="62"/>
    <w:p w14:paraId="16A70376" w14:textId="7E70F80A" w:rsidR="00E457CB" w:rsidRPr="00F02921" w:rsidRDefault="00E457CB" w:rsidP="00CC1EFE">
      <w:pPr>
        <w:ind w:left="1440"/>
        <w:jc w:val="both"/>
        <w:rPr>
          <w:sz w:val="22"/>
          <w:szCs w:val="22"/>
        </w:rPr>
      </w:pPr>
      <w:r w:rsidRPr="00E457CB">
        <w:rPr>
          <w:sz w:val="22"/>
          <w:szCs w:val="22"/>
        </w:rPr>
        <w:t>Financial liabilities are derecognized when the obligation of the Group, as specified in the agreement, expires or when it is discharged or cancelled.</w:t>
      </w:r>
    </w:p>
    <w:p w14:paraId="565FAE35" w14:textId="77777777" w:rsidR="004D260B" w:rsidRDefault="004D260B">
      <w:pPr>
        <w:rPr>
          <w:b/>
          <w:bCs/>
          <w:sz w:val="26"/>
          <w:szCs w:val="26"/>
        </w:rPr>
      </w:pPr>
      <w:r>
        <w:rPr>
          <w:b/>
          <w:bCs/>
          <w:sz w:val="26"/>
          <w:szCs w:val="26"/>
        </w:rPr>
        <w:br w:type="page"/>
      </w:r>
    </w:p>
    <w:p w14:paraId="4F52BC02" w14:textId="77777777" w:rsidR="004D260B" w:rsidRPr="004D260B" w:rsidRDefault="004D260B" w:rsidP="00A402EC">
      <w:pPr>
        <w:rPr>
          <w:b/>
          <w:bCs/>
          <w:sz w:val="22"/>
          <w:szCs w:val="22"/>
        </w:rPr>
      </w:pPr>
    </w:p>
    <w:p w14:paraId="084FECC8" w14:textId="34038719" w:rsidR="00A402EC" w:rsidRPr="004D260B" w:rsidRDefault="00A402EC" w:rsidP="00A402EC">
      <w:pPr>
        <w:rPr>
          <w:b/>
          <w:bCs/>
          <w:sz w:val="22"/>
          <w:szCs w:val="22"/>
        </w:rPr>
      </w:pPr>
      <w:r w:rsidRPr="004D260B">
        <w:rPr>
          <w:b/>
          <w:bCs/>
          <w:sz w:val="22"/>
          <w:szCs w:val="22"/>
        </w:rPr>
        <w:t>Note 3 - Significant Accounting Policies (cont’d)</w:t>
      </w:r>
    </w:p>
    <w:p w14:paraId="7D3B7790" w14:textId="77777777" w:rsidR="00A402EC" w:rsidRPr="004D260B" w:rsidRDefault="00A402EC" w:rsidP="00A402EC">
      <w:pPr>
        <w:rPr>
          <w:b/>
          <w:bCs/>
          <w:sz w:val="22"/>
          <w:szCs w:val="22"/>
        </w:rPr>
      </w:pPr>
    </w:p>
    <w:p w14:paraId="6D66D761" w14:textId="77777777" w:rsidR="00A402EC" w:rsidRPr="004D260B" w:rsidRDefault="00A402EC" w:rsidP="00A402EC">
      <w:pPr>
        <w:ind w:left="720"/>
        <w:jc w:val="both"/>
        <w:rPr>
          <w:b/>
          <w:bCs/>
          <w:sz w:val="22"/>
          <w:szCs w:val="22"/>
        </w:rPr>
      </w:pPr>
      <w:r w:rsidRPr="004D260B">
        <w:rPr>
          <w:b/>
          <w:bCs/>
          <w:sz w:val="22"/>
          <w:szCs w:val="22"/>
        </w:rPr>
        <w:t>I.</w:t>
      </w:r>
      <w:r w:rsidRPr="004D260B">
        <w:rPr>
          <w:b/>
          <w:bCs/>
          <w:sz w:val="22"/>
          <w:szCs w:val="22"/>
        </w:rPr>
        <w:tab/>
        <w:t>Financial instruments (cont'd)</w:t>
      </w:r>
    </w:p>
    <w:p w14:paraId="1D619F0C" w14:textId="77777777" w:rsidR="00A402EC" w:rsidRPr="004D260B" w:rsidRDefault="00A402EC" w:rsidP="00A402EC">
      <w:pPr>
        <w:ind w:left="720"/>
        <w:jc w:val="both"/>
        <w:rPr>
          <w:b/>
          <w:bCs/>
          <w:sz w:val="22"/>
          <w:szCs w:val="22"/>
        </w:rPr>
      </w:pPr>
    </w:p>
    <w:p w14:paraId="451F5E1C" w14:textId="405E89AB" w:rsidR="00A402EC" w:rsidRPr="004D260B" w:rsidRDefault="00A402EC" w:rsidP="00A402EC">
      <w:pPr>
        <w:ind w:firstLine="720"/>
        <w:jc w:val="both"/>
        <w:rPr>
          <w:sz w:val="22"/>
          <w:szCs w:val="22"/>
          <w:u w:val="single"/>
        </w:rPr>
      </w:pPr>
      <w:r w:rsidRPr="004D260B">
        <w:rPr>
          <w:b/>
          <w:bCs/>
          <w:sz w:val="22"/>
          <w:szCs w:val="22"/>
        </w:rPr>
        <w:t>(2)</w:t>
      </w:r>
      <w:r w:rsidRPr="004D260B">
        <w:rPr>
          <w:b/>
          <w:bCs/>
          <w:sz w:val="22"/>
          <w:szCs w:val="22"/>
        </w:rPr>
        <w:tab/>
        <w:t>Non- derivative financial liabilities (cont'd)</w:t>
      </w:r>
    </w:p>
    <w:p w14:paraId="0A04A45E" w14:textId="77777777" w:rsidR="00A402EC" w:rsidRDefault="00A402EC" w:rsidP="007715B5">
      <w:pPr>
        <w:tabs>
          <w:tab w:val="left" w:pos="1134"/>
          <w:tab w:val="left" w:pos="1440"/>
        </w:tabs>
        <w:jc w:val="both"/>
        <w:rPr>
          <w:sz w:val="22"/>
          <w:szCs w:val="22"/>
          <w:u w:val="single"/>
        </w:rPr>
      </w:pPr>
    </w:p>
    <w:p w14:paraId="7ED33099" w14:textId="754242AC" w:rsidR="00E457CB" w:rsidRPr="00F02921" w:rsidRDefault="00E457CB" w:rsidP="000B59AD">
      <w:pPr>
        <w:tabs>
          <w:tab w:val="left" w:pos="1134"/>
          <w:tab w:val="left" w:pos="1440"/>
        </w:tabs>
        <w:ind w:left="1440"/>
        <w:jc w:val="both"/>
        <w:outlineLvl w:val="5"/>
        <w:rPr>
          <w:sz w:val="22"/>
          <w:szCs w:val="22"/>
          <w:u w:val="single"/>
        </w:rPr>
      </w:pPr>
      <w:bookmarkStart w:id="63" w:name="H6_Substantial_modification_in_terms_of_"/>
      <w:r w:rsidRPr="00E457CB">
        <w:rPr>
          <w:sz w:val="22"/>
          <w:szCs w:val="22"/>
          <w:u w:val="single"/>
        </w:rPr>
        <w:t>Substantial modification in terms of debt instruments</w:t>
      </w:r>
    </w:p>
    <w:bookmarkEnd w:id="63"/>
    <w:p w14:paraId="287D28C4" w14:textId="77777777" w:rsidR="00E457CB" w:rsidRPr="00E457CB" w:rsidRDefault="00E457CB" w:rsidP="00377C8B">
      <w:pPr>
        <w:tabs>
          <w:tab w:val="left" w:pos="1134"/>
          <w:tab w:val="left" w:pos="1440"/>
        </w:tabs>
        <w:ind w:left="1440"/>
        <w:jc w:val="both"/>
        <w:rPr>
          <w:sz w:val="22"/>
          <w:szCs w:val="22"/>
        </w:rPr>
      </w:pPr>
      <w:r w:rsidRPr="00E457CB">
        <w:rPr>
          <w:sz w:val="22"/>
          <w:szCs w:val="22"/>
        </w:rPr>
        <w:t xml:space="preserve">An exchange of debt instruments having substantially different terms, is accounted for as an extinguishment of the original financial liability and the recognition of a new financial liability. Furthermore, a substantial modification of the terms of an existing financial liability, or an exchange of debt instruments having substantially different terms between an existing borrower and lender, are accounted for as an extinguishment of the original financial liability and the recognition of a new financial liability at fair value.  </w:t>
      </w:r>
    </w:p>
    <w:p w14:paraId="4D372B77" w14:textId="654496E0" w:rsidR="007508CC" w:rsidRDefault="007508CC" w:rsidP="00237FC5">
      <w:pPr>
        <w:tabs>
          <w:tab w:val="left" w:pos="1134"/>
          <w:tab w:val="left" w:pos="1440"/>
        </w:tabs>
        <w:jc w:val="both"/>
        <w:rPr>
          <w:sz w:val="22"/>
          <w:szCs w:val="22"/>
        </w:rPr>
      </w:pPr>
    </w:p>
    <w:p w14:paraId="135CF475" w14:textId="660DACEC" w:rsidR="007508CC" w:rsidRDefault="007508CC" w:rsidP="00E457CB">
      <w:pPr>
        <w:tabs>
          <w:tab w:val="left" w:pos="1134"/>
          <w:tab w:val="left" w:pos="1440"/>
        </w:tabs>
        <w:ind w:left="1440"/>
        <w:jc w:val="both"/>
        <w:rPr>
          <w:sz w:val="22"/>
          <w:szCs w:val="22"/>
        </w:rPr>
      </w:pPr>
      <w:r w:rsidRPr="00E457CB">
        <w:rPr>
          <w:sz w:val="22"/>
          <w:szCs w:val="22"/>
          <w:u w:val="single"/>
        </w:rPr>
        <w:t>Substantial modification in terms of debt instruments</w:t>
      </w:r>
      <w:r>
        <w:rPr>
          <w:sz w:val="22"/>
          <w:szCs w:val="22"/>
        </w:rPr>
        <w:t xml:space="preserve"> (cont'd)</w:t>
      </w:r>
    </w:p>
    <w:p w14:paraId="43ADD6F0" w14:textId="10A2B645" w:rsidR="00E457CB" w:rsidRPr="00E457CB" w:rsidRDefault="00E457CB" w:rsidP="00377C8B">
      <w:pPr>
        <w:tabs>
          <w:tab w:val="left" w:pos="1134"/>
          <w:tab w:val="left" w:pos="1440"/>
        </w:tabs>
        <w:ind w:left="1440"/>
        <w:jc w:val="both"/>
        <w:rPr>
          <w:sz w:val="22"/>
          <w:szCs w:val="22"/>
        </w:rPr>
      </w:pPr>
      <w:r w:rsidRPr="00E457CB">
        <w:rPr>
          <w:sz w:val="22"/>
          <w:szCs w:val="22"/>
        </w:rPr>
        <w:t>In such cases the entire difference between the amortized cost of the original financial liability and the fair value of the new financial liability is recognized in profit or loss as financing income or expense.</w:t>
      </w:r>
    </w:p>
    <w:p w14:paraId="7F1BA07B" w14:textId="77777777" w:rsidR="00E457CB" w:rsidRPr="00E457CB" w:rsidRDefault="00E457CB" w:rsidP="00377C8B">
      <w:pPr>
        <w:tabs>
          <w:tab w:val="left" w:pos="1134"/>
          <w:tab w:val="left" w:pos="1440"/>
        </w:tabs>
        <w:ind w:left="1440"/>
        <w:jc w:val="both"/>
        <w:rPr>
          <w:sz w:val="22"/>
          <w:szCs w:val="22"/>
        </w:rPr>
      </w:pPr>
    </w:p>
    <w:p w14:paraId="2D09B7E4" w14:textId="021CEB74" w:rsidR="00E457CB" w:rsidRPr="00F02921" w:rsidRDefault="00E457CB" w:rsidP="00893554">
      <w:pPr>
        <w:tabs>
          <w:tab w:val="left" w:pos="1440"/>
        </w:tabs>
        <w:ind w:left="1440"/>
        <w:jc w:val="both"/>
        <w:rPr>
          <w:sz w:val="22"/>
          <w:szCs w:val="22"/>
        </w:rPr>
      </w:pPr>
      <w:r w:rsidRPr="00E457CB">
        <w:rPr>
          <w:sz w:val="22"/>
          <w:szCs w:val="22"/>
        </w:rPr>
        <w:t>The terms are substantially different if the discounted present value of the cash flows according to the new terms, including any commissions paid, less any commissions received and discounted using the original effective interest rate, is different by at least ten percent from the discounted present value of the remaining cash flows of the original financial liability.</w:t>
      </w:r>
    </w:p>
    <w:p w14:paraId="5506A65A" w14:textId="77777777" w:rsidR="00C35D07" w:rsidRPr="00F02921" w:rsidRDefault="00C35D07" w:rsidP="00CC1EFE">
      <w:pPr>
        <w:ind w:left="1440"/>
        <w:jc w:val="both"/>
        <w:rPr>
          <w:sz w:val="22"/>
          <w:szCs w:val="22"/>
          <w:lang w:bidi="he-IL"/>
        </w:rPr>
      </w:pPr>
    </w:p>
    <w:p w14:paraId="7B289F5C" w14:textId="77777777" w:rsidR="00C35D07" w:rsidRPr="00F02921" w:rsidRDefault="00C35D07" w:rsidP="000B59AD">
      <w:pPr>
        <w:ind w:left="1287" w:firstLine="153"/>
        <w:jc w:val="both"/>
        <w:outlineLvl w:val="5"/>
        <w:rPr>
          <w:sz w:val="22"/>
          <w:szCs w:val="22"/>
          <w:u w:val="single"/>
        </w:rPr>
      </w:pPr>
      <w:bookmarkStart w:id="64" w:name="H6_Offset_of_financial_instruments"/>
      <w:r w:rsidRPr="00F02921">
        <w:rPr>
          <w:sz w:val="22"/>
          <w:szCs w:val="22"/>
          <w:u w:val="single"/>
        </w:rPr>
        <w:t>Offset of financial instruments</w:t>
      </w:r>
    </w:p>
    <w:bookmarkEnd w:id="64"/>
    <w:p w14:paraId="6076965D" w14:textId="56340E3F" w:rsidR="00C35D07" w:rsidRPr="00F02921" w:rsidRDefault="00C35D07" w:rsidP="00B64C26">
      <w:pPr>
        <w:ind w:left="1440"/>
        <w:jc w:val="both"/>
        <w:rPr>
          <w:sz w:val="22"/>
          <w:szCs w:val="22"/>
        </w:rPr>
      </w:pPr>
      <w:r w:rsidRPr="00F02921">
        <w:rPr>
          <w:sz w:val="22"/>
          <w:szCs w:val="22"/>
        </w:rPr>
        <w:t xml:space="preserve">Financial assets and liabilities are offset and the net amount presented in the statement of financial position when, and only when, the Group </w:t>
      </w:r>
      <w:r w:rsidR="00893554">
        <w:rPr>
          <w:sz w:val="22"/>
          <w:szCs w:val="22"/>
        </w:rPr>
        <w:t xml:space="preserve">currently </w:t>
      </w:r>
      <w:r w:rsidRPr="00F02921">
        <w:rPr>
          <w:sz w:val="22"/>
          <w:szCs w:val="22"/>
        </w:rPr>
        <w:t>has a legal right to offset the amounts and intends either to settle on a net basis or to realize the asset and settle the liability simultaneously.</w:t>
      </w:r>
    </w:p>
    <w:p w14:paraId="7185FCD5" w14:textId="77777777" w:rsidR="00E91382" w:rsidRPr="00F02921" w:rsidRDefault="00E91382" w:rsidP="007715B5">
      <w:pPr>
        <w:jc w:val="both"/>
        <w:rPr>
          <w:sz w:val="22"/>
          <w:szCs w:val="22"/>
        </w:rPr>
      </w:pPr>
    </w:p>
    <w:p w14:paraId="2CADF05F" w14:textId="41825F8A" w:rsidR="00893554" w:rsidRPr="00C435F7" w:rsidRDefault="00893554" w:rsidP="000B59AD">
      <w:pPr>
        <w:ind w:firstLine="720"/>
        <w:jc w:val="both"/>
        <w:outlineLvl w:val="4"/>
        <w:rPr>
          <w:b/>
          <w:bCs/>
          <w:sz w:val="22"/>
          <w:szCs w:val="22"/>
        </w:rPr>
      </w:pPr>
      <w:bookmarkStart w:id="65" w:name="H4_3Derivative_financial_instruments_inc"/>
      <w:bookmarkStart w:id="66" w:name="H5_3Derivative_financial_instruments_inc"/>
      <w:r w:rsidRPr="00C435F7">
        <w:rPr>
          <w:b/>
          <w:bCs/>
          <w:sz w:val="22"/>
          <w:szCs w:val="22"/>
        </w:rPr>
        <w:t>(</w:t>
      </w:r>
      <w:r w:rsidR="00BE0625">
        <w:rPr>
          <w:b/>
          <w:bCs/>
          <w:sz w:val="22"/>
          <w:szCs w:val="22"/>
        </w:rPr>
        <w:t>3</w:t>
      </w:r>
      <w:r w:rsidRPr="00C435F7">
        <w:rPr>
          <w:b/>
          <w:bCs/>
          <w:sz w:val="22"/>
          <w:szCs w:val="22"/>
        </w:rPr>
        <w:t>)</w:t>
      </w:r>
      <w:r w:rsidRPr="00C435F7">
        <w:rPr>
          <w:b/>
          <w:bCs/>
          <w:sz w:val="22"/>
          <w:szCs w:val="22"/>
        </w:rPr>
        <w:tab/>
      </w:r>
      <w:r w:rsidRPr="002F6A7D">
        <w:rPr>
          <w:b/>
          <w:bCs/>
          <w:sz w:val="22"/>
          <w:szCs w:val="22"/>
        </w:rPr>
        <w:t>Derivative financial instruments, including hedge accounting</w:t>
      </w:r>
    </w:p>
    <w:bookmarkEnd w:id="65"/>
    <w:bookmarkEnd w:id="66"/>
    <w:p w14:paraId="32345350" w14:textId="77777777" w:rsidR="00C35D07" w:rsidRPr="00F02921" w:rsidRDefault="00C35D07" w:rsidP="00CC1EFE">
      <w:pPr>
        <w:ind w:left="1440"/>
        <w:jc w:val="both"/>
        <w:rPr>
          <w:sz w:val="22"/>
          <w:szCs w:val="22"/>
        </w:rPr>
      </w:pPr>
    </w:p>
    <w:p w14:paraId="1C6D0060" w14:textId="77777777" w:rsidR="00C35D07" w:rsidRPr="00F02921" w:rsidRDefault="00C35D07" w:rsidP="002D3BFD">
      <w:pPr>
        <w:ind w:left="1440"/>
        <w:jc w:val="both"/>
        <w:rPr>
          <w:sz w:val="22"/>
          <w:szCs w:val="22"/>
        </w:rPr>
      </w:pPr>
      <w:r w:rsidRPr="00F02921">
        <w:rPr>
          <w:sz w:val="22"/>
          <w:szCs w:val="22"/>
        </w:rPr>
        <w:t>The Group holds both derivative financial instruments to hedge its interest rate risk exposures and derivatives that do not serve hedging purposes.</w:t>
      </w:r>
    </w:p>
    <w:p w14:paraId="25AFA8F6" w14:textId="77777777" w:rsidR="009A1DE4" w:rsidRDefault="009A1DE4" w:rsidP="00F936B0">
      <w:pPr>
        <w:ind w:left="1287" w:firstLine="153"/>
        <w:jc w:val="both"/>
        <w:rPr>
          <w:sz w:val="22"/>
          <w:szCs w:val="22"/>
        </w:rPr>
      </w:pPr>
    </w:p>
    <w:p w14:paraId="798959B6" w14:textId="419804D4" w:rsidR="009A1DE4" w:rsidRPr="00377C8B" w:rsidRDefault="009A1DE4" w:rsidP="000B59AD">
      <w:pPr>
        <w:ind w:left="720" w:firstLine="720"/>
        <w:jc w:val="both"/>
        <w:outlineLvl w:val="5"/>
        <w:rPr>
          <w:i/>
          <w:iCs/>
          <w:sz w:val="22"/>
          <w:szCs w:val="22"/>
          <w:u w:val="single"/>
        </w:rPr>
      </w:pPr>
      <w:bookmarkStart w:id="67" w:name="H6_Hedge_accounting_"/>
      <w:r w:rsidRPr="00377C8B">
        <w:rPr>
          <w:i/>
          <w:iCs/>
          <w:sz w:val="22"/>
          <w:szCs w:val="22"/>
          <w:u w:val="single"/>
        </w:rPr>
        <w:t xml:space="preserve">Hedge accounting </w:t>
      </w:r>
    </w:p>
    <w:bookmarkEnd w:id="67"/>
    <w:p w14:paraId="42FCFAD4" w14:textId="77777777" w:rsidR="009A1DE4" w:rsidRDefault="009A1DE4" w:rsidP="00F936B0">
      <w:pPr>
        <w:ind w:left="1287" w:firstLine="153"/>
        <w:jc w:val="both"/>
        <w:rPr>
          <w:sz w:val="22"/>
          <w:szCs w:val="22"/>
          <w:u w:val="single"/>
        </w:rPr>
      </w:pPr>
    </w:p>
    <w:p w14:paraId="2DD2A135" w14:textId="33F3DD25" w:rsidR="00BE0625" w:rsidRPr="00377C8B" w:rsidRDefault="009A1DE4" w:rsidP="00BE0625">
      <w:pPr>
        <w:ind w:left="1440"/>
        <w:jc w:val="both"/>
        <w:rPr>
          <w:sz w:val="22"/>
          <w:szCs w:val="22"/>
        </w:rPr>
      </w:pPr>
      <w:r w:rsidRPr="00377C8B">
        <w:rPr>
          <w:sz w:val="22"/>
          <w:szCs w:val="22"/>
        </w:rPr>
        <w:t xml:space="preserve">The Group designates certain derivatives as hedging instruments </w:t>
      </w:r>
      <w:proofErr w:type="gramStart"/>
      <w:r w:rsidRPr="00377C8B">
        <w:rPr>
          <w:sz w:val="22"/>
          <w:szCs w:val="22"/>
        </w:rPr>
        <w:t>in order to</w:t>
      </w:r>
      <w:proofErr w:type="gramEnd"/>
      <w:r w:rsidRPr="00377C8B">
        <w:rPr>
          <w:sz w:val="22"/>
          <w:szCs w:val="22"/>
        </w:rPr>
        <w:t xml:space="preserve"> hedge changes in cash </w:t>
      </w:r>
      <w:proofErr w:type="gramStart"/>
      <w:r w:rsidRPr="00377C8B">
        <w:rPr>
          <w:sz w:val="22"/>
          <w:szCs w:val="22"/>
        </w:rPr>
        <w:t>flows</w:t>
      </w:r>
      <w:proofErr w:type="gramEnd"/>
      <w:r w:rsidRPr="00377C8B">
        <w:rPr>
          <w:sz w:val="22"/>
          <w:szCs w:val="22"/>
        </w:rPr>
        <w:t xml:space="preserve"> that relate to highly probable forecasted </w:t>
      </w:r>
      <w:r w:rsidR="00F87726" w:rsidRPr="00377C8B">
        <w:rPr>
          <w:sz w:val="22"/>
          <w:szCs w:val="22"/>
        </w:rPr>
        <w:t>transactions,</w:t>
      </w:r>
      <w:r w:rsidRPr="00377C8B">
        <w:rPr>
          <w:sz w:val="22"/>
          <w:szCs w:val="22"/>
        </w:rPr>
        <w:t xml:space="preserve"> and which derive from changes</w:t>
      </w:r>
      <w:r w:rsidR="00BE0625">
        <w:rPr>
          <w:sz w:val="22"/>
          <w:szCs w:val="22"/>
        </w:rPr>
        <w:t xml:space="preserve"> </w:t>
      </w:r>
      <w:r w:rsidR="00BE0625" w:rsidRPr="00377C8B">
        <w:rPr>
          <w:sz w:val="22"/>
          <w:szCs w:val="22"/>
        </w:rPr>
        <w:t>in foreign currency exchange rates and changes in the linkage component and flow in respect of CPI-linked loans and changes in the flow and interest on variable-rate loans.</w:t>
      </w:r>
    </w:p>
    <w:p w14:paraId="047F4241" w14:textId="77777777" w:rsidR="00BE0625" w:rsidRPr="00377C8B" w:rsidRDefault="00BE0625" w:rsidP="00BE0625">
      <w:pPr>
        <w:ind w:left="1440" w:firstLine="153"/>
        <w:jc w:val="both"/>
        <w:rPr>
          <w:sz w:val="22"/>
          <w:szCs w:val="22"/>
        </w:rPr>
      </w:pPr>
    </w:p>
    <w:p w14:paraId="211D5C7B" w14:textId="77777777" w:rsidR="00BE0625" w:rsidRPr="00377C8B" w:rsidRDefault="00BE0625" w:rsidP="00BE0625">
      <w:pPr>
        <w:ind w:left="1440"/>
        <w:jc w:val="both"/>
        <w:rPr>
          <w:sz w:val="22"/>
          <w:szCs w:val="22"/>
        </w:rPr>
      </w:pPr>
      <w:r w:rsidRPr="00377C8B">
        <w:rPr>
          <w:sz w:val="22"/>
          <w:szCs w:val="22"/>
        </w:rPr>
        <w:t>At the inception of the hedging relationship the Group documents its risk management objective and its hedging strategy. The Group also documents the economic relationship between the hedged item and the hedging instrument, including whether the changes in cash flows of the hedged item and the hedging instrument are expected to offset each other.</w:t>
      </w:r>
    </w:p>
    <w:p w14:paraId="5DD2F119" w14:textId="1AD9F3CD" w:rsidR="004D260B" w:rsidRDefault="004D260B">
      <w:pPr>
        <w:rPr>
          <w:sz w:val="22"/>
          <w:szCs w:val="22"/>
        </w:rPr>
      </w:pPr>
      <w:r>
        <w:rPr>
          <w:sz w:val="22"/>
          <w:szCs w:val="22"/>
        </w:rPr>
        <w:br w:type="page"/>
      </w:r>
    </w:p>
    <w:p w14:paraId="77C47F0A" w14:textId="77777777" w:rsidR="004D260B" w:rsidRDefault="004D260B" w:rsidP="007466ED">
      <w:pPr>
        <w:ind w:left="1440"/>
        <w:jc w:val="both"/>
        <w:rPr>
          <w:sz w:val="22"/>
          <w:szCs w:val="22"/>
        </w:rPr>
      </w:pPr>
    </w:p>
    <w:p w14:paraId="31A30A05" w14:textId="77777777" w:rsidR="004D260B" w:rsidRPr="004D260B" w:rsidRDefault="004D260B" w:rsidP="004D260B">
      <w:pPr>
        <w:rPr>
          <w:b/>
          <w:bCs/>
          <w:sz w:val="22"/>
          <w:szCs w:val="22"/>
        </w:rPr>
      </w:pPr>
      <w:r w:rsidRPr="004D260B">
        <w:rPr>
          <w:b/>
          <w:bCs/>
          <w:sz w:val="22"/>
          <w:szCs w:val="22"/>
        </w:rPr>
        <w:t>Note 3 - Significant Accounting Policies (cont’d)</w:t>
      </w:r>
    </w:p>
    <w:p w14:paraId="56C42F2E" w14:textId="77777777" w:rsidR="004D260B" w:rsidRPr="004D260B" w:rsidRDefault="004D260B" w:rsidP="004D260B">
      <w:pPr>
        <w:rPr>
          <w:b/>
          <w:bCs/>
          <w:sz w:val="22"/>
          <w:szCs w:val="22"/>
        </w:rPr>
      </w:pPr>
    </w:p>
    <w:p w14:paraId="3F52D33C" w14:textId="77777777" w:rsidR="004D260B" w:rsidRPr="004D260B" w:rsidRDefault="004D260B" w:rsidP="004D260B">
      <w:pPr>
        <w:ind w:left="720"/>
        <w:jc w:val="both"/>
        <w:rPr>
          <w:b/>
          <w:bCs/>
          <w:sz w:val="22"/>
          <w:szCs w:val="22"/>
        </w:rPr>
      </w:pPr>
      <w:r w:rsidRPr="004D260B">
        <w:rPr>
          <w:b/>
          <w:bCs/>
          <w:sz w:val="22"/>
          <w:szCs w:val="22"/>
        </w:rPr>
        <w:t>I.</w:t>
      </w:r>
      <w:r w:rsidRPr="004D260B">
        <w:rPr>
          <w:b/>
          <w:bCs/>
          <w:sz w:val="22"/>
          <w:szCs w:val="22"/>
        </w:rPr>
        <w:tab/>
        <w:t>Financial instruments (cont'd)</w:t>
      </w:r>
    </w:p>
    <w:p w14:paraId="584F22C1" w14:textId="77777777" w:rsidR="004D260B" w:rsidRDefault="004D260B" w:rsidP="004D260B">
      <w:pPr>
        <w:ind w:firstLine="720"/>
        <w:jc w:val="both"/>
        <w:rPr>
          <w:b/>
          <w:bCs/>
          <w:sz w:val="22"/>
          <w:szCs w:val="22"/>
        </w:rPr>
      </w:pPr>
    </w:p>
    <w:p w14:paraId="088B9B49" w14:textId="606330AC" w:rsidR="004D260B" w:rsidRDefault="004D260B" w:rsidP="004D260B">
      <w:pPr>
        <w:ind w:left="720" w:firstLine="720"/>
        <w:jc w:val="both"/>
        <w:rPr>
          <w:sz w:val="22"/>
          <w:szCs w:val="22"/>
          <w:u w:val="single"/>
        </w:rPr>
      </w:pPr>
      <w:r w:rsidRPr="00C435F7">
        <w:rPr>
          <w:b/>
          <w:bCs/>
          <w:sz w:val="22"/>
          <w:szCs w:val="22"/>
        </w:rPr>
        <w:t>(</w:t>
      </w:r>
      <w:r>
        <w:rPr>
          <w:b/>
          <w:bCs/>
          <w:sz w:val="22"/>
          <w:szCs w:val="22"/>
        </w:rPr>
        <w:t>3</w:t>
      </w:r>
      <w:r w:rsidRPr="00C435F7">
        <w:rPr>
          <w:b/>
          <w:bCs/>
          <w:sz w:val="22"/>
          <w:szCs w:val="22"/>
        </w:rPr>
        <w:t>)</w:t>
      </w:r>
      <w:r w:rsidRPr="00C435F7">
        <w:rPr>
          <w:b/>
          <w:bCs/>
          <w:sz w:val="22"/>
          <w:szCs w:val="22"/>
        </w:rPr>
        <w:tab/>
      </w:r>
      <w:r w:rsidRPr="002F6A7D">
        <w:rPr>
          <w:b/>
          <w:bCs/>
          <w:sz w:val="22"/>
          <w:szCs w:val="22"/>
        </w:rPr>
        <w:t>Derivative financial instruments, including hedge accounting</w:t>
      </w:r>
      <w:r>
        <w:rPr>
          <w:b/>
          <w:bCs/>
          <w:sz w:val="22"/>
          <w:szCs w:val="22"/>
        </w:rPr>
        <w:t xml:space="preserve"> (cont'd)</w:t>
      </w:r>
    </w:p>
    <w:p w14:paraId="0D80D9A6" w14:textId="77777777" w:rsidR="004D260B" w:rsidRDefault="004D260B" w:rsidP="007466ED">
      <w:pPr>
        <w:ind w:left="1440"/>
        <w:jc w:val="both"/>
        <w:rPr>
          <w:sz w:val="22"/>
          <w:szCs w:val="22"/>
        </w:rPr>
      </w:pPr>
    </w:p>
    <w:p w14:paraId="08EE4B55" w14:textId="7FFE0EBB" w:rsidR="005D25FC" w:rsidRDefault="005D25FC" w:rsidP="000B59AD">
      <w:pPr>
        <w:ind w:left="720" w:firstLine="720"/>
        <w:jc w:val="both"/>
        <w:outlineLvl w:val="5"/>
        <w:rPr>
          <w:i/>
          <w:iCs/>
          <w:sz w:val="22"/>
          <w:szCs w:val="22"/>
          <w:u w:val="single"/>
        </w:rPr>
      </w:pPr>
      <w:bookmarkStart w:id="68" w:name="H6_Cash_flow_hedges_"/>
      <w:r w:rsidRPr="00377C8B">
        <w:rPr>
          <w:i/>
          <w:iCs/>
          <w:sz w:val="22"/>
          <w:szCs w:val="22"/>
          <w:u w:val="single"/>
        </w:rPr>
        <w:t xml:space="preserve">Cash flow hedges </w:t>
      </w:r>
    </w:p>
    <w:bookmarkEnd w:id="68"/>
    <w:p w14:paraId="5D06C05C" w14:textId="77777777" w:rsidR="005D25FC" w:rsidRPr="006A3328" w:rsidRDefault="005D25FC" w:rsidP="005D25FC">
      <w:pPr>
        <w:ind w:left="720" w:firstLine="720"/>
        <w:jc w:val="both"/>
        <w:rPr>
          <w:i/>
          <w:iCs/>
          <w:sz w:val="22"/>
          <w:szCs w:val="22"/>
        </w:rPr>
      </w:pPr>
    </w:p>
    <w:p w14:paraId="1B640B2E" w14:textId="23128F57" w:rsidR="005D25FC" w:rsidRDefault="005D25FC" w:rsidP="00AF2665">
      <w:pPr>
        <w:ind w:left="1440"/>
        <w:jc w:val="both"/>
        <w:rPr>
          <w:sz w:val="22"/>
          <w:szCs w:val="22"/>
        </w:rPr>
      </w:pPr>
      <w:r w:rsidRPr="00377C8B">
        <w:rPr>
          <w:sz w:val="22"/>
          <w:szCs w:val="22"/>
        </w:rPr>
        <w:t>When a derivative instrument is designated as a cash flow hedge, the effective portion of the changes in fair value of the derivative is recognized in other comprehensive income, directly within a hedging reserve. The effective portion of changes in fair value of a derivative, recognized in other comprehensive income, is limited to the cumulative change in fair value of the hedged item (based on present value), from inception of the hedge. The change in fair value in respect of the ineffective portion is recognized immediately in profit or loss.</w:t>
      </w:r>
    </w:p>
    <w:p w14:paraId="448DFA25" w14:textId="77777777" w:rsidR="00A402EC" w:rsidRDefault="00A402EC" w:rsidP="007715B5">
      <w:pPr>
        <w:jc w:val="both"/>
        <w:rPr>
          <w:sz w:val="22"/>
          <w:szCs w:val="22"/>
        </w:rPr>
      </w:pPr>
    </w:p>
    <w:p w14:paraId="6BF5238A" w14:textId="4AF56E1C" w:rsidR="005D25FC" w:rsidRPr="00377C8B" w:rsidRDefault="005D25FC" w:rsidP="005D25FC">
      <w:pPr>
        <w:ind w:left="1440"/>
        <w:jc w:val="both"/>
        <w:rPr>
          <w:sz w:val="22"/>
          <w:szCs w:val="22"/>
        </w:rPr>
      </w:pPr>
      <w:r w:rsidRPr="00377C8B">
        <w:rPr>
          <w:sz w:val="22"/>
          <w:szCs w:val="22"/>
        </w:rPr>
        <w:t>If the hedge no longer qualifies as an accounting hedge, or the hedging instrument is sold, expires, cancelled or realized, hedge accounting is discontinued on a prospective basis. When hedge accounting is discontinued, the amounts accumulated in the past in the hedging reserve and cost of hedging reserve remain in the reserve, until such time as they are reclassified to profit or loss in the period, or periods, in which the hedged forecasted future cash flows affect profit or loss.</w:t>
      </w:r>
    </w:p>
    <w:p w14:paraId="36615228" w14:textId="77777777" w:rsidR="005D25FC" w:rsidRPr="00377C8B" w:rsidRDefault="005D25FC" w:rsidP="005D25FC">
      <w:pPr>
        <w:ind w:left="1440"/>
        <w:jc w:val="both"/>
        <w:rPr>
          <w:sz w:val="22"/>
          <w:szCs w:val="22"/>
        </w:rPr>
      </w:pPr>
    </w:p>
    <w:p w14:paraId="4E998719" w14:textId="77777777" w:rsidR="005D25FC" w:rsidRDefault="005D25FC" w:rsidP="005D25FC">
      <w:pPr>
        <w:ind w:left="1440"/>
        <w:jc w:val="both"/>
        <w:rPr>
          <w:sz w:val="22"/>
          <w:szCs w:val="22"/>
        </w:rPr>
      </w:pPr>
      <w:r w:rsidRPr="00377C8B">
        <w:rPr>
          <w:sz w:val="22"/>
          <w:szCs w:val="22"/>
        </w:rPr>
        <w:t xml:space="preserve">If the hedged future cash flows are no longer expected to occur, the amounts accumulated in the past in the hedging reserve and </w:t>
      </w:r>
      <w:proofErr w:type="gramStart"/>
      <w:r w:rsidRPr="00377C8B">
        <w:rPr>
          <w:sz w:val="22"/>
          <w:szCs w:val="22"/>
        </w:rPr>
        <w:t>cost</w:t>
      </w:r>
      <w:proofErr w:type="gramEnd"/>
      <w:r w:rsidRPr="00377C8B">
        <w:rPr>
          <w:sz w:val="22"/>
          <w:szCs w:val="22"/>
        </w:rPr>
        <w:t xml:space="preserve"> of hedging reserve are immediately reclassified to profit or loss.  </w:t>
      </w:r>
    </w:p>
    <w:p w14:paraId="72E09741" w14:textId="77777777" w:rsidR="005D25FC" w:rsidRDefault="005D25FC" w:rsidP="005D25FC">
      <w:pPr>
        <w:ind w:left="1440"/>
        <w:jc w:val="both"/>
        <w:rPr>
          <w:sz w:val="22"/>
          <w:szCs w:val="22"/>
        </w:rPr>
      </w:pPr>
    </w:p>
    <w:p w14:paraId="2D179C44" w14:textId="5068EE1D" w:rsidR="005D25FC" w:rsidRDefault="005D25FC" w:rsidP="000B59AD">
      <w:pPr>
        <w:ind w:left="1440"/>
        <w:jc w:val="both"/>
        <w:outlineLvl w:val="5"/>
        <w:rPr>
          <w:i/>
          <w:iCs/>
          <w:sz w:val="22"/>
          <w:szCs w:val="22"/>
        </w:rPr>
      </w:pPr>
      <w:bookmarkStart w:id="69" w:name="H6_Economic_hedges"/>
      <w:r w:rsidRPr="00F02921">
        <w:rPr>
          <w:i/>
          <w:iCs/>
          <w:sz w:val="22"/>
          <w:szCs w:val="22"/>
        </w:rPr>
        <w:t>Economic hedges</w:t>
      </w:r>
    </w:p>
    <w:bookmarkEnd w:id="69"/>
    <w:p w14:paraId="6483BB2E" w14:textId="77777777" w:rsidR="005D25FC" w:rsidRDefault="005D25FC" w:rsidP="005D25FC">
      <w:pPr>
        <w:ind w:left="1440"/>
        <w:jc w:val="both"/>
        <w:rPr>
          <w:i/>
          <w:iCs/>
          <w:sz w:val="22"/>
          <w:szCs w:val="22"/>
        </w:rPr>
      </w:pPr>
    </w:p>
    <w:p w14:paraId="7DD295B8" w14:textId="2AF69335" w:rsidR="005D25FC" w:rsidRDefault="005D25FC" w:rsidP="005D25FC">
      <w:pPr>
        <w:ind w:left="1440"/>
        <w:jc w:val="both"/>
        <w:rPr>
          <w:sz w:val="22"/>
          <w:szCs w:val="22"/>
        </w:rPr>
      </w:pPr>
      <w:r w:rsidRPr="00F02921">
        <w:rPr>
          <w:sz w:val="22"/>
          <w:szCs w:val="22"/>
        </w:rPr>
        <w:t>Hedge accounting is not applied to derivative instruments that economically hedge financial assets and liabilities denominated in foreign currencies. Changes in the fair value of such derivatives are recognized in profit or loss as part of foreign currency gains and losses.</w:t>
      </w:r>
    </w:p>
    <w:p w14:paraId="15A7A7AA" w14:textId="77777777" w:rsidR="005D25FC" w:rsidRDefault="005D25FC" w:rsidP="007715B5">
      <w:pPr>
        <w:jc w:val="both"/>
        <w:rPr>
          <w:b/>
          <w:bCs/>
          <w:sz w:val="26"/>
          <w:szCs w:val="26"/>
        </w:rPr>
      </w:pPr>
    </w:p>
    <w:p w14:paraId="47E047AA" w14:textId="5C8307A0" w:rsidR="005D25FC" w:rsidRPr="00C435F7" w:rsidRDefault="005D25FC" w:rsidP="000B59AD">
      <w:pPr>
        <w:ind w:firstLine="567"/>
        <w:jc w:val="both"/>
        <w:outlineLvl w:val="4"/>
        <w:rPr>
          <w:b/>
          <w:bCs/>
          <w:sz w:val="22"/>
          <w:szCs w:val="22"/>
        </w:rPr>
      </w:pPr>
      <w:bookmarkStart w:id="70" w:name="H5____4Share_capital"/>
      <w:r>
        <w:rPr>
          <w:b/>
          <w:bCs/>
          <w:sz w:val="22"/>
          <w:szCs w:val="22"/>
        </w:rPr>
        <w:t xml:space="preserve">   </w:t>
      </w:r>
      <w:r w:rsidRPr="00C435F7">
        <w:rPr>
          <w:b/>
          <w:bCs/>
          <w:sz w:val="22"/>
          <w:szCs w:val="22"/>
        </w:rPr>
        <w:t>(</w:t>
      </w:r>
      <w:r>
        <w:rPr>
          <w:b/>
          <w:bCs/>
          <w:sz w:val="22"/>
          <w:szCs w:val="22"/>
        </w:rPr>
        <w:t>4</w:t>
      </w:r>
      <w:r w:rsidRPr="00C435F7">
        <w:rPr>
          <w:b/>
          <w:bCs/>
          <w:sz w:val="22"/>
          <w:szCs w:val="22"/>
        </w:rPr>
        <w:t>)</w:t>
      </w:r>
      <w:r w:rsidRPr="00C435F7">
        <w:rPr>
          <w:b/>
          <w:bCs/>
          <w:sz w:val="22"/>
          <w:szCs w:val="22"/>
        </w:rPr>
        <w:tab/>
        <w:t>Share capital</w:t>
      </w:r>
    </w:p>
    <w:bookmarkEnd w:id="70"/>
    <w:p w14:paraId="022A245F" w14:textId="77777777" w:rsidR="005D25FC" w:rsidRPr="00C435F7" w:rsidRDefault="005D25FC" w:rsidP="005D25FC">
      <w:pPr>
        <w:tabs>
          <w:tab w:val="left" w:pos="567"/>
          <w:tab w:val="left" w:pos="1134"/>
        </w:tabs>
        <w:ind w:left="567"/>
        <w:jc w:val="both"/>
        <w:rPr>
          <w:sz w:val="22"/>
          <w:szCs w:val="22"/>
        </w:rPr>
      </w:pPr>
    </w:p>
    <w:p w14:paraId="25C1FB4C" w14:textId="77777777" w:rsidR="005D25FC" w:rsidRDefault="005D25FC" w:rsidP="000B59AD">
      <w:pPr>
        <w:tabs>
          <w:tab w:val="left" w:pos="567"/>
          <w:tab w:val="left" w:pos="1134"/>
        </w:tabs>
        <w:ind w:left="567"/>
        <w:jc w:val="both"/>
        <w:outlineLvl w:val="5"/>
        <w:rPr>
          <w:i/>
          <w:iCs/>
          <w:sz w:val="22"/>
          <w:szCs w:val="22"/>
        </w:rPr>
      </w:pPr>
      <w:bookmarkStart w:id="71" w:name="H6_Ordinary_shares"/>
      <w:r>
        <w:rPr>
          <w:i/>
          <w:iCs/>
          <w:sz w:val="22"/>
          <w:szCs w:val="22"/>
        </w:rPr>
        <w:tab/>
      </w:r>
      <w:r>
        <w:rPr>
          <w:i/>
          <w:iCs/>
          <w:sz w:val="22"/>
          <w:szCs w:val="22"/>
        </w:rPr>
        <w:tab/>
      </w:r>
      <w:r w:rsidRPr="001F3E7C">
        <w:rPr>
          <w:i/>
          <w:iCs/>
          <w:sz w:val="22"/>
          <w:szCs w:val="22"/>
        </w:rPr>
        <w:t>Ordinary shares</w:t>
      </w:r>
    </w:p>
    <w:bookmarkEnd w:id="71"/>
    <w:p w14:paraId="1DD26197" w14:textId="77777777" w:rsidR="005D25FC" w:rsidRDefault="005D25FC" w:rsidP="005D25FC">
      <w:pPr>
        <w:tabs>
          <w:tab w:val="left" w:pos="567"/>
          <w:tab w:val="left" w:pos="1134"/>
        </w:tabs>
        <w:ind w:left="1440"/>
        <w:jc w:val="both"/>
        <w:rPr>
          <w:sz w:val="22"/>
          <w:szCs w:val="22"/>
        </w:rPr>
      </w:pPr>
      <w:r>
        <w:rPr>
          <w:sz w:val="22"/>
          <w:szCs w:val="22"/>
        </w:rPr>
        <w:t xml:space="preserve">Ordinary shares are classified as equity. </w:t>
      </w:r>
      <w:r w:rsidRPr="00C435F7">
        <w:rPr>
          <w:sz w:val="22"/>
          <w:szCs w:val="22"/>
        </w:rPr>
        <w:t xml:space="preserve">Incremental costs directly attributable to the issue of </w:t>
      </w:r>
      <w:r>
        <w:rPr>
          <w:sz w:val="22"/>
          <w:szCs w:val="22"/>
        </w:rPr>
        <w:t>new</w:t>
      </w:r>
      <w:r w:rsidRPr="00C435F7">
        <w:rPr>
          <w:sz w:val="22"/>
          <w:szCs w:val="22"/>
        </w:rPr>
        <w:t xml:space="preserve"> shares and share options are recognized as a deduction from equity</w:t>
      </w:r>
      <w:r>
        <w:rPr>
          <w:sz w:val="22"/>
          <w:szCs w:val="22"/>
        </w:rPr>
        <w:t>, net of any tax effects</w:t>
      </w:r>
      <w:r w:rsidRPr="00C435F7">
        <w:rPr>
          <w:sz w:val="22"/>
          <w:szCs w:val="22"/>
        </w:rPr>
        <w:t>.</w:t>
      </w:r>
    </w:p>
    <w:p w14:paraId="5D7FBA56" w14:textId="77777777" w:rsidR="00A402EC" w:rsidRDefault="00A402EC">
      <w:pPr>
        <w:rPr>
          <w:sz w:val="22"/>
          <w:szCs w:val="22"/>
        </w:rPr>
      </w:pPr>
    </w:p>
    <w:p w14:paraId="081C5202" w14:textId="2D779734" w:rsidR="00A402EC" w:rsidRPr="00F02921" w:rsidRDefault="00A402EC" w:rsidP="000B59AD">
      <w:pPr>
        <w:ind w:left="720"/>
        <w:jc w:val="both"/>
        <w:outlineLvl w:val="3"/>
        <w:rPr>
          <w:b/>
          <w:bCs/>
          <w:sz w:val="22"/>
          <w:szCs w:val="22"/>
        </w:rPr>
      </w:pPr>
      <w:bookmarkStart w:id="72" w:name="H4_JIntangible_assets"/>
      <w:r>
        <w:rPr>
          <w:b/>
          <w:bCs/>
          <w:sz w:val="22"/>
          <w:szCs w:val="22"/>
        </w:rPr>
        <w:t>J</w:t>
      </w:r>
      <w:r w:rsidRPr="00F02921">
        <w:rPr>
          <w:b/>
          <w:bCs/>
          <w:sz w:val="22"/>
          <w:szCs w:val="22"/>
        </w:rPr>
        <w:t>.</w:t>
      </w:r>
      <w:r w:rsidRPr="00F02921">
        <w:rPr>
          <w:b/>
          <w:bCs/>
          <w:sz w:val="22"/>
          <w:szCs w:val="22"/>
        </w:rPr>
        <w:tab/>
        <w:t>Intangible assets</w:t>
      </w:r>
    </w:p>
    <w:bookmarkEnd w:id="72"/>
    <w:p w14:paraId="4182C542" w14:textId="77777777" w:rsidR="00A402EC" w:rsidRDefault="00A402EC" w:rsidP="00A402EC">
      <w:pPr>
        <w:ind w:left="720" w:firstLine="720"/>
        <w:jc w:val="both"/>
        <w:rPr>
          <w:i/>
          <w:iCs/>
          <w:sz w:val="22"/>
          <w:szCs w:val="22"/>
        </w:rPr>
      </w:pPr>
    </w:p>
    <w:p w14:paraId="50D64719" w14:textId="77777777" w:rsidR="00A402EC" w:rsidRPr="00F93283" w:rsidRDefault="00A402EC" w:rsidP="000B59AD">
      <w:pPr>
        <w:ind w:left="720" w:firstLine="720"/>
        <w:jc w:val="both"/>
        <w:outlineLvl w:val="4"/>
        <w:rPr>
          <w:i/>
          <w:iCs/>
          <w:sz w:val="22"/>
          <w:szCs w:val="22"/>
        </w:rPr>
      </w:pPr>
      <w:bookmarkStart w:id="73" w:name="H5_Goodwill"/>
      <w:r w:rsidRPr="00F93283">
        <w:rPr>
          <w:i/>
          <w:iCs/>
          <w:sz w:val="22"/>
          <w:szCs w:val="22"/>
        </w:rPr>
        <w:t>Goodwill</w:t>
      </w:r>
    </w:p>
    <w:bookmarkEnd w:id="73"/>
    <w:p w14:paraId="477266EB" w14:textId="77777777" w:rsidR="00A402EC" w:rsidRPr="00F02921" w:rsidRDefault="00A402EC" w:rsidP="00A402EC">
      <w:pPr>
        <w:ind w:left="1440"/>
        <w:jc w:val="both"/>
        <w:rPr>
          <w:sz w:val="22"/>
          <w:szCs w:val="22"/>
        </w:rPr>
      </w:pPr>
      <w:r w:rsidRPr="00F02921">
        <w:rPr>
          <w:sz w:val="22"/>
          <w:szCs w:val="22"/>
        </w:rPr>
        <w:t xml:space="preserve">Goodwill that arises upon the acquisition of subsidiaries is presented as part of intangible assets. For information on </w:t>
      </w:r>
      <w:proofErr w:type="gramStart"/>
      <w:r w:rsidRPr="00F02921">
        <w:rPr>
          <w:sz w:val="22"/>
          <w:szCs w:val="22"/>
        </w:rPr>
        <w:t>measurement</w:t>
      </w:r>
      <w:proofErr w:type="gramEnd"/>
      <w:r w:rsidRPr="00F02921">
        <w:rPr>
          <w:sz w:val="22"/>
          <w:szCs w:val="22"/>
        </w:rPr>
        <w:t xml:space="preserve"> of goodwill at initial recognition, </w:t>
      </w:r>
      <w:r w:rsidRPr="00351874">
        <w:rPr>
          <w:sz w:val="22"/>
          <w:szCs w:val="22"/>
        </w:rPr>
        <w:t xml:space="preserve">see </w:t>
      </w:r>
      <w:r w:rsidRPr="00351874">
        <w:rPr>
          <w:sz w:val="22"/>
          <w:szCs w:val="22"/>
          <w:lang w:bidi="he-IL"/>
        </w:rPr>
        <w:t>Note 3(</w:t>
      </w:r>
      <w:r w:rsidRPr="00351874">
        <w:rPr>
          <w:sz w:val="22"/>
          <w:szCs w:val="22"/>
        </w:rPr>
        <w:t>A).</w:t>
      </w:r>
    </w:p>
    <w:p w14:paraId="0AE3213D" w14:textId="77777777" w:rsidR="00A402EC" w:rsidRPr="00F02921" w:rsidRDefault="00A402EC" w:rsidP="00A402EC">
      <w:pPr>
        <w:ind w:left="720" w:firstLine="720"/>
        <w:jc w:val="both"/>
        <w:rPr>
          <w:sz w:val="22"/>
          <w:szCs w:val="22"/>
        </w:rPr>
      </w:pPr>
      <w:r w:rsidRPr="00F02921">
        <w:rPr>
          <w:sz w:val="22"/>
          <w:szCs w:val="22"/>
        </w:rPr>
        <w:t>In subsequent periods goodwill is measured at cost less accumulated impairment losses.</w:t>
      </w:r>
    </w:p>
    <w:p w14:paraId="47370A47" w14:textId="77777777" w:rsidR="00A402EC" w:rsidRDefault="00A402EC">
      <w:pPr>
        <w:rPr>
          <w:sz w:val="22"/>
          <w:szCs w:val="22"/>
        </w:rPr>
      </w:pPr>
    </w:p>
    <w:p w14:paraId="6E27684D" w14:textId="27782515" w:rsidR="00A402EC" w:rsidRPr="00F02921" w:rsidRDefault="00A402EC" w:rsidP="000B59AD">
      <w:pPr>
        <w:ind w:left="720"/>
        <w:jc w:val="both"/>
        <w:outlineLvl w:val="3"/>
        <w:rPr>
          <w:sz w:val="22"/>
          <w:szCs w:val="22"/>
        </w:rPr>
      </w:pPr>
      <w:bookmarkStart w:id="74" w:name="H4_KInventory"/>
      <w:r>
        <w:rPr>
          <w:b/>
          <w:bCs/>
          <w:sz w:val="22"/>
          <w:szCs w:val="22"/>
        </w:rPr>
        <w:t>K.</w:t>
      </w:r>
      <w:r>
        <w:rPr>
          <w:b/>
          <w:bCs/>
          <w:sz w:val="22"/>
          <w:szCs w:val="22"/>
        </w:rPr>
        <w:tab/>
      </w:r>
      <w:r w:rsidRPr="00F02921">
        <w:rPr>
          <w:b/>
          <w:bCs/>
          <w:sz w:val="22"/>
          <w:szCs w:val="22"/>
        </w:rPr>
        <w:t>Inventory</w:t>
      </w:r>
    </w:p>
    <w:bookmarkEnd w:id="74"/>
    <w:p w14:paraId="78D93F84" w14:textId="77777777" w:rsidR="00A402EC" w:rsidRDefault="00A402EC" w:rsidP="00A402EC">
      <w:pPr>
        <w:ind w:firstLine="720"/>
        <w:jc w:val="both"/>
        <w:rPr>
          <w:sz w:val="22"/>
          <w:szCs w:val="22"/>
        </w:rPr>
      </w:pPr>
    </w:p>
    <w:p w14:paraId="41669A5F" w14:textId="77777777" w:rsidR="00A402EC" w:rsidRDefault="00A402EC" w:rsidP="00A402EC">
      <w:pPr>
        <w:ind w:firstLine="720"/>
        <w:jc w:val="both"/>
        <w:rPr>
          <w:sz w:val="22"/>
          <w:szCs w:val="22"/>
        </w:rPr>
      </w:pPr>
      <w:r>
        <w:rPr>
          <w:sz w:val="22"/>
          <w:szCs w:val="22"/>
        </w:rPr>
        <w:tab/>
        <w:t>Inventory consists of inventory of land and inventory of buildings.</w:t>
      </w:r>
    </w:p>
    <w:p w14:paraId="183D0C40" w14:textId="77777777" w:rsidR="00A402EC" w:rsidRDefault="00A402EC" w:rsidP="00A402EC">
      <w:pPr>
        <w:ind w:firstLine="720"/>
        <w:jc w:val="both"/>
        <w:rPr>
          <w:sz w:val="22"/>
          <w:szCs w:val="22"/>
        </w:rPr>
      </w:pPr>
    </w:p>
    <w:p w14:paraId="790BAFA4" w14:textId="77777777" w:rsidR="00A402EC" w:rsidRPr="00F02921" w:rsidRDefault="00A402EC" w:rsidP="000B59AD">
      <w:pPr>
        <w:ind w:firstLine="720"/>
        <w:jc w:val="both"/>
        <w:outlineLvl w:val="4"/>
        <w:rPr>
          <w:b/>
          <w:bCs/>
          <w:sz w:val="22"/>
          <w:szCs w:val="22"/>
        </w:rPr>
      </w:pPr>
      <w:bookmarkStart w:id="75" w:name="H5_1Inventory_of_land"/>
      <w:r>
        <w:rPr>
          <w:b/>
          <w:bCs/>
          <w:sz w:val="22"/>
          <w:szCs w:val="22"/>
        </w:rPr>
        <w:t>(</w:t>
      </w:r>
      <w:r w:rsidRPr="00EF5E85">
        <w:rPr>
          <w:b/>
          <w:bCs/>
          <w:sz w:val="22"/>
          <w:szCs w:val="22"/>
        </w:rPr>
        <w:t>1</w:t>
      </w:r>
      <w:r>
        <w:rPr>
          <w:b/>
          <w:bCs/>
          <w:sz w:val="22"/>
          <w:szCs w:val="22"/>
        </w:rPr>
        <w:t>)</w:t>
      </w:r>
      <w:r>
        <w:rPr>
          <w:b/>
          <w:bCs/>
          <w:sz w:val="22"/>
          <w:szCs w:val="22"/>
        </w:rPr>
        <w:tab/>
        <w:t>Inventory</w:t>
      </w:r>
      <w:r w:rsidRPr="00F02921">
        <w:rPr>
          <w:b/>
          <w:bCs/>
          <w:sz w:val="22"/>
          <w:szCs w:val="22"/>
        </w:rPr>
        <w:t xml:space="preserve"> </w:t>
      </w:r>
      <w:r>
        <w:rPr>
          <w:b/>
          <w:bCs/>
          <w:sz w:val="22"/>
          <w:szCs w:val="22"/>
        </w:rPr>
        <w:t>of land</w:t>
      </w:r>
    </w:p>
    <w:bookmarkEnd w:id="75"/>
    <w:p w14:paraId="505E0FDA" w14:textId="77777777" w:rsidR="00A402EC" w:rsidRPr="00F02921" w:rsidRDefault="00A402EC" w:rsidP="00A402EC">
      <w:pPr>
        <w:ind w:left="1440"/>
        <w:jc w:val="both"/>
        <w:rPr>
          <w:sz w:val="22"/>
          <w:szCs w:val="22"/>
        </w:rPr>
      </w:pPr>
    </w:p>
    <w:p w14:paraId="2CA2FDEA" w14:textId="77777777" w:rsidR="00A402EC" w:rsidRDefault="00A402EC" w:rsidP="0020502A">
      <w:pPr>
        <w:ind w:left="1440"/>
        <w:jc w:val="both"/>
        <w:rPr>
          <w:sz w:val="22"/>
          <w:szCs w:val="22"/>
        </w:rPr>
      </w:pPr>
      <w:proofErr w:type="gramStart"/>
      <w:r>
        <w:rPr>
          <w:sz w:val="22"/>
          <w:szCs w:val="22"/>
        </w:rPr>
        <w:t>Inventory</w:t>
      </w:r>
      <w:proofErr w:type="gramEnd"/>
      <w:r w:rsidRPr="00F02921">
        <w:rPr>
          <w:sz w:val="22"/>
          <w:szCs w:val="22"/>
        </w:rPr>
        <w:t xml:space="preserve"> </w:t>
      </w:r>
      <w:r>
        <w:rPr>
          <w:sz w:val="22"/>
          <w:szCs w:val="22"/>
        </w:rPr>
        <w:t xml:space="preserve">of land </w:t>
      </w:r>
      <w:r w:rsidRPr="00F02921">
        <w:rPr>
          <w:sz w:val="22"/>
          <w:szCs w:val="22"/>
        </w:rPr>
        <w:t xml:space="preserve">is measured at the lower of cost and net realizable value. </w:t>
      </w:r>
      <w:proofErr w:type="gramStart"/>
      <w:r w:rsidRPr="00F02921">
        <w:rPr>
          <w:sz w:val="22"/>
          <w:szCs w:val="22"/>
        </w:rPr>
        <w:t>Net</w:t>
      </w:r>
      <w:proofErr w:type="gramEnd"/>
      <w:r w:rsidRPr="00F02921">
        <w:rPr>
          <w:sz w:val="22"/>
          <w:szCs w:val="22"/>
        </w:rPr>
        <w:t xml:space="preserve"> realizable value is the estimated selling price in the ordinary course of business, less the estimated costs of completion and selling expenses.</w:t>
      </w:r>
    </w:p>
    <w:p w14:paraId="5AA677B9" w14:textId="1A11C969" w:rsidR="00AF2665" w:rsidRDefault="00AF2665">
      <w:pPr>
        <w:rPr>
          <w:sz w:val="22"/>
          <w:szCs w:val="22"/>
        </w:rPr>
      </w:pPr>
      <w:r>
        <w:rPr>
          <w:sz w:val="22"/>
          <w:szCs w:val="22"/>
        </w:rPr>
        <w:br w:type="page"/>
      </w:r>
    </w:p>
    <w:p w14:paraId="37687B97" w14:textId="77777777" w:rsidR="00A402EC" w:rsidRDefault="00A402EC" w:rsidP="00A402EC">
      <w:pPr>
        <w:ind w:left="1440"/>
        <w:rPr>
          <w:sz w:val="22"/>
          <w:szCs w:val="22"/>
        </w:rPr>
      </w:pPr>
    </w:p>
    <w:p w14:paraId="2834401B" w14:textId="77777777" w:rsidR="00AF2665" w:rsidRPr="00AF2665" w:rsidRDefault="00AF2665" w:rsidP="00AF2665">
      <w:pPr>
        <w:rPr>
          <w:b/>
          <w:bCs/>
          <w:sz w:val="22"/>
          <w:szCs w:val="22"/>
        </w:rPr>
      </w:pPr>
      <w:r w:rsidRPr="00AF2665">
        <w:rPr>
          <w:b/>
          <w:bCs/>
          <w:sz w:val="22"/>
          <w:szCs w:val="22"/>
        </w:rPr>
        <w:t>Note 3 - Significant Accounting Policies (cont’d)</w:t>
      </w:r>
    </w:p>
    <w:p w14:paraId="778C1798" w14:textId="77777777" w:rsidR="00AF2665" w:rsidRPr="00AF2665" w:rsidRDefault="00AF2665" w:rsidP="00AF2665">
      <w:pPr>
        <w:ind w:left="1440"/>
        <w:rPr>
          <w:sz w:val="22"/>
          <w:szCs w:val="22"/>
        </w:rPr>
      </w:pPr>
    </w:p>
    <w:p w14:paraId="54722B39" w14:textId="77777777" w:rsidR="00AF2665" w:rsidRPr="00AF2665" w:rsidRDefault="00AF2665" w:rsidP="00AF2665">
      <w:pPr>
        <w:ind w:left="720"/>
        <w:jc w:val="both"/>
        <w:rPr>
          <w:sz w:val="22"/>
          <w:szCs w:val="22"/>
        </w:rPr>
      </w:pPr>
      <w:r w:rsidRPr="00AF2665">
        <w:rPr>
          <w:b/>
          <w:bCs/>
          <w:sz w:val="22"/>
          <w:szCs w:val="22"/>
        </w:rPr>
        <w:t>K.</w:t>
      </w:r>
      <w:r w:rsidRPr="00AF2665">
        <w:rPr>
          <w:b/>
          <w:bCs/>
          <w:sz w:val="22"/>
          <w:szCs w:val="22"/>
        </w:rPr>
        <w:tab/>
        <w:t>Inventory (Cont’d)</w:t>
      </w:r>
    </w:p>
    <w:p w14:paraId="3AF11BD3" w14:textId="77777777" w:rsidR="00AF2665" w:rsidRPr="00AF2665" w:rsidRDefault="00AF2665" w:rsidP="00AF2665">
      <w:pPr>
        <w:rPr>
          <w:b/>
          <w:bCs/>
          <w:sz w:val="22"/>
          <w:szCs w:val="22"/>
        </w:rPr>
      </w:pPr>
    </w:p>
    <w:p w14:paraId="3F1684BD" w14:textId="0E7B41CE" w:rsidR="00A402EC" w:rsidRPr="00F02921" w:rsidRDefault="00A402EC" w:rsidP="000B59AD">
      <w:pPr>
        <w:ind w:firstLine="720"/>
        <w:jc w:val="both"/>
        <w:outlineLvl w:val="4"/>
        <w:rPr>
          <w:sz w:val="22"/>
          <w:szCs w:val="22"/>
        </w:rPr>
      </w:pPr>
      <w:bookmarkStart w:id="76" w:name="H5_2Inventory_of_building"/>
      <w:r>
        <w:rPr>
          <w:b/>
          <w:bCs/>
          <w:sz w:val="22"/>
          <w:szCs w:val="22"/>
        </w:rPr>
        <w:t>(2)</w:t>
      </w:r>
      <w:r>
        <w:rPr>
          <w:b/>
          <w:bCs/>
          <w:sz w:val="22"/>
          <w:szCs w:val="22"/>
        </w:rPr>
        <w:tab/>
      </w:r>
      <w:r w:rsidRPr="00F02921">
        <w:rPr>
          <w:b/>
          <w:bCs/>
          <w:sz w:val="22"/>
          <w:szCs w:val="22"/>
        </w:rPr>
        <w:t>Inventory of building</w:t>
      </w:r>
    </w:p>
    <w:bookmarkEnd w:id="76"/>
    <w:p w14:paraId="5DEF0D18" w14:textId="77777777" w:rsidR="00A402EC" w:rsidRPr="00F02921" w:rsidRDefault="00A402EC" w:rsidP="00A402EC">
      <w:pPr>
        <w:jc w:val="both"/>
        <w:rPr>
          <w:sz w:val="22"/>
          <w:szCs w:val="22"/>
        </w:rPr>
      </w:pPr>
    </w:p>
    <w:p w14:paraId="518E3BE8" w14:textId="26B7A915" w:rsidR="00A402EC" w:rsidRPr="00F02921" w:rsidRDefault="00A402EC" w:rsidP="00AF2665">
      <w:pPr>
        <w:ind w:left="1440"/>
        <w:jc w:val="both"/>
        <w:rPr>
          <w:sz w:val="22"/>
          <w:szCs w:val="22"/>
        </w:rPr>
      </w:pPr>
      <w:r w:rsidRPr="00F02921">
        <w:rPr>
          <w:sz w:val="22"/>
          <w:szCs w:val="22"/>
        </w:rPr>
        <w:t xml:space="preserve">Inventory of buildings includes </w:t>
      </w:r>
      <w:r>
        <w:rPr>
          <w:sz w:val="22"/>
          <w:szCs w:val="22"/>
        </w:rPr>
        <w:t xml:space="preserve">residential </w:t>
      </w:r>
      <w:r w:rsidRPr="00F02921">
        <w:rPr>
          <w:sz w:val="22"/>
          <w:szCs w:val="22"/>
        </w:rPr>
        <w:t xml:space="preserve">property intended for sale in the ordinary course of business or in the process of construction or development for such sale. Inventory of buildings is measured at the lower of cost and net realizable value. </w:t>
      </w:r>
      <w:proofErr w:type="gramStart"/>
      <w:r w:rsidRPr="00C435F7">
        <w:rPr>
          <w:spacing w:val="-2"/>
          <w:sz w:val="22"/>
          <w:szCs w:val="22"/>
        </w:rPr>
        <w:t>Cost</w:t>
      </w:r>
      <w:proofErr w:type="gramEnd"/>
      <w:r w:rsidRPr="00C435F7">
        <w:rPr>
          <w:spacing w:val="-2"/>
          <w:sz w:val="22"/>
          <w:szCs w:val="22"/>
        </w:rPr>
        <w:t xml:space="preserve"> of inventory includes the costs incurred in acquiring the inventory and bringing it to its existing location and condition. In the case of </w:t>
      </w:r>
      <w:r>
        <w:rPr>
          <w:spacing w:val="-2"/>
          <w:sz w:val="22"/>
          <w:szCs w:val="22"/>
        </w:rPr>
        <w:t>inventory</w:t>
      </w:r>
      <w:r w:rsidRPr="00C435F7">
        <w:rPr>
          <w:spacing w:val="-2"/>
          <w:sz w:val="22"/>
          <w:szCs w:val="22"/>
        </w:rPr>
        <w:t xml:space="preserve"> </w:t>
      </w:r>
      <w:r>
        <w:rPr>
          <w:spacing w:val="-2"/>
          <w:sz w:val="22"/>
          <w:szCs w:val="22"/>
        </w:rPr>
        <w:t xml:space="preserve">under construction </w:t>
      </w:r>
      <w:r w:rsidRPr="00C435F7">
        <w:rPr>
          <w:spacing w:val="-2"/>
          <w:sz w:val="22"/>
          <w:szCs w:val="22"/>
        </w:rPr>
        <w:t xml:space="preserve">and </w:t>
      </w:r>
      <w:r>
        <w:rPr>
          <w:spacing w:val="-2"/>
          <w:sz w:val="22"/>
          <w:szCs w:val="22"/>
        </w:rPr>
        <w:t>inventory of completed buildings</w:t>
      </w:r>
      <w:r w:rsidRPr="00C435F7">
        <w:rPr>
          <w:spacing w:val="-2"/>
          <w:sz w:val="22"/>
          <w:szCs w:val="22"/>
        </w:rPr>
        <w:t xml:space="preserve">, cost includes an appropriate share of </w:t>
      </w:r>
      <w:r>
        <w:rPr>
          <w:spacing w:val="-2"/>
          <w:sz w:val="22"/>
          <w:szCs w:val="22"/>
        </w:rPr>
        <w:t>construction</w:t>
      </w:r>
      <w:r w:rsidRPr="00C435F7">
        <w:rPr>
          <w:spacing w:val="-2"/>
          <w:sz w:val="22"/>
          <w:szCs w:val="22"/>
        </w:rPr>
        <w:t xml:space="preserve"> overheads. </w:t>
      </w:r>
      <w:r>
        <w:rPr>
          <w:sz w:val="22"/>
          <w:szCs w:val="22"/>
        </w:rPr>
        <w:t xml:space="preserve"> </w:t>
      </w:r>
      <w:proofErr w:type="gramStart"/>
      <w:r w:rsidRPr="00F02921">
        <w:rPr>
          <w:sz w:val="22"/>
          <w:szCs w:val="22"/>
        </w:rPr>
        <w:t>Net</w:t>
      </w:r>
      <w:proofErr w:type="gramEnd"/>
      <w:r w:rsidRPr="00F02921">
        <w:rPr>
          <w:sz w:val="22"/>
          <w:szCs w:val="22"/>
        </w:rPr>
        <w:t xml:space="preserve"> realizable value is the estimated selling price in the ordinary course of business, less the estimated costs of completion and selling expenses.</w:t>
      </w:r>
    </w:p>
    <w:p w14:paraId="7D961D6A" w14:textId="77777777" w:rsidR="0099751B" w:rsidRDefault="0099751B" w:rsidP="007715B5">
      <w:pPr>
        <w:jc w:val="both"/>
        <w:rPr>
          <w:b/>
          <w:bCs/>
          <w:sz w:val="22"/>
          <w:szCs w:val="22"/>
        </w:rPr>
      </w:pPr>
    </w:p>
    <w:bookmarkEnd w:id="51"/>
    <w:p w14:paraId="04F782FA" w14:textId="77777777" w:rsidR="00C35D07" w:rsidRDefault="00C35D07" w:rsidP="007E0EB4">
      <w:pPr>
        <w:ind w:left="1440"/>
        <w:jc w:val="both"/>
        <w:rPr>
          <w:sz w:val="22"/>
          <w:szCs w:val="22"/>
        </w:rPr>
      </w:pPr>
      <w:r w:rsidRPr="00F02921">
        <w:rPr>
          <w:sz w:val="22"/>
          <w:szCs w:val="22"/>
        </w:rPr>
        <w:t xml:space="preserve">Borrowing costs are capitalized if they are directly attributable to the acquisition, construction or production of a qualifying asset. Capitalization of borrowing costs commences when the activities to prepare the inventory are in progress and expenditures and borrowing costs are being incurred. Capitalization of borrowing costs continues until the inventory is substantially ready for their intended use. The capitalization rate is determined by reference to the actual rate payable on borrowings for development purposes or, </w:t>
      </w:r>
      <w:proofErr w:type="gramStart"/>
      <w:r w:rsidRPr="00F02921">
        <w:rPr>
          <w:sz w:val="22"/>
          <w:szCs w:val="22"/>
        </w:rPr>
        <w:t>with regard to</w:t>
      </w:r>
      <w:proofErr w:type="gramEnd"/>
      <w:r w:rsidRPr="00F02921">
        <w:rPr>
          <w:sz w:val="22"/>
          <w:szCs w:val="22"/>
        </w:rPr>
        <w:t xml:space="preserve"> that part of the development cost financed out of general funds, to the average rate.</w:t>
      </w:r>
    </w:p>
    <w:p w14:paraId="2668754F" w14:textId="77777777" w:rsidR="00A96780" w:rsidRPr="00F02921" w:rsidRDefault="00A96780" w:rsidP="004B70F6">
      <w:pPr>
        <w:ind w:left="1440"/>
        <w:jc w:val="both"/>
        <w:rPr>
          <w:sz w:val="22"/>
          <w:szCs w:val="22"/>
        </w:rPr>
      </w:pPr>
    </w:p>
    <w:p w14:paraId="379F3C6E" w14:textId="669F978B" w:rsidR="007508CC" w:rsidRDefault="00C35D07">
      <w:pPr>
        <w:ind w:left="1440"/>
        <w:jc w:val="both"/>
        <w:rPr>
          <w:spacing w:val="-2"/>
          <w:sz w:val="22"/>
          <w:szCs w:val="22"/>
        </w:rPr>
      </w:pPr>
      <w:r w:rsidRPr="00F02921">
        <w:rPr>
          <w:spacing w:val="-2"/>
          <w:sz w:val="22"/>
          <w:szCs w:val="22"/>
        </w:rPr>
        <w:t xml:space="preserve">When inventory becomes investment property </w:t>
      </w:r>
      <w:r w:rsidR="00D44FAE">
        <w:rPr>
          <w:spacing w:val="-2"/>
          <w:sz w:val="22"/>
          <w:szCs w:val="22"/>
        </w:rPr>
        <w:t xml:space="preserve">or </w:t>
      </w:r>
      <w:r w:rsidR="00D44FAE" w:rsidRPr="00F02921">
        <w:rPr>
          <w:spacing w:val="-2"/>
          <w:sz w:val="22"/>
          <w:szCs w:val="22"/>
        </w:rPr>
        <w:t xml:space="preserve">investment property </w:t>
      </w:r>
      <w:r w:rsidR="00D44FAE">
        <w:rPr>
          <w:spacing w:val="-2"/>
          <w:sz w:val="22"/>
          <w:szCs w:val="22"/>
        </w:rPr>
        <w:t xml:space="preserve">under development </w:t>
      </w:r>
      <w:r w:rsidRPr="00F02921">
        <w:rPr>
          <w:spacing w:val="-2"/>
          <w:sz w:val="22"/>
          <w:szCs w:val="22"/>
        </w:rPr>
        <w:t>measured at fair value, any difference between the fair value of the property on that date and its previous carrying value is included directly in profit or loss.</w:t>
      </w:r>
    </w:p>
    <w:p w14:paraId="52211F07" w14:textId="5BB02CE8" w:rsidR="005D25FC" w:rsidRDefault="005D25FC" w:rsidP="007715B5">
      <w:pPr>
        <w:jc w:val="both"/>
        <w:rPr>
          <w:sz w:val="22"/>
          <w:szCs w:val="22"/>
        </w:rPr>
      </w:pPr>
    </w:p>
    <w:p w14:paraId="571DBC54" w14:textId="00A285D9" w:rsidR="00C35D07" w:rsidRPr="00377C8B" w:rsidRDefault="007E0EB4" w:rsidP="000B59AD">
      <w:pPr>
        <w:ind w:left="720"/>
        <w:jc w:val="both"/>
        <w:outlineLvl w:val="3"/>
        <w:rPr>
          <w:b/>
          <w:bCs/>
          <w:sz w:val="22"/>
          <w:szCs w:val="22"/>
        </w:rPr>
      </w:pPr>
      <w:bookmarkStart w:id="77" w:name="H4_LImpairment"/>
      <w:r>
        <w:rPr>
          <w:b/>
          <w:bCs/>
          <w:sz w:val="22"/>
          <w:szCs w:val="22"/>
        </w:rPr>
        <w:t>L</w:t>
      </w:r>
      <w:r w:rsidR="00C35D07" w:rsidRPr="00F27FCC">
        <w:rPr>
          <w:b/>
          <w:bCs/>
          <w:sz w:val="22"/>
          <w:szCs w:val="22"/>
        </w:rPr>
        <w:t>.</w:t>
      </w:r>
      <w:r w:rsidR="00C35D07" w:rsidRPr="00F27FCC">
        <w:rPr>
          <w:b/>
          <w:bCs/>
          <w:sz w:val="22"/>
          <w:szCs w:val="22"/>
        </w:rPr>
        <w:tab/>
        <w:t>Impairment</w:t>
      </w:r>
    </w:p>
    <w:bookmarkEnd w:id="77"/>
    <w:p w14:paraId="1D86AC68" w14:textId="77777777" w:rsidR="00F27FCC" w:rsidRDefault="00F27FCC" w:rsidP="00691F8D">
      <w:pPr>
        <w:ind w:left="720"/>
        <w:jc w:val="both"/>
        <w:rPr>
          <w:b/>
          <w:bCs/>
          <w:sz w:val="22"/>
          <w:szCs w:val="22"/>
        </w:rPr>
      </w:pPr>
    </w:p>
    <w:p w14:paraId="6F45B931" w14:textId="5568EA2D" w:rsidR="00F27FCC" w:rsidRPr="00C435F7" w:rsidRDefault="00F27FCC" w:rsidP="000B59AD">
      <w:pPr>
        <w:ind w:left="720"/>
        <w:jc w:val="both"/>
        <w:outlineLvl w:val="4"/>
        <w:rPr>
          <w:b/>
          <w:bCs/>
          <w:sz w:val="22"/>
          <w:szCs w:val="22"/>
          <w:rtl/>
        </w:rPr>
      </w:pPr>
      <w:r w:rsidRPr="008457EB">
        <w:rPr>
          <w:b/>
          <w:bCs/>
          <w:sz w:val="22"/>
          <w:szCs w:val="22"/>
        </w:rPr>
        <w:t>(</w:t>
      </w:r>
      <w:r>
        <w:rPr>
          <w:b/>
          <w:bCs/>
          <w:sz w:val="22"/>
          <w:szCs w:val="22"/>
        </w:rPr>
        <w:t>1</w:t>
      </w:r>
      <w:r w:rsidRPr="008457EB">
        <w:rPr>
          <w:b/>
          <w:bCs/>
          <w:sz w:val="22"/>
          <w:szCs w:val="22"/>
        </w:rPr>
        <w:t>)</w:t>
      </w:r>
      <w:r w:rsidRPr="008457EB">
        <w:rPr>
          <w:b/>
          <w:bCs/>
          <w:sz w:val="22"/>
          <w:szCs w:val="22"/>
        </w:rPr>
        <w:tab/>
        <w:t xml:space="preserve">Non-derivative financial assets </w:t>
      </w:r>
    </w:p>
    <w:p w14:paraId="17A9FE1E" w14:textId="77777777" w:rsidR="00F27FCC" w:rsidRDefault="00F27FCC" w:rsidP="00691F8D">
      <w:pPr>
        <w:ind w:left="720"/>
        <w:jc w:val="both"/>
        <w:rPr>
          <w:b/>
          <w:bCs/>
          <w:sz w:val="22"/>
          <w:szCs w:val="22"/>
        </w:rPr>
      </w:pPr>
    </w:p>
    <w:p w14:paraId="28AB53B9" w14:textId="77777777" w:rsidR="00F27FCC" w:rsidRDefault="00F27FCC" w:rsidP="00377C8B">
      <w:pPr>
        <w:ind w:left="1440"/>
        <w:jc w:val="both"/>
        <w:rPr>
          <w:sz w:val="22"/>
          <w:szCs w:val="22"/>
        </w:rPr>
      </w:pPr>
      <w:r>
        <w:rPr>
          <w:sz w:val="22"/>
          <w:szCs w:val="22"/>
        </w:rPr>
        <w:t>The Group recognizes a provision for expected credit losses in respect of:</w:t>
      </w:r>
    </w:p>
    <w:p w14:paraId="7952D4CB" w14:textId="7624C53D" w:rsidR="00F27FCC" w:rsidRDefault="00F27FCC" w:rsidP="00C5462B">
      <w:pPr>
        <w:pStyle w:val="af2"/>
        <w:numPr>
          <w:ilvl w:val="0"/>
          <w:numId w:val="13"/>
        </w:numPr>
        <w:jc w:val="both"/>
        <w:rPr>
          <w:sz w:val="22"/>
          <w:szCs w:val="22"/>
        </w:rPr>
      </w:pPr>
      <w:r>
        <w:rPr>
          <w:sz w:val="22"/>
          <w:szCs w:val="22"/>
        </w:rPr>
        <w:t>Financial assets at amortized cost; and</w:t>
      </w:r>
    </w:p>
    <w:p w14:paraId="79BA70D8" w14:textId="4A7CB035" w:rsidR="00F27FCC" w:rsidRDefault="00F27FCC" w:rsidP="00C5462B">
      <w:pPr>
        <w:pStyle w:val="af2"/>
        <w:numPr>
          <w:ilvl w:val="0"/>
          <w:numId w:val="13"/>
        </w:numPr>
        <w:jc w:val="both"/>
        <w:rPr>
          <w:sz w:val="22"/>
          <w:szCs w:val="22"/>
        </w:rPr>
      </w:pPr>
      <w:r>
        <w:rPr>
          <w:sz w:val="22"/>
          <w:szCs w:val="22"/>
        </w:rPr>
        <w:t>Lease receivables.</w:t>
      </w:r>
    </w:p>
    <w:p w14:paraId="2C80CCC7" w14:textId="282FF0CF" w:rsidR="00F27FCC" w:rsidRDefault="00F27FCC" w:rsidP="00F27FCC">
      <w:pPr>
        <w:jc w:val="both"/>
        <w:rPr>
          <w:sz w:val="22"/>
          <w:szCs w:val="22"/>
        </w:rPr>
      </w:pPr>
    </w:p>
    <w:p w14:paraId="1370BF89" w14:textId="77777777" w:rsidR="00F27FCC" w:rsidRDefault="00F27FCC" w:rsidP="00377C8B">
      <w:pPr>
        <w:ind w:left="1440"/>
        <w:jc w:val="both"/>
        <w:rPr>
          <w:sz w:val="22"/>
          <w:szCs w:val="22"/>
        </w:rPr>
      </w:pPr>
      <w:r>
        <w:rPr>
          <w:sz w:val="22"/>
          <w:szCs w:val="22"/>
        </w:rPr>
        <w:t xml:space="preserve">The Group measures the provision for expected credit losses at an amount equal to the full lifetime </w:t>
      </w:r>
      <w:proofErr w:type="gramStart"/>
      <w:r>
        <w:rPr>
          <w:sz w:val="22"/>
          <w:szCs w:val="22"/>
        </w:rPr>
        <w:t>expected credit</w:t>
      </w:r>
      <w:proofErr w:type="gramEnd"/>
      <w:r>
        <w:rPr>
          <w:sz w:val="22"/>
          <w:szCs w:val="22"/>
        </w:rPr>
        <w:t xml:space="preserve"> losses, other than the provisions hereunder that are measured at an amount equal to the 12-month expected credit losses:</w:t>
      </w:r>
    </w:p>
    <w:p w14:paraId="6770B758" w14:textId="77777777" w:rsidR="00F27FCC" w:rsidRDefault="00F27FCC" w:rsidP="00C52BA0">
      <w:pPr>
        <w:pStyle w:val="af2"/>
        <w:numPr>
          <w:ilvl w:val="0"/>
          <w:numId w:val="13"/>
        </w:numPr>
        <w:ind w:left="1800"/>
        <w:jc w:val="both"/>
        <w:rPr>
          <w:sz w:val="22"/>
          <w:szCs w:val="22"/>
        </w:rPr>
      </w:pPr>
      <w:r>
        <w:rPr>
          <w:sz w:val="22"/>
          <w:szCs w:val="22"/>
        </w:rPr>
        <w:t>Debt instruments that are determined to have low credit risk at the reporting date; and</w:t>
      </w:r>
    </w:p>
    <w:p w14:paraId="6A369D3B" w14:textId="77777777" w:rsidR="00F27FCC" w:rsidRDefault="00F27FCC" w:rsidP="00C52BA0">
      <w:pPr>
        <w:pStyle w:val="af2"/>
        <w:numPr>
          <w:ilvl w:val="0"/>
          <w:numId w:val="13"/>
        </w:numPr>
        <w:ind w:left="1800"/>
        <w:jc w:val="both"/>
        <w:rPr>
          <w:sz w:val="22"/>
          <w:szCs w:val="22"/>
        </w:rPr>
      </w:pPr>
      <w:r>
        <w:rPr>
          <w:sz w:val="22"/>
          <w:szCs w:val="22"/>
        </w:rPr>
        <w:t>Other debts instruments and deposits, for which credit risk has not increased significantly since initial recognition.</w:t>
      </w:r>
    </w:p>
    <w:p w14:paraId="4C3AE0B6" w14:textId="77777777" w:rsidR="00F27FCC" w:rsidRDefault="00F27FCC" w:rsidP="00377C8B">
      <w:pPr>
        <w:pStyle w:val="af2"/>
        <w:ind w:left="2160"/>
        <w:jc w:val="both"/>
        <w:rPr>
          <w:sz w:val="22"/>
          <w:szCs w:val="22"/>
        </w:rPr>
      </w:pPr>
    </w:p>
    <w:p w14:paraId="09CB7EC3" w14:textId="77777777" w:rsidR="00F27FCC" w:rsidRDefault="00F27FCC" w:rsidP="00377C8B">
      <w:pPr>
        <w:ind w:left="1440"/>
        <w:jc w:val="both"/>
        <w:rPr>
          <w:sz w:val="22"/>
          <w:szCs w:val="22"/>
        </w:rPr>
      </w:pPr>
      <w:r>
        <w:rPr>
          <w:sz w:val="22"/>
          <w:szCs w:val="22"/>
        </w:rPr>
        <w:t>The Group has elected to measure the provision for expected credit losses in respect of receivables and lease receivables at an amount equal to the full lifetime credit losses of the instrument.</w:t>
      </w:r>
    </w:p>
    <w:p w14:paraId="5ECAADBE" w14:textId="77777777" w:rsidR="00F27FCC" w:rsidRDefault="00F27FCC" w:rsidP="00377C8B">
      <w:pPr>
        <w:ind w:left="1440"/>
        <w:jc w:val="both"/>
        <w:rPr>
          <w:sz w:val="22"/>
          <w:szCs w:val="22"/>
        </w:rPr>
      </w:pPr>
      <w:r>
        <w:rPr>
          <w:sz w:val="22"/>
          <w:szCs w:val="22"/>
        </w:rPr>
        <w:t>Lifetime expected credit losses are expected credit losses that result from all possible default events over the expected life of the financial asset.</w:t>
      </w:r>
    </w:p>
    <w:p w14:paraId="207846FD" w14:textId="77777777" w:rsidR="00F27FCC" w:rsidRDefault="00F27FCC" w:rsidP="00377C8B">
      <w:pPr>
        <w:ind w:left="1440"/>
        <w:jc w:val="both"/>
        <w:rPr>
          <w:sz w:val="22"/>
          <w:szCs w:val="22"/>
        </w:rPr>
      </w:pPr>
      <w:r>
        <w:rPr>
          <w:sz w:val="22"/>
          <w:szCs w:val="22"/>
        </w:rPr>
        <w:t>12-month expected credit losses are the expected credit losses that result from possible default events within the 12 months after the reporting date.</w:t>
      </w:r>
    </w:p>
    <w:p w14:paraId="41482024" w14:textId="77777777" w:rsidR="00F27FCC" w:rsidRDefault="00F27FCC" w:rsidP="00377C8B">
      <w:pPr>
        <w:ind w:left="1440"/>
        <w:jc w:val="both"/>
        <w:rPr>
          <w:sz w:val="22"/>
          <w:szCs w:val="22"/>
        </w:rPr>
      </w:pPr>
      <w:r>
        <w:rPr>
          <w:sz w:val="22"/>
          <w:szCs w:val="22"/>
        </w:rPr>
        <w:t>The maximum period considered when assessing expected credit losses is the maximum contractual period over which the Group is exposed to credit risk.</w:t>
      </w:r>
    </w:p>
    <w:p w14:paraId="0705E2D1" w14:textId="7810BDE5" w:rsidR="00AF2665" w:rsidRDefault="00AF2665">
      <w:pPr>
        <w:rPr>
          <w:sz w:val="22"/>
          <w:szCs w:val="22"/>
        </w:rPr>
      </w:pPr>
      <w:r>
        <w:rPr>
          <w:sz w:val="22"/>
          <w:szCs w:val="22"/>
        </w:rPr>
        <w:br w:type="page"/>
      </w:r>
    </w:p>
    <w:p w14:paraId="52C56B9D" w14:textId="77777777" w:rsidR="00AF2665" w:rsidRDefault="00AF2665" w:rsidP="00377C8B">
      <w:pPr>
        <w:ind w:left="1440"/>
        <w:jc w:val="both"/>
        <w:rPr>
          <w:sz w:val="22"/>
          <w:szCs w:val="22"/>
        </w:rPr>
      </w:pPr>
    </w:p>
    <w:p w14:paraId="0B57CD41" w14:textId="77777777" w:rsidR="00AF2665" w:rsidRPr="00AF2665" w:rsidRDefault="00AF2665" w:rsidP="00AF2665">
      <w:pPr>
        <w:rPr>
          <w:b/>
          <w:bCs/>
          <w:sz w:val="22"/>
          <w:szCs w:val="22"/>
        </w:rPr>
      </w:pPr>
      <w:r w:rsidRPr="00AF2665">
        <w:rPr>
          <w:b/>
          <w:bCs/>
          <w:sz w:val="22"/>
          <w:szCs w:val="22"/>
        </w:rPr>
        <w:t>Note 3 - Significant Accounting Policies (cont’d)</w:t>
      </w:r>
    </w:p>
    <w:p w14:paraId="4269EC0A" w14:textId="77777777" w:rsidR="00AF2665" w:rsidRPr="00AF2665" w:rsidRDefault="00AF2665" w:rsidP="00AF2665">
      <w:pPr>
        <w:ind w:left="720"/>
        <w:jc w:val="both"/>
        <w:rPr>
          <w:b/>
          <w:bCs/>
          <w:sz w:val="22"/>
          <w:szCs w:val="22"/>
        </w:rPr>
      </w:pPr>
    </w:p>
    <w:p w14:paraId="749102A9" w14:textId="77777777" w:rsidR="00AF2665" w:rsidRPr="00AF2665" w:rsidRDefault="00AF2665" w:rsidP="00AF2665">
      <w:pPr>
        <w:ind w:left="720"/>
        <w:jc w:val="both"/>
        <w:rPr>
          <w:b/>
          <w:bCs/>
          <w:sz w:val="22"/>
          <w:szCs w:val="22"/>
        </w:rPr>
      </w:pPr>
      <w:r w:rsidRPr="00AF2665">
        <w:rPr>
          <w:b/>
          <w:bCs/>
          <w:sz w:val="22"/>
          <w:szCs w:val="22"/>
        </w:rPr>
        <w:t>L.</w:t>
      </w:r>
      <w:r w:rsidRPr="00AF2665">
        <w:rPr>
          <w:b/>
          <w:bCs/>
          <w:sz w:val="22"/>
          <w:szCs w:val="22"/>
        </w:rPr>
        <w:tab/>
        <w:t>Impairment (Cont’d)</w:t>
      </w:r>
    </w:p>
    <w:p w14:paraId="7A201516" w14:textId="77777777" w:rsidR="00AF2665" w:rsidRPr="00AF2665" w:rsidRDefault="00AF2665" w:rsidP="00AF2665">
      <w:pPr>
        <w:ind w:left="720"/>
        <w:jc w:val="both"/>
        <w:rPr>
          <w:b/>
          <w:bCs/>
          <w:sz w:val="22"/>
          <w:szCs w:val="22"/>
        </w:rPr>
      </w:pPr>
    </w:p>
    <w:p w14:paraId="3BD5EB66" w14:textId="77777777" w:rsidR="00AF2665" w:rsidRPr="00AF2665" w:rsidRDefault="00AF2665" w:rsidP="00C5462B">
      <w:pPr>
        <w:pStyle w:val="af2"/>
        <w:numPr>
          <w:ilvl w:val="0"/>
          <w:numId w:val="26"/>
        </w:numPr>
        <w:jc w:val="both"/>
        <w:rPr>
          <w:b/>
          <w:bCs/>
          <w:sz w:val="22"/>
          <w:szCs w:val="22"/>
        </w:rPr>
      </w:pPr>
      <w:r w:rsidRPr="00AF2665">
        <w:rPr>
          <w:b/>
          <w:bCs/>
          <w:sz w:val="22"/>
          <w:szCs w:val="22"/>
        </w:rPr>
        <w:t>Non-derivative financial assets (Cont’d)</w:t>
      </w:r>
    </w:p>
    <w:p w14:paraId="1C371B88" w14:textId="77777777" w:rsidR="00AF2665" w:rsidRDefault="00AF2665" w:rsidP="00377C8B">
      <w:pPr>
        <w:ind w:left="1440"/>
        <w:jc w:val="both"/>
        <w:rPr>
          <w:sz w:val="22"/>
          <w:szCs w:val="22"/>
        </w:rPr>
      </w:pPr>
    </w:p>
    <w:p w14:paraId="07DB2852" w14:textId="77777777" w:rsidR="00F27FCC" w:rsidRPr="00377C8B" w:rsidRDefault="00F27FCC" w:rsidP="000B59AD">
      <w:pPr>
        <w:ind w:left="1287" w:firstLine="153"/>
        <w:jc w:val="both"/>
        <w:outlineLvl w:val="5"/>
        <w:rPr>
          <w:i/>
          <w:iCs/>
          <w:spacing w:val="-2"/>
          <w:sz w:val="22"/>
          <w:szCs w:val="22"/>
        </w:rPr>
      </w:pPr>
      <w:bookmarkStart w:id="78" w:name="H6_Measurement_of_expected_credit_losses"/>
      <w:r w:rsidRPr="00377C8B">
        <w:rPr>
          <w:i/>
          <w:iCs/>
          <w:spacing w:val="-2"/>
          <w:sz w:val="22"/>
          <w:szCs w:val="22"/>
        </w:rPr>
        <w:t>Measurement of expected credit losses</w:t>
      </w:r>
    </w:p>
    <w:bookmarkEnd w:id="78"/>
    <w:p w14:paraId="7DA694B2" w14:textId="77777777" w:rsidR="00F27FCC" w:rsidRDefault="00F27FCC" w:rsidP="00377C8B">
      <w:pPr>
        <w:ind w:left="1440"/>
        <w:jc w:val="both"/>
        <w:rPr>
          <w:sz w:val="22"/>
          <w:szCs w:val="22"/>
        </w:rPr>
      </w:pPr>
      <w:r>
        <w:rPr>
          <w:sz w:val="22"/>
          <w:szCs w:val="22"/>
        </w:rPr>
        <w:t>Expected credit losses are a probability-weighted estimate of credit losses. Credit losses are measured as the present value of the difference between the cash flows due to the Group in accordance with the contract and the cash flows that the Group expects to receive.</w:t>
      </w:r>
    </w:p>
    <w:p w14:paraId="7AA378BB" w14:textId="77777777" w:rsidR="00F27FCC" w:rsidRDefault="00F27FCC" w:rsidP="00377C8B">
      <w:pPr>
        <w:ind w:left="1440"/>
        <w:jc w:val="both"/>
        <w:rPr>
          <w:sz w:val="22"/>
          <w:szCs w:val="22"/>
        </w:rPr>
      </w:pPr>
      <w:r>
        <w:rPr>
          <w:sz w:val="22"/>
          <w:szCs w:val="22"/>
        </w:rPr>
        <w:t>Expected credit losses are discounted at the effective interest rate of the financial asset.</w:t>
      </w:r>
    </w:p>
    <w:p w14:paraId="43F5857D" w14:textId="77777777" w:rsidR="0099751B" w:rsidRDefault="0099751B" w:rsidP="00237FC5">
      <w:pPr>
        <w:jc w:val="both"/>
        <w:rPr>
          <w:i/>
          <w:iCs/>
          <w:spacing w:val="-2"/>
          <w:sz w:val="22"/>
          <w:szCs w:val="22"/>
        </w:rPr>
      </w:pPr>
    </w:p>
    <w:p w14:paraId="10FF7FC7" w14:textId="644847C0" w:rsidR="00F27FCC" w:rsidRPr="00377C8B" w:rsidRDefault="00F27FCC" w:rsidP="000B59AD">
      <w:pPr>
        <w:ind w:left="1287" w:firstLine="153"/>
        <w:jc w:val="both"/>
        <w:outlineLvl w:val="5"/>
        <w:rPr>
          <w:i/>
          <w:iCs/>
          <w:spacing w:val="-2"/>
          <w:sz w:val="22"/>
          <w:szCs w:val="22"/>
        </w:rPr>
      </w:pPr>
      <w:bookmarkStart w:id="79" w:name="H6_Creditimpaired_financial_assets"/>
      <w:r w:rsidRPr="00377C8B">
        <w:rPr>
          <w:i/>
          <w:iCs/>
          <w:spacing w:val="-2"/>
          <w:sz w:val="22"/>
          <w:szCs w:val="22"/>
        </w:rPr>
        <w:t>Credit-impaired financial assets</w:t>
      </w:r>
    </w:p>
    <w:bookmarkEnd w:id="79"/>
    <w:p w14:paraId="34D5A52C" w14:textId="77777777" w:rsidR="00F27FCC" w:rsidRDefault="00F27FCC" w:rsidP="00377C8B">
      <w:pPr>
        <w:ind w:left="1440"/>
        <w:jc w:val="both"/>
        <w:rPr>
          <w:sz w:val="22"/>
          <w:szCs w:val="22"/>
        </w:rPr>
      </w:pPr>
      <w:r>
        <w:rPr>
          <w:sz w:val="22"/>
          <w:szCs w:val="22"/>
        </w:rPr>
        <w:t xml:space="preserve">At each reporting date, the Group assesses whether financial assets carried at amortized cost and debt instruments at fair value through other comprehensive income are </w:t>
      </w:r>
      <w:proofErr w:type="gramStart"/>
      <w:r>
        <w:rPr>
          <w:sz w:val="22"/>
          <w:szCs w:val="22"/>
        </w:rPr>
        <w:t>credit-impaired</w:t>
      </w:r>
      <w:proofErr w:type="gramEnd"/>
      <w:r>
        <w:rPr>
          <w:sz w:val="22"/>
          <w:szCs w:val="22"/>
        </w:rPr>
        <w:t xml:space="preserve">. A financial asset is ‘credit-impaired’ when one or more events that have a detrimental impact on the estimated future cash flows of the financial asset have occurred. </w:t>
      </w:r>
    </w:p>
    <w:p w14:paraId="3F07E2C5" w14:textId="77777777" w:rsidR="007E0EB4" w:rsidRPr="007715B5" w:rsidRDefault="007E0EB4" w:rsidP="007715B5">
      <w:pPr>
        <w:pStyle w:val="af2"/>
        <w:ind w:left="1440"/>
        <w:jc w:val="both"/>
        <w:rPr>
          <w:sz w:val="22"/>
          <w:szCs w:val="22"/>
        </w:rPr>
      </w:pPr>
    </w:p>
    <w:p w14:paraId="24CFA88D" w14:textId="615EAD53" w:rsidR="0070739B" w:rsidRDefault="0070739B" w:rsidP="000B59AD">
      <w:pPr>
        <w:ind w:left="1440"/>
        <w:jc w:val="both"/>
        <w:outlineLvl w:val="5"/>
        <w:rPr>
          <w:sz w:val="22"/>
          <w:szCs w:val="22"/>
        </w:rPr>
      </w:pPr>
      <w:bookmarkStart w:id="80" w:name="H6_Presentation_of_provision_for_expecte"/>
      <w:r w:rsidRPr="0070739B">
        <w:rPr>
          <w:i/>
          <w:iCs/>
          <w:spacing w:val="-2"/>
          <w:sz w:val="22"/>
          <w:szCs w:val="22"/>
        </w:rPr>
        <w:t>Presentation of provision for expected credit losses in the statement of financial position</w:t>
      </w:r>
    </w:p>
    <w:bookmarkEnd w:id="80"/>
    <w:p w14:paraId="024365B9" w14:textId="4C5D19E3" w:rsidR="00F27FCC" w:rsidRDefault="00F27FCC" w:rsidP="00F27FCC">
      <w:pPr>
        <w:ind w:left="1440"/>
        <w:jc w:val="both"/>
        <w:rPr>
          <w:sz w:val="22"/>
          <w:szCs w:val="22"/>
        </w:rPr>
      </w:pPr>
      <w:r>
        <w:rPr>
          <w:sz w:val="22"/>
          <w:szCs w:val="22"/>
        </w:rPr>
        <w:t xml:space="preserve">Provisions for expected credit losses of financial assets measured at amortized cost are deducted from the </w:t>
      </w:r>
      <w:proofErr w:type="gramStart"/>
      <w:r>
        <w:rPr>
          <w:sz w:val="22"/>
          <w:szCs w:val="22"/>
        </w:rPr>
        <w:t>gross carrying</w:t>
      </w:r>
      <w:proofErr w:type="gramEnd"/>
      <w:r>
        <w:rPr>
          <w:sz w:val="22"/>
          <w:szCs w:val="22"/>
        </w:rPr>
        <w:t xml:space="preserve"> amount of the financial assets.</w:t>
      </w:r>
    </w:p>
    <w:p w14:paraId="2AB6FB66" w14:textId="3E15523C" w:rsidR="0070739B" w:rsidRDefault="0070739B" w:rsidP="00F27FCC">
      <w:pPr>
        <w:ind w:left="1440"/>
        <w:jc w:val="both"/>
        <w:rPr>
          <w:sz w:val="22"/>
          <w:szCs w:val="22"/>
        </w:rPr>
      </w:pPr>
    </w:p>
    <w:p w14:paraId="530094F9" w14:textId="6E9CF3FF" w:rsidR="0070739B" w:rsidRPr="00377C8B" w:rsidRDefault="0070739B" w:rsidP="000B59AD">
      <w:pPr>
        <w:ind w:left="1440"/>
        <w:jc w:val="both"/>
        <w:outlineLvl w:val="5"/>
        <w:rPr>
          <w:i/>
          <w:iCs/>
          <w:spacing w:val="-2"/>
          <w:sz w:val="22"/>
          <w:szCs w:val="22"/>
        </w:rPr>
      </w:pPr>
      <w:bookmarkStart w:id="81" w:name="H6_Writeoff"/>
      <w:r w:rsidRPr="00377C8B">
        <w:rPr>
          <w:i/>
          <w:iCs/>
          <w:spacing w:val="-2"/>
          <w:sz w:val="22"/>
          <w:szCs w:val="22"/>
        </w:rPr>
        <w:t>Write-off</w:t>
      </w:r>
    </w:p>
    <w:bookmarkEnd w:id="81"/>
    <w:p w14:paraId="16495E39" w14:textId="344C8DA2" w:rsidR="0070739B" w:rsidRDefault="0070739B" w:rsidP="00F27FCC">
      <w:pPr>
        <w:ind w:left="1440"/>
        <w:jc w:val="both"/>
        <w:rPr>
          <w:sz w:val="22"/>
          <w:szCs w:val="22"/>
        </w:rPr>
      </w:pPr>
      <w:r w:rsidRPr="0070739B">
        <w:rPr>
          <w:sz w:val="22"/>
          <w:szCs w:val="22"/>
        </w:rPr>
        <w:t xml:space="preserve">The gross carrying amount of a financial asset is written off when the Group does not have reasonable expectations of recovering a financial asset at its entirety or a portion thereof. This is usually the case when the Group determines that the debtor does not have assets or sources of income that may generate sufficient cash flows for paying the amounts being written off. However, financial assets that are written off could still be subject to enforcement activities </w:t>
      </w:r>
      <w:proofErr w:type="gramStart"/>
      <w:r w:rsidRPr="0070739B">
        <w:rPr>
          <w:sz w:val="22"/>
          <w:szCs w:val="22"/>
        </w:rPr>
        <w:t>in order to</w:t>
      </w:r>
      <w:proofErr w:type="gramEnd"/>
      <w:r w:rsidRPr="0070739B">
        <w:rPr>
          <w:sz w:val="22"/>
          <w:szCs w:val="22"/>
        </w:rPr>
        <w:t xml:space="preserve"> comply with the Group's procedures for recovery of amounts due. Write-off constitutes a de-recognition event.</w:t>
      </w:r>
    </w:p>
    <w:p w14:paraId="3C5CBABB" w14:textId="53A097FC" w:rsidR="0070739B" w:rsidRDefault="0070739B" w:rsidP="00691F8D">
      <w:pPr>
        <w:ind w:left="720"/>
        <w:jc w:val="both"/>
        <w:rPr>
          <w:b/>
          <w:bCs/>
          <w:sz w:val="22"/>
          <w:szCs w:val="22"/>
        </w:rPr>
      </w:pPr>
    </w:p>
    <w:p w14:paraId="0C920E4C" w14:textId="696D58AE" w:rsidR="00C35D07" w:rsidRPr="00F02921" w:rsidRDefault="007E0EB4" w:rsidP="000B59AD">
      <w:pPr>
        <w:jc w:val="both"/>
        <w:outlineLvl w:val="4"/>
        <w:rPr>
          <w:b/>
          <w:bCs/>
          <w:sz w:val="22"/>
          <w:szCs w:val="22"/>
        </w:rPr>
      </w:pPr>
      <w:bookmarkStart w:id="82" w:name="H5__2Nonfinancial_assets"/>
      <w:r>
        <w:rPr>
          <w:b/>
          <w:bCs/>
          <w:sz w:val="22"/>
          <w:szCs w:val="22"/>
        </w:rPr>
        <w:tab/>
      </w:r>
      <w:r w:rsidR="00F27FCC" w:rsidDel="00F27FCC">
        <w:rPr>
          <w:b/>
          <w:bCs/>
          <w:sz w:val="22"/>
          <w:szCs w:val="22"/>
        </w:rPr>
        <w:t xml:space="preserve"> </w:t>
      </w:r>
      <w:r w:rsidR="00F27FCC" w:rsidRPr="008457EB">
        <w:rPr>
          <w:b/>
          <w:bCs/>
          <w:sz w:val="22"/>
          <w:szCs w:val="22"/>
        </w:rPr>
        <w:t>(</w:t>
      </w:r>
      <w:r w:rsidR="00AA6C4E">
        <w:rPr>
          <w:b/>
          <w:bCs/>
          <w:sz w:val="22"/>
          <w:szCs w:val="22"/>
        </w:rPr>
        <w:t>2</w:t>
      </w:r>
      <w:r w:rsidR="00F27FCC" w:rsidRPr="008457EB">
        <w:rPr>
          <w:b/>
          <w:bCs/>
          <w:sz w:val="22"/>
          <w:szCs w:val="22"/>
        </w:rPr>
        <w:t>)</w:t>
      </w:r>
      <w:r w:rsidR="00F27FCC" w:rsidRPr="008457EB">
        <w:rPr>
          <w:b/>
          <w:bCs/>
          <w:sz w:val="22"/>
          <w:szCs w:val="22"/>
        </w:rPr>
        <w:tab/>
      </w:r>
      <w:r w:rsidR="00C35D07" w:rsidRPr="00F02921">
        <w:rPr>
          <w:b/>
          <w:bCs/>
          <w:sz w:val="22"/>
          <w:szCs w:val="22"/>
        </w:rPr>
        <w:t>Non-financial assets</w:t>
      </w:r>
    </w:p>
    <w:bookmarkEnd w:id="82"/>
    <w:p w14:paraId="5A3B3840" w14:textId="77777777" w:rsidR="00C35D07" w:rsidRPr="00F02921" w:rsidRDefault="00C35D07" w:rsidP="00CC1EFE">
      <w:pPr>
        <w:ind w:left="1440"/>
        <w:jc w:val="both"/>
        <w:rPr>
          <w:sz w:val="22"/>
          <w:szCs w:val="22"/>
        </w:rPr>
      </w:pPr>
    </w:p>
    <w:p w14:paraId="2CE9C365" w14:textId="77777777" w:rsidR="00C35D07" w:rsidRPr="00F02921" w:rsidRDefault="00C35D07" w:rsidP="000B59AD">
      <w:pPr>
        <w:ind w:left="1287" w:firstLine="153"/>
        <w:jc w:val="both"/>
        <w:outlineLvl w:val="5"/>
        <w:rPr>
          <w:i/>
          <w:iCs/>
          <w:spacing w:val="-2"/>
          <w:sz w:val="22"/>
          <w:szCs w:val="22"/>
        </w:rPr>
      </w:pPr>
      <w:bookmarkStart w:id="83" w:name="H6_Timing_of_impairment_testing"/>
      <w:r w:rsidRPr="00F02921">
        <w:rPr>
          <w:i/>
          <w:iCs/>
          <w:spacing w:val="-2"/>
          <w:sz w:val="22"/>
          <w:szCs w:val="22"/>
        </w:rPr>
        <w:t>Timing of impairment testing</w:t>
      </w:r>
    </w:p>
    <w:bookmarkEnd w:id="83"/>
    <w:p w14:paraId="1EF9D2DC" w14:textId="207FCF81" w:rsidR="00C35D07" w:rsidRDefault="00C35D07" w:rsidP="00230AE6">
      <w:pPr>
        <w:ind w:left="1440"/>
        <w:jc w:val="both"/>
        <w:rPr>
          <w:sz w:val="22"/>
          <w:szCs w:val="22"/>
        </w:rPr>
      </w:pPr>
      <w:r w:rsidRPr="00F02921">
        <w:rPr>
          <w:sz w:val="22"/>
          <w:szCs w:val="22"/>
        </w:rPr>
        <w:t xml:space="preserve">The carrying amounts of the </w:t>
      </w:r>
      <w:r w:rsidR="008C6876" w:rsidRPr="00F02921">
        <w:rPr>
          <w:sz w:val="22"/>
          <w:szCs w:val="22"/>
        </w:rPr>
        <w:t>Group’s non</w:t>
      </w:r>
      <w:r w:rsidRPr="00F02921">
        <w:rPr>
          <w:sz w:val="22"/>
          <w:szCs w:val="22"/>
        </w:rPr>
        <w:t>-financial assets, other than investment property</w:t>
      </w:r>
      <w:r w:rsidR="00230AE6">
        <w:rPr>
          <w:sz w:val="22"/>
          <w:szCs w:val="22"/>
        </w:rPr>
        <w:t>,</w:t>
      </w:r>
      <w:r w:rsidRPr="00F02921">
        <w:rPr>
          <w:sz w:val="22"/>
          <w:szCs w:val="22"/>
        </w:rPr>
        <w:t xml:space="preserve"> </w:t>
      </w:r>
      <w:r w:rsidR="00230AE6">
        <w:rPr>
          <w:sz w:val="22"/>
          <w:szCs w:val="22"/>
        </w:rPr>
        <w:t xml:space="preserve">investment property under development, inventories </w:t>
      </w:r>
      <w:r w:rsidRPr="00F02921">
        <w:rPr>
          <w:sz w:val="22"/>
          <w:szCs w:val="22"/>
        </w:rPr>
        <w:t>and deferred tax assets, are reviewed at each balance sheet date to determine whether there is any indication of impairment. If any such indication exists, the asset’s recoverable amount is estimated.</w:t>
      </w:r>
    </w:p>
    <w:p w14:paraId="711AFB3D" w14:textId="77777777" w:rsidR="00230AE6" w:rsidRPr="00F02921" w:rsidRDefault="00230AE6" w:rsidP="00230AE6">
      <w:pPr>
        <w:ind w:left="1440"/>
        <w:jc w:val="both"/>
        <w:rPr>
          <w:sz w:val="22"/>
          <w:szCs w:val="22"/>
        </w:rPr>
      </w:pPr>
    </w:p>
    <w:p w14:paraId="0A27319E" w14:textId="1385922E" w:rsidR="00F27FCC" w:rsidRDefault="00230AE6" w:rsidP="00237FC5">
      <w:pPr>
        <w:ind w:left="1440"/>
        <w:jc w:val="both"/>
        <w:rPr>
          <w:b/>
          <w:bCs/>
          <w:sz w:val="26"/>
          <w:szCs w:val="26"/>
        </w:rPr>
      </w:pPr>
      <w:r w:rsidRPr="00F02921">
        <w:rPr>
          <w:spacing w:val="-2"/>
          <w:sz w:val="22"/>
          <w:szCs w:val="22"/>
        </w:rPr>
        <w:t xml:space="preserve">Once a year and on the same date, or more frequently if there are indications of impairment, the Group estimates the recoverable amount of each cash generating unit that contains goodwill, or intangible assets that have indefinite useful lives or are unavailable for use. </w:t>
      </w:r>
    </w:p>
    <w:p w14:paraId="65D12DCD" w14:textId="77777777" w:rsidR="00C35D07" w:rsidRPr="00377C8B" w:rsidRDefault="00C35D07" w:rsidP="00237FC5">
      <w:pPr>
        <w:jc w:val="both"/>
        <w:rPr>
          <w:spacing w:val="-2"/>
          <w:sz w:val="12"/>
          <w:szCs w:val="12"/>
        </w:rPr>
      </w:pPr>
    </w:p>
    <w:p w14:paraId="24D70491" w14:textId="77777777" w:rsidR="00C35D07" w:rsidRPr="00F02921" w:rsidRDefault="00C35D07" w:rsidP="000B59AD">
      <w:pPr>
        <w:ind w:left="1287" w:firstLine="153"/>
        <w:jc w:val="both"/>
        <w:outlineLvl w:val="5"/>
        <w:rPr>
          <w:i/>
          <w:iCs/>
          <w:spacing w:val="-2"/>
          <w:sz w:val="22"/>
          <w:szCs w:val="22"/>
        </w:rPr>
      </w:pPr>
      <w:bookmarkStart w:id="84" w:name="H6_Determining_cashgenerating_units"/>
      <w:r w:rsidRPr="00F02921">
        <w:rPr>
          <w:i/>
          <w:iCs/>
          <w:spacing w:val="-2"/>
          <w:sz w:val="22"/>
          <w:szCs w:val="22"/>
        </w:rPr>
        <w:t>Determining cash-generating units</w:t>
      </w:r>
    </w:p>
    <w:bookmarkEnd w:id="84"/>
    <w:p w14:paraId="67D6E226" w14:textId="77777777" w:rsidR="00C35D07" w:rsidRPr="00F02921" w:rsidRDefault="00C35D07" w:rsidP="00F936B0">
      <w:pPr>
        <w:ind w:left="1440"/>
        <w:jc w:val="both"/>
        <w:rPr>
          <w:spacing w:val="-2"/>
          <w:sz w:val="22"/>
          <w:szCs w:val="22"/>
        </w:rPr>
      </w:pPr>
      <w:proofErr w:type="gramStart"/>
      <w:r w:rsidRPr="00F02921">
        <w:rPr>
          <w:spacing w:val="-2"/>
          <w:sz w:val="22"/>
          <w:szCs w:val="22"/>
        </w:rPr>
        <w:t>For the purpose of</w:t>
      </w:r>
      <w:proofErr w:type="gramEnd"/>
      <w:r w:rsidRPr="00F02921">
        <w:rPr>
          <w:spacing w:val="-2"/>
          <w:sz w:val="22"/>
          <w:szCs w:val="22"/>
        </w:rPr>
        <w:t xml:space="preserve"> impairment testing, assets that cannot be tested individually are grouped together into the smallest group of assets that generates cash inflows from continuing use that are largely independent of the cash inflows of other assets or groups of assets (the “cash-generating unit”). </w:t>
      </w:r>
    </w:p>
    <w:p w14:paraId="39AEC3D7" w14:textId="77777777" w:rsidR="00C35D07" w:rsidRPr="00F02921" w:rsidRDefault="00C35D07" w:rsidP="00CC1EFE">
      <w:pPr>
        <w:ind w:left="1440"/>
        <w:jc w:val="both"/>
        <w:rPr>
          <w:spacing w:val="-2"/>
          <w:sz w:val="22"/>
          <w:szCs w:val="22"/>
        </w:rPr>
      </w:pPr>
    </w:p>
    <w:p w14:paraId="009BE880" w14:textId="77777777" w:rsidR="00C35D07" w:rsidRPr="00F02921" w:rsidRDefault="00C35D07" w:rsidP="000B59AD">
      <w:pPr>
        <w:ind w:left="1287" w:firstLine="153"/>
        <w:jc w:val="both"/>
        <w:outlineLvl w:val="5"/>
        <w:rPr>
          <w:i/>
          <w:iCs/>
          <w:spacing w:val="-2"/>
          <w:sz w:val="22"/>
          <w:szCs w:val="22"/>
        </w:rPr>
      </w:pPr>
      <w:bookmarkStart w:id="85" w:name="H6_Measurement_of_recoverable_amount"/>
      <w:r w:rsidRPr="00F02921">
        <w:rPr>
          <w:i/>
          <w:iCs/>
          <w:spacing w:val="-2"/>
          <w:sz w:val="22"/>
          <w:szCs w:val="22"/>
        </w:rPr>
        <w:t>Measurement of recoverable amount</w:t>
      </w:r>
    </w:p>
    <w:bookmarkEnd w:id="85"/>
    <w:p w14:paraId="1AE6E874" w14:textId="5527E484" w:rsidR="00AF2665" w:rsidRDefault="00C35D07" w:rsidP="00AF2665">
      <w:pPr>
        <w:ind w:left="1440"/>
        <w:jc w:val="both"/>
        <w:rPr>
          <w:spacing w:val="-2"/>
          <w:sz w:val="22"/>
          <w:szCs w:val="22"/>
        </w:rPr>
      </w:pPr>
      <w:r w:rsidRPr="00F02921">
        <w:rPr>
          <w:spacing w:val="-2"/>
          <w:sz w:val="22"/>
          <w:szCs w:val="22"/>
        </w:rPr>
        <w:t>The recoverable amount of an asset or cash generating unit is the greater of its value in use and its net selling price (fair value less costs of disposal). In assessing value in use, the estimated future cash flows are discounted to their present value using a pre-tax discount rate that reflects the assessments of market participants regarding the time value of money</w:t>
      </w:r>
      <w:r w:rsidRPr="00F02921" w:rsidDel="00172A53">
        <w:rPr>
          <w:spacing w:val="-2"/>
          <w:sz w:val="22"/>
          <w:szCs w:val="22"/>
        </w:rPr>
        <w:t xml:space="preserve"> </w:t>
      </w:r>
      <w:r w:rsidRPr="00F02921">
        <w:rPr>
          <w:spacing w:val="-2"/>
          <w:sz w:val="22"/>
          <w:szCs w:val="22"/>
        </w:rPr>
        <w:t>and the risks specific to the asset or cash generating unit, for which the estimated future cash flows from the asset or cash generating unit were not adjusted.</w:t>
      </w:r>
      <w:r w:rsidR="00AF2665">
        <w:rPr>
          <w:spacing w:val="-2"/>
          <w:sz w:val="22"/>
          <w:szCs w:val="22"/>
        </w:rPr>
        <w:br w:type="page"/>
      </w:r>
    </w:p>
    <w:p w14:paraId="1C570CFD" w14:textId="77777777" w:rsidR="00AF2665" w:rsidRDefault="00AF2665" w:rsidP="00241FEB">
      <w:pPr>
        <w:ind w:left="1440"/>
        <w:jc w:val="both"/>
        <w:rPr>
          <w:spacing w:val="-2"/>
          <w:sz w:val="22"/>
          <w:szCs w:val="22"/>
        </w:rPr>
      </w:pPr>
    </w:p>
    <w:p w14:paraId="5F9B56AB" w14:textId="77777777" w:rsidR="00AF2665" w:rsidRPr="00AF2665" w:rsidRDefault="00AF2665" w:rsidP="00AF2665">
      <w:pPr>
        <w:rPr>
          <w:b/>
          <w:bCs/>
          <w:sz w:val="22"/>
          <w:szCs w:val="22"/>
        </w:rPr>
      </w:pPr>
      <w:r w:rsidRPr="00AF2665">
        <w:rPr>
          <w:b/>
          <w:bCs/>
          <w:sz w:val="22"/>
          <w:szCs w:val="22"/>
        </w:rPr>
        <w:t>Note 3 - Significant Accounting Policies (cont’d)</w:t>
      </w:r>
    </w:p>
    <w:p w14:paraId="6558B9E8" w14:textId="77777777" w:rsidR="00AF2665" w:rsidRPr="00AF2665" w:rsidRDefault="00AF2665" w:rsidP="00AF2665">
      <w:pPr>
        <w:ind w:left="720"/>
        <w:jc w:val="both"/>
        <w:rPr>
          <w:b/>
          <w:bCs/>
          <w:sz w:val="22"/>
          <w:szCs w:val="22"/>
        </w:rPr>
      </w:pPr>
    </w:p>
    <w:p w14:paraId="17E0E6AE" w14:textId="77777777" w:rsidR="00AF2665" w:rsidRPr="00AF2665" w:rsidRDefault="00AF2665" w:rsidP="00AF2665">
      <w:pPr>
        <w:ind w:left="720"/>
        <w:jc w:val="both"/>
        <w:rPr>
          <w:b/>
          <w:bCs/>
          <w:sz w:val="22"/>
          <w:szCs w:val="22"/>
        </w:rPr>
      </w:pPr>
      <w:r w:rsidRPr="00AF2665">
        <w:rPr>
          <w:b/>
          <w:bCs/>
          <w:sz w:val="22"/>
          <w:szCs w:val="22"/>
        </w:rPr>
        <w:t>L.</w:t>
      </w:r>
      <w:r w:rsidRPr="00AF2665">
        <w:rPr>
          <w:b/>
          <w:bCs/>
          <w:sz w:val="22"/>
          <w:szCs w:val="22"/>
        </w:rPr>
        <w:tab/>
        <w:t>Impairment (Cont’d)</w:t>
      </w:r>
    </w:p>
    <w:p w14:paraId="29FE5C2E" w14:textId="77777777" w:rsidR="00AF2665" w:rsidRPr="00AF2665" w:rsidRDefault="00AF2665" w:rsidP="00AF2665">
      <w:pPr>
        <w:ind w:left="720"/>
        <w:jc w:val="both"/>
        <w:rPr>
          <w:b/>
          <w:bCs/>
          <w:sz w:val="22"/>
          <w:szCs w:val="22"/>
        </w:rPr>
      </w:pPr>
    </w:p>
    <w:p w14:paraId="1E2328AE" w14:textId="77777777" w:rsidR="00AF2665" w:rsidRPr="00AF2665" w:rsidRDefault="00AF2665" w:rsidP="00C5462B">
      <w:pPr>
        <w:pStyle w:val="af2"/>
        <w:numPr>
          <w:ilvl w:val="0"/>
          <w:numId w:val="26"/>
        </w:numPr>
        <w:jc w:val="both"/>
        <w:rPr>
          <w:b/>
          <w:bCs/>
          <w:sz w:val="22"/>
          <w:szCs w:val="22"/>
        </w:rPr>
      </w:pPr>
      <w:r w:rsidRPr="00AF2665">
        <w:rPr>
          <w:b/>
          <w:bCs/>
          <w:sz w:val="22"/>
          <w:szCs w:val="22"/>
        </w:rPr>
        <w:t>Non-derivative financial assets (Cont’d)</w:t>
      </w:r>
    </w:p>
    <w:p w14:paraId="5C20A18A" w14:textId="77777777" w:rsidR="00C35D07" w:rsidRPr="00F02921" w:rsidRDefault="00C35D07" w:rsidP="000C4ACD">
      <w:pPr>
        <w:jc w:val="both"/>
        <w:rPr>
          <w:spacing w:val="-2"/>
          <w:sz w:val="22"/>
          <w:szCs w:val="22"/>
        </w:rPr>
      </w:pPr>
    </w:p>
    <w:p w14:paraId="6AE202B9" w14:textId="77777777" w:rsidR="00C35D07" w:rsidRPr="00F02921" w:rsidRDefault="00C35D07" w:rsidP="000B59AD">
      <w:pPr>
        <w:ind w:left="1287" w:firstLine="153"/>
        <w:jc w:val="both"/>
        <w:outlineLvl w:val="5"/>
        <w:rPr>
          <w:i/>
          <w:iCs/>
          <w:spacing w:val="-2"/>
          <w:sz w:val="22"/>
          <w:szCs w:val="22"/>
        </w:rPr>
      </w:pPr>
      <w:bookmarkStart w:id="86" w:name="H6_Allocation_of_goodwill_to_cash_genera"/>
      <w:r w:rsidRPr="00F02921">
        <w:rPr>
          <w:i/>
          <w:iCs/>
          <w:spacing w:val="-2"/>
          <w:sz w:val="22"/>
          <w:szCs w:val="22"/>
        </w:rPr>
        <w:t>Allocation of goodwill to cash generating units</w:t>
      </w:r>
    </w:p>
    <w:bookmarkEnd w:id="86"/>
    <w:p w14:paraId="7B8F5A01" w14:textId="77777777" w:rsidR="00C35D07" w:rsidRPr="00F02921" w:rsidRDefault="00C35D07" w:rsidP="00230AE6">
      <w:pPr>
        <w:ind w:left="1440"/>
        <w:jc w:val="both"/>
        <w:rPr>
          <w:spacing w:val="-2"/>
          <w:sz w:val="22"/>
          <w:szCs w:val="22"/>
        </w:rPr>
      </w:pPr>
      <w:r w:rsidRPr="00F02921">
        <w:rPr>
          <w:spacing w:val="-2"/>
          <w:sz w:val="22"/>
          <w:szCs w:val="22"/>
        </w:rPr>
        <w:t xml:space="preserve">Subject to an operating segment ceiling test (before the aggregation of similar segments), for the purposes of goodwill impairment testing, cash-generating units to which goodwill has been allocated are aggregated so that the level at which impairment testing is performed reflects the lowest level at which goodwill is monitored for internal reporting purposes. </w:t>
      </w:r>
    </w:p>
    <w:p w14:paraId="457CE0A8" w14:textId="77777777" w:rsidR="00C35D07" w:rsidRPr="00F02921" w:rsidRDefault="00C35D07" w:rsidP="00CC1EFE">
      <w:pPr>
        <w:ind w:left="1440"/>
        <w:jc w:val="both"/>
        <w:rPr>
          <w:spacing w:val="-2"/>
          <w:sz w:val="22"/>
          <w:szCs w:val="22"/>
        </w:rPr>
      </w:pPr>
      <w:r w:rsidRPr="00F02921">
        <w:rPr>
          <w:spacing w:val="-2"/>
          <w:sz w:val="22"/>
          <w:szCs w:val="22"/>
        </w:rPr>
        <w:t xml:space="preserve">Goodwill acquired in a business combination is allocated to groups of cash-generating units that are expected to benefit from the synergies of the combination. </w:t>
      </w:r>
    </w:p>
    <w:p w14:paraId="62C37674" w14:textId="77777777" w:rsidR="00C35D07" w:rsidRPr="00F02921" w:rsidRDefault="00C35D07" w:rsidP="00CC1EFE">
      <w:pPr>
        <w:ind w:left="1440"/>
        <w:jc w:val="both"/>
        <w:rPr>
          <w:spacing w:val="-2"/>
          <w:sz w:val="22"/>
          <w:szCs w:val="22"/>
        </w:rPr>
      </w:pPr>
    </w:p>
    <w:p w14:paraId="2B00A39D" w14:textId="7525B9B6" w:rsidR="006B2C7A" w:rsidRDefault="00C35D07">
      <w:pPr>
        <w:ind w:left="1440"/>
        <w:jc w:val="both"/>
        <w:rPr>
          <w:i/>
          <w:iCs/>
          <w:spacing w:val="-2"/>
          <w:sz w:val="22"/>
          <w:szCs w:val="22"/>
        </w:rPr>
      </w:pPr>
      <w:r w:rsidRPr="00F02921">
        <w:rPr>
          <w:spacing w:val="-2"/>
          <w:sz w:val="22"/>
          <w:szCs w:val="22"/>
        </w:rPr>
        <w:t xml:space="preserve">For purposes of goodwill impairment testing, the carrying amount of </w:t>
      </w:r>
      <w:proofErr w:type="gramStart"/>
      <w:r w:rsidRPr="00F02921">
        <w:rPr>
          <w:spacing w:val="-2"/>
          <w:sz w:val="22"/>
          <w:szCs w:val="22"/>
        </w:rPr>
        <w:t>the goodwill</w:t>
      </w:r>
      <w:proofErr w:type="gramEnd"/>
      <w:r w:rsidRPr="00F02921">
        <w:rPr>
          <w:spacing w:val="-2"/>
          <w:sz w:val="22"/>
          <w:szCs w:val="22"/>
        </w:rPr>
        <w:t xml:space="preserve"> is adjusted according to the rate the Company holds in the cash-generating unit to which the goodwill is allocated.</w:t>
      </w:r>
    </w:p>
    <w:p w14:paraId="51AF133C" w14:textId="77777777" w:rsidR="00C35AC3" w:rsidRDefault="00C35AC3" w:rsidP="007715B5">
      <w:pPr>
        <w:jc w:val="both"/>
        <w:rPr>
          <w:i/>
          <w:iCs/>
          <w:spacing w:val="-2"/>
          <w:sz w:val="22"/>
          <w:szCs w:val="22"/>
        </w:rPr>
      </w:pPr>
    </w:p>
    <w:p w14:paraId="7650E060" w14:textId="3EF82BA4" w:rsidR="00C35D07" w:rsidRDefault="00C35D07" w:rsidP="000B59AD">
      <w:pPr>
        <w:ind w:left="1440"/>
        <w:jc w:val="both"/>
        <w:outlineLvl w:val="5"/>
        <w:rPr>
          <w:i/>
          <w:iCs/>
          <w:spacing w:val="-2"/>
          <w:sz w:val="22"/>
          <w:szCs w:val="22"/>
        </w:rPr>
      </w:pPr>
      <w:bookmarkStart w:id="87" w:name="H6_Recognition_of_impairment_loss"/>
      <w:r w:rsidRPr="00F02921">
        <w:rPr>
          <w:i/>
          <w:iCs/>
          <w:spacing w:val="-2"/>
          <w:sz w:val="22"/>
          <w:szCs w:val="22"/>
        </w:rPr>
        <w:t>Recognition of impairment loss</w:t>
      </w:r>
    </w:p>
    <w:bookmarkEnd w:id="87"/>
    <w:p w14:paraId="17BCBBE3" w14:textId="77777777" w:rsidR="00C35D07" w:rsidRPr="00F02921" w:rsidRDefault="00C35D07" w:rsidP="00241FEB">
      <w:pPr>
        <w:ind w:left="1440"/>
        <w:jc w:val="both"/>
        <w:rPr>
          <w:spacing w:val="-2"/>
          <w:sz w:val="22"/>
          <w:szCs w:val="22"/>
        </w:rPr>
      </w:pPr>
      <w:r w:rsidRPr="00F02921">
        <w:rPr>
          <w:spacing w:val="-2"/>
          <w:sz w:val="22"/>
          <w:szCs w:val="22"/>
        </w:rPr>
        <w:t>An impairment loss is recognized if the carrying amount of an asset or its cash-generating unit exceeds its estimated recoverable amount. Impairment losses are recognized in profit or loss. As regards cash-generating units that include goodwill, an impairment loss is recognized when the carrying amount of the cash-generating unit, after adjustment for goodwill, exceeds its recoverable amount. Impairment losses recognized in respect of cash-generating units are allocated first to reduce the carrying amount of any goodwill allocated to the units and then to reduce the carrying amounts of the other assets in the cash-generating unit on a pro rata basis.</w:t>
      </w:r>
    </w:p>
    <w:p w14:paraId="1AE93938" w14:textId="77777777" w:rsidR="00AA6C4E" w:rsidRDefault="00AA6C4E" w:rsidP="007715B5">
      <w:pPr>
        <w:jc w:val="both"/>
        <w:rPr>
          <w:spacing w:val="-2"/>
          <w:sz w:val="22"/>
          <w:szCs w:val="22"/>
        </w:rPr>
      </w:pPr>
    </w:p>
    <w:p w14:paraId="2E1A7DF3" w14:textId="77777777" w:rsidR="00995CD4" w:rsidRPr="00053203" w:rsidRDefault="00995CD4" w:rsidP="000B59AD">
      <w:pPr>
        <w:ind w:left="1287" w:firstLine="153"/>
        <w:jc w:val="both"/>
        <w:outlineLvl w:val="5"/>
        <w:rPr>
          <w:i/>
          <w:iCs/>
          <w:spacing w:val="-2"/>
          <w:sz w:val="22"/>
          <w:szCs w:val="22"/>
        </w:rPr>
      </w:pPr>
      <w:bookmarkStart w:id="88" w:name="H6_Allocation_of_impairment_loss_to_nonc"/>
      <w:r w:rsidRPr="00053203">
        <w:rPr>
          <w:i/>
          <w:iCs/>
          <w:spacing w:val="-2"/>
          <w:sz w:val="22"/>
          <w:szCs w:val="22"/>
        </w:rPr>
        <w:t>Allocation of impairment loss to non-controlling interests</w:t>
      </w:r>
    </w:p>
    <w:bookmarkEnd w:id="88"/>
    <w:p w14:paraId="495EA10D" w14:textId="77777777" w:rsidR="00C35D07" w:rsidRPr="00F02921" w:rsidRDefault="00C35D07" w:rsidP="00230AE6">
      <w:pPr>
        <w:ind w:left="1440"/>
        <w:jc w:val="both"/>
        <w:rPr>
          <w:spacing w:val="-2"/>
          <w:sz w:val="22"/>
          <w:szCs w:val="22"/>
        </w:rPr>
      </w:pPr>
      <w:r w:rsidRPr="00F02921">
        <w:rPr>
          <w:spacing w:val="-2"/>
          <w:sz w:val="22"/>
          <w:szCs w:val="22"/>
        </w:rPr>
        <w:t xml:space="preserve">An impairment loss is allocated between the owners of the Company and the </w:t>
      </w:r>
      <w:r w:rsidR="00230AE6">
        <w:rPr>
          <w:spacing w:val="-2"/>
          <w:sz w:val="22"/>
          <w:szCs w:val="22"/>
        </w:rPr>
        <w:t>n</w:t>
      </w:r>
      <w:r w:rsidRPr="00F02921">
        <w:rPr>
          <w:spacing w:val="-2"/>
          <w:sz w:val="22"/>
          <w:szCs w:val="22"/>
        </w:rPr>
        <w:t xml:space="preserve">on-controlling interests on the same basis that the profit or loss is allocated. Nevertheless, if an impairment loss allocated to </w:t>
      </w:r>
      <w:proofErr w:type="gramStart"/>
      <w:r w:rsidRPr="00F02921">
        <w:rPr>
          <w:spacing w:val="-2"/>
          <w:sz w:val="22"/>
          <w:szCs w:val="22"/>
        </w:rPr>
        <w:t>Non-controlling</w:t>
      </w:r>
      <w:proofErr w:type="gramEnd"/>
      <w:r w:rsidRPr="00F02921">
        <w:rPr>
          <w:spacing w:val="-2"/>
          <w:sz w:val="22"/>
          <w:szCs w:val="22"/>
        </w:rPr>
        <w:t xml:space="preserve"> interests relates to goodwill that was not recognized in the consolidated financial statements, the said impairment is not recognized as an impairment loss on goodwill. In such cases, only an impairment loss relating to goodwill that was allocated to the owners of the Company is recognized as an impairment loss on goodwill.</w:t>
      </w:r>
    </w:p>
    <w:p w14:paraId="0386E672" w14:textId="77777777" w:rsidR="0070739B" w:rsidRDefault="0070739B" w:rsidP="00F936B0">
      <w:pPr>
        <w:ind w:left="1287" w:firstLine="153"/>
        <w:jc w:val="both"/>
        <w:rPr>
          <w:i/>
          <w:iCs/>
          <w:spacing w:val="-2"/>
          <w:sz w:val="22"/>
          <w:szCs w:val="22"/>
        </w:rPr>
      </w:pPr>
    </w:p>
    <w:p w14:paraId="3C130708" w14:textId="7B65980B" w:rsidR="00C35D07" w:rsidRPr="00F02921" w:rsidRDefault="00C35D07" w:rsidP="000B59AD">
      <w:pPr>
        <w:ind w:left="1287" w:firstLine="153"/>
        <w:jc w:val="both"/>
        <w:outlineLvl w:val="5"/>
        <w:rPr>
          <w:i/>
          <w:iCs/>
          <w:spacing w:val="-2"/>
          <w:sz w:val="22"/>
          <w:szCs w:val="22"/>
        </w:rPr>
      </w:pPr>
      <w:bookmarkStart w:id="89" w:name="H6_Reversal_of_impairment_loss"/>
      <w:r w:rsidRPr="00F02921">
        <w:rPr>
          <w:i/>
          <w:iCs/>
          <w:spacing w:val="-2"/>
          <w:sz w:val="22"/>
          <w:szCs w:val="22"/>
        </w:rPr>
        <w:t>Reversal of impairment loss</w:t>
      </w:r>
    </w:p>
    <w:bookmarkEnd w:id="89"/>
    <w:p w14:paraId="41019C8A" w14:textId="77777777" w:rsidR="00C35D07" w:rsidRPr="00F02921" w:rsidRDefault="00C35D07" w:rsidP="00CC1EFE">
      <w:pPr>
        <w:ind w:left="1440"/>
        <w:jc w:val="both"/>
        <w:rPr>
          <w:spacing w:val="-2"/>
          <w:sz w:val="22"/>
          <w:szCs w:val="22"/>
        </w:rPr>
      </w:pPr>
      <w:r w:rsidRPr="00F02921">
        <w:rPr>
          <w:spacing w:val="-2"/>
          <w:sz w:val="22"/>
          <w:szCs w:val="22"/>
        </w:rPr>
        <w:t>An impairment loss in respect of goodwill is not reversed. In respect of other assets, impairment losses recognized in prior periods are assessed at each reporting date for any indications that the loss has decreased or no longer exists. An impairment loss is reversed if there has been a change in the estimates used to determine the recoverable amount. An impairment loss is reversed only to the extent that the asset’s carrying amount does not exceed the carrying amount that would have been determined, net of depreciation or amortization, if no impairment loss had been recognized.</w:t>
      </w:r>
    </w:p>
    <w:p w14:paraId="3D644E05" w14:textId="77777777" w:rsidR="0070739B" w:rsidRPr="00F02921" w:rsidRDefault="0070739B" w:rsidP="00440C55">
      <w:pPr>
        <w:jc w:val="both"/>
        <w:rPr>
          <w:b/>
          <w:bCs/>
          <w:sz w:val="22"/>
          <w:szCs w:val="22"/>
        </w:rPr>
      </w:pPr>
    </w:p>
    <w:p w14:paraId="11382DD8" w14:textId="4F575ED7" w:rsidR="00C35D07" w:rsidRPr="00F02921" w:rsidRDefault="00F27FCC" w:rsidP="000B59AD">
      <w:pPr>
        <w:ind w:left="720"/>
        <w:jc w:val="both"/>
        <w:outlineLvl w:val="4"/>
        <w:rPr>
          <w:b/>
          <w:bCs/>
          <w:spacing w:val="-2"/>
          <w:sz w:val="22"/>
          <w:szCs w:val="22"/>
        </w:rPr>
      </w:pPr>
      <w:bookmarkStart w:id="90" w:name="H5_3Investments_in_associates_and_joint_"/>
      <w:r w:rsidRPr="008457EB">
        <w:rPr>
          <w:b/>
          <w:bCs/>
          <w:sz w:val="22"/>
          <w:szCs w:val="22"/>
        </w:rPr>
        <w:t>(</w:t>
      </w:r>
      <w:r w:rsidR="00AA6C4E">
        <w:rPr>
          <w:b/>
          <w:bCs/>
          <w:sz w:val="22"/>
          <w:szCs w:val="22"/>
        </w:rPr>
        <w:t>3</w:t>
      </w:r>
      <w:r w:rsidRPr="008457EB">
        <w:rPr>
          <w:b/>
          <w:bCs/>
          <w:sz w:val="22"/>
          <w:szCs w:val="22"/>
        </w:rPr>
        <w:t>)</w:t>
      </w:r>
      <w:r w:rsidRPr="008457EB">
        <w:rPr>
          <w:b/>
          <w:bCs/>
          <w:sz w:val="22"/>
          <w:szCs w:val="22"/>
        </w:rPr>
        <w:tab/>
      </w:r>
      <w:r w:rsidR="00C35D07" w:rsidRPr="00F02921">
        <w:rPr>
          <w:b/>
          <w:bCs/>
          <w:spacing w:val="-2"/>
          <w:sz w:val="22"/>
          <w:szCs w:val="22"/>
        </w:rPr>
        <w:t>Investments in associates and joint ventures</w:t>
      </w:r>
      <w:r w:rsidR="00C35D07" w:rsidRPr="00F02921" w:rsidDel="00172A53">
        <w:rPr>
          <w:b/>
          <w:bCs/>
          <w:spacing w:val="-2"/>
          <w:sz w:val="22"/>
          <w:szCs w:val="22"/>
        </w:rPr>
        <w:t xml:space="preserve"> </w:t>
      </w:r>
    </w:p>
    <w:bookmarkEnd w:id="90"/>
    <w:p w14:paraId="10BAFFE1" w14:textId="77777777" w:rsidR="006B2C7A" w:rsidRDefault="006B2C7A" w:rsidP="00CC1EFE">
      <w:pPr>
        <w:ind w:left="1440"/>
        <w:jc w:val="both"/>
        <w:rPr>
          <w:spacing w:val="-2"/>
          <w:sz w:val="22"/>
          <w:szCs w:val="22"/>
        </w:rPr>
      </w:pPr>
    </w:p>
    <w:p w14:paraId="33437762" w14:textId="6E3C0C91" w:rsidR="00C35D07" w:rsidRPr="00F02921" w:rsidRDefault="00C35D07" w:rsidP="00CC1EFE">
      <w:pPr>
        <w:ind w:left="1440"/>
        <w:jc w:val="both"/>
        <w:rPr>
          <w:spacing w:val="-2"/>
          <w:sz w:val="22"/>
          <w:szCs w:val="22"/>
        </w:rPr>
      </w:pPr>
      <w:r w:rsidRPr="00F02921">
        <w:rPr>
          <w:spacing w:val="-2"/>
          <w:sz w:val="22"/>
          <w:szCs w:val="22"/>
        </w:rPr>
        <w:t>An investment in an associate company and joint venture is tested for impairment when objective evidence indicates there has been impairment (as described in Paragraph (1) above).</w:t>
      </w:r>
    </w:p>
    <w:p w14:paraId="3E47C21E" w14:textId="77777777" w:rsidR="00C35D07" w:rsidRPr="00F02921" w:rsidRDefault="00C35D07" w:rsidP="00CC1EFE">
      <w:pPr>
        <w:ind w:left="1440"/>
        <w:rPr>
          <w:spacing w:val="-2"/>
          <w:sz w:val="22"/>
          <w:szCs w:val="22"/>
        </w:rPr>
      </w:pPr>
      <w:r w:rsidRPr="00F02921">
        <w:rPr>
          <w:spacing w:val="-2"/>
          <w:sz w:val="22"/>
          <w:szCs w:val="22"/>
        </w:rPr>
        <w:t xml:space="preserve">Goodwill that forms part of the carrying amount of an investment in an associate is not recognized </w:t>
      </w:r>
      <w:proofErr w:type="gramStart"/>
      <w:r w:rsidRPr="00F02921">
        <w:rPr>
          <w:spacing w:val="-2"/>
          <w:sz w:val="22"/>
          <w:szCs w:val="22"/>
        </w:rPr>
        <w:t>separately, and</w:t>
      </w:r>
      <w:proofErr w:type="gramEnd"/>
      <w:r w:rsidRPr="00F02921">
        <w:rPr>
          <w:spacing w:val="-2"/>
          <w:sz w:val="22"/>
          <w:szCs w:val="22"/>
        </w:rPr>
        <w:t xml:space="preserve"> therefore is not tested for impairment separately.</w:t>
      </w:r>
    </w:p>
    <w:p w14:paraId="61EED8BB" w14:textId="77777777" w:rsidR="00C35D07" w:rsidRPr="00F02921" w:rsidRDefault="00C35D07" w:rsidP="00CC1EFE">
      <w:pPr>
        <w:jc w:val="both"/>
        <w:rPr>
          <w:spacing w:val="-2"/>
          <w:sz w:val="22"/>
          <w:szCs w:val="22"/>
        </w:rPr>
      </w:pPr>
    </w:p>
    <w:p w14:paraId="22FD63FD" w14:textId="77777777" w:rsidR="00C35D07" w:rsidRPr="00F02921" w:rsidRDefault="00C35D07" w:rsidP="00A90052">
      <w:pPr>
        <w:ind w:left="1440"/>
        <w:jc w:val="both"/>
        <w:rPr>
          <w:spacing w:val="-2"/>
          <w:sz w:val="22"/>
          <w:szCs w:val="22"/>
        </w:rPr>
      </w:pPr>
      <w:r w:rsidRPr="00F02921">
        <w:rPr>
          <w:spacing w:val="-2"/>
          <w:sz w:val="22"/>
          <w:szCs w:val="22"/>
        </w:rPr>
        <w:t>If objective evidence indicates that the value of the investment may have been impaired, the Group estimates the recoverable amount of the investment, which is the greater of its value in use and its net selling price.</w:t>
      </w:r>
    </w:p>
    <w:p w14:paraId="38ABC8C4" w14:textId="77777777" w:rsidR="00AF2665" w:rsidRDefault="00AF2665">
      <w:pPr>
        <w:rPr>
          <w:spacing w:val="-2"/>
          <w:sz w:val="22"/>
          <w:szCs w:val="22"/>
        </w:rPr>
      </w:pPr>
      <w:r>
        <w:rPr>
          <w:spacing w:val="-2"/>
          <w:sz w:val="22"/>
          <w:szCs w:val="22"/>
        </w:rPr>
        <w:br w:type="page"/>
      </w:r>
    </w:p>
    <w:p w14:paraId="4501D016" w14:textId="77777777" w:rsidR="00AF2665" w:rsidRDefault="00AF2665" w:rsidP="00230AE6">
      <w:pPr>
        <w:ind w:left="1440"/>
        <w:jc w:val="both"/>
        <w:rPr>
          <w:spacing w:val="-2"/>
          <w:sz w:val="22"/>
          <w:szCs w:val="22"/>
        </w:rPr>
      </w:pPr>
    </w:p>
    <w:p w14:paraId="6C27AEFE" w14:textId="77777777" w:rsidR="00AF2665" w:rsidRPr="00AF2665" w:rsidRDefault="00AF2665" w:rsidP="00AF2665">
      <w:pPr>
        <w:rPr>
          <w:b/>
          <w:bCs/>
          <w:sz w:val="22"/>
          <w:szCs w:val="22"/>
        </w:rPr>
      </w:pPr>
      <w:r w:rsidRPr="00AF2665">
        <w:rPr>
          <w:b/>
          <w:bCs/>
          <w:sz w:val="22"/>
          <w:szCs w:val="22"/>
        </w:rPr>
        <w:t>Note 3 - Significant Accounting Policies (cont’d)</w:t>
      </w:r>
    </w:p>
    <w:p w14:paraId="49713265" w14:textId="77777777" w:rsidR="00AF2665" w:rsidRPr="00AF2665" w:rsidRDefault="00AF2665" w:rsidP="00AF2665">
      <w:pPr>
        <w:ind w:left="720"/>
        <w:jc w:val="both"/>
        <w:rPr>
          <w:b/>
          <w:bCs/>
          <w:sz w:val="22"/>
          <w:szCs w:val="22"/>
        </w:rPr>
      </w:pPr>
    </w:p>
    <w:p w14:paraId="16A72ABB" w14:textId="77777777" w:rsidR="00AF2665" w:rsidRPr="00AF2665" w:rsidRDefault="00AF2665" w:rsidP="00AF2665">
      <w:pPr>
        <w:ind w:left="720"/>
        <w:jc w:val="both"/>
        <w:rPr>
          <w:b/>
          <w:bCs/>
          <w:sz w:val="22"/>
          <w:szCs w:val="22"/>
        </w:rPr>
      </w:pPr>
      <w:r w:rsidRPr="00AF2665">
        <w:rPr>
          <w:b/>
          <w:bCs/>
          <w:sz w:val="22"/>
          <w:szCs w:val="22"/>
        </w:rPr>
        <w:t>L.</w:t>
      </w:r>
      <w:r w:rsidRPr="00AF2665">
        <w:rPr>
          <w:b/>
          <w:bCs/>
          <w:sz w:val="22"/>
          <w:szCs w:val="22"/>
        </w:rPr>
        <w:tab/>
        <w:t>Impairment (Cont’d)</w:t>
      </w:r>
    </w:p>
    <w:p w14:paraId="261EF9D6" w14:textId="77777777" w:rsidR="00AF2665" w:rsidRPr="00AF2665" w:rsidRDefault="00AF2665" w:rsidP="00AF2665">
      <w:pPr>
        <w:ind w:left="720"/>
        <w:jc w:val="both"/>
        <w:rPr>
          <w:b/>
          <w:bCs/>
          <w:sz w:val="22"/>
          <w:szCs w:val="22"/>
        </w:rPr>
      </w:pPr>
    </w:p>
    <w:p w14:paraId="0D635F89" w14:textId="77777777" w:rsidR="00AF2665" w:rsidRPr="00AF2665" w:rsidRDefault="00AF2665" w:rsidP="00C5462B">
      <w:pPr>
        <w:pStyle w:val="af2"/>
        <w:numPr>
          <w:ilvl w:val="0"/>
          <w:numId w:val="26"/>
        </w:numPr>
        <w:jc w:val="both"/>
        <w:rPr>
          <w:b/>
          <w:bCs/>
          <w:sz w:val="22"/>
          <w:szCs w:val="22"/>
        </w:rPr>
      </w:pPr>
      <w:r w:rsidRPr="00AF2665">
        <w:rPr>
          <w:b/>
          <w:bCs/>
          <w:spacing w:val="-2"/>
          <w:sz w:val="22"/>
          <w:szCs w:val="22"/>
        </w:rPr>
        <w:t>Investments in associates and joint ventures</w:t>
      </w:r>
      <w:r w:rsidRPr="00AF2665" w:rsidDel="00172A53">
        <w:rPr>
          <w:b/>
          <w:bCs/>
          <w:spacing w:val="-2"/>
          <w:sz w:val="22"/>
          <w:szCs w:val="22"/>
        </w:rPr>
        <w:t xml:space="preserve"> </w:t>
      </w:r>
      <w:r w:rsidRPr="00AF2665">
        <w:rPr>
          <w:b/>
          <w:bCs/>
          <w:sz w:val="22"/>
          <w:szCs w:val="22"/>
        </w:rPr>
        <w:t>(Cont’d)</w:t>
      </w:r>
    </w:p>
    <w:p w14:paraId="6DF1A385" w14:textId="76D295F8" w:rsidR="00FB42CB" w:rsidRPr="00F02921" w:rsidRDefault="00FB42CB" w:rsidP="00230AE6">
      <w:pPr>
        <w:ind w:left="1440"/>
        <w:jc w:val="both"/>
        <w:rPr>
          <w:b/>
          <w:bCs/>
          <w:sz w:val="22"/>
          <w:szCs w:val="22"/>
        </w:rPr>
      </w:pPr>
    </w:p>
    <w:p w14:paraId="6A1B1183" w14:textId="77777777" w:rsidR="00C35D07" w:rsidRPr="00F02921" w:rsidRDefault="00C35D07" w:rsidP="00A90052">
      <w:pPr>
        <w:ind w:left="1440"/>
        <w:jc w:val="both"/>
        <w:rPr>
          <w:spacing w:val="-2"/>
          <w:sz w:val="22"/>
          <w:szCs w:val="22"/>
        </w:rPr>
      </w:pPr>
      <w:r w:rsidRPr="00F02921">
        <w:rPr>
          <w:spacing w:val="-2"/>
          <w:sz w:val="22"/>
          <w:szCs w:val="22"/>
        </w:rPr>
        <w:t>In assessing value in use of an investment in an associate company or joint venture, the Group estimates its share of the present value of estimated future cash flows that are expected to be generated by the an associate company or joint venture, including cash flows from operations of the associate company or joint venture and the consideration from the final disposal of the investment, or the present value of the estimated future cash flows that are expected to be derived from dividends that will be received and from the final disposal.</w:t>
      </w:r>
    </w:p>
    <w:p w14:paraId="2B7BB385" w14:textId="77777777" w:rsidR="00C35D07" w:rsidRPr="00F02921" w:rsidRDefault="00C35D07" w:rsidP="00EC46C9">
      <w:pPr>
        <w:pStyle w:val="BEUR0"/>
        <w:tabs>
          <w:tab w:val="left" w:pos="1755"/>
        </w:tabs>
        <w:jc w:val="both"/>
        <w:rPr>
          <w:rFonts w:ascii="Times New Roman" w:hAnsi="Times New Roman"/>
          <w:sz w:val="26"/>
          <w:szCs w:val="26"/>
        </w:rPr>
      </w:pPr>
    </w:p>
    <w:p w14:paraId="43A2C27E" w14:textId="77777777" w:rsidR="00C35D07" w:rsidRPr="00F02921" w:rsidRDefault="00C35D07" w:rsidP="004B70F6">
      <w:pPr>
        <w:ind w:left="1440"/>
        <w:jc w:val="both"/>
        <w:rPr>
          <w:spacing w:val="-2"/>
          <w:sz w:val="22"/>
          <w:szCs w:val="22"/>
        </w:rPr>
      </w:pPr>
      <w:r w:rsidRPr="00F02921">
        <w:rPr>
          <w:spacing w:val="-2"/>
          <w:sz w:val="22"/>
          <w:szCs w:val="22"/>
        </w:rPr>
        <w:t>An impairment loss is recognized when the carrying amount of the investment, after applying the equity method, exceeds its recoverable amount, and it is recognized in profit or loss.</w:t>
      </w:r>
    </w:p>
    <w:p w14:paraId="4A2D2EA4" w14:textId="4F185789" w:rsidR="006B2C7A" w:rsidRPr="00F02921" w:rsidRDefault="00C35D07" w:rsidP="00D0445F">
      <w:pPr>
        <w:ind w:left="1440"/>
        <w:jc w:val="both"/>
        <w:rPr>
          <w:spacing w:val="-2"/>
          <w:sz w:val="22"/>
          <w:szCs w:val="22"/>
        </w:rPr>
      </w:pPr>
      <w:r w:rsidRPr="00F02921">
        <w:rPr>
          <w:spacing w:val="-2"/>
          <w:sz w:val="22"/>
          <w:szCs w:val="22"/>
        </w:rPr>
        <w:t>An impairment loss is not allocated to any asset, including goodwill that forms part of the carrying amount of the investment in the associate company or in the joint venture.</w:t>
      </w:r>
    </w:p>
    <w:p w14:paraId="1ADE45F1" w14:textId="77777777" w:rsidR="006B2C7A" w:rsidRDefault="006B2C7A" w:rsidP="00237FC5">
      <w:pPr>
        <w:jc w:val="both"/>
        <w:rPr>
          <w:spacing w:val="-2"/>
          <w:sz w:val="22"/>
          <w:szCs w:val="22"/>
        </w:rPr>
      </w:pPr>
    </w:p>
    <w:p w14:paraId="2DF5D3C2" w14:textId="692060C1" w:rsidR="00C35D07" w:rsidRPr="00F02921" w:rsidRDefault="00C35D07" w:rsidP="00CC1EFE">
      <w:pPr>
        <w:ind w:left="1440"/>
        <w:jc w:val="both"/>
        <w:rPr>
          <w:spacing w:val="-2"/>
          <w:sz w:val="22"/>
          <w:szCs w:val="22"/>
        </w:rPr>
      </w:pPr>
      <w:r w:rsidRPr="00F02921">
        <w:rPr>
          <w:spacing w:val="-2"/>
          <w:sz w:val="22"/>
          <w:szCs w:val="22"/>
        </w:rPr>
        <w:t>An impairment loss is reversed only if there has been a change in the estimates used to determine the recoverable amount of the investment after the impairment loss was recognized, and only to the extent that the investment’s carrying amount, after the reversal of the impairment loss, does not exceed the carrying amount of the investment that would have been determined by the equity method if no impairment loss had been recognized.</w:t>
      </w:r>
    </w:p>
    <w:p w14:paraId="1FC42B31" w14:textId="77777777" w:rsidR="00AA6C4E" w:rsidRDefault="00AA6C4E" w:rsidP="00CC1EFE">
      <w:pPr>
        <w:ind w:left="1440"/>
        <w:jc w:val="both"/>
        <w:rPr>
          <w:spacing w:val="-2"/>
          <w:sz w:val="22"/>
          <w:szCs w:val="22"/>
        </w:rPr>
      </w:pPr>
    </w:p>
    <w:p w14:paraId="59FB4D83" w14:textId="74D15BC4" w:rsidR="00C35D07" w:rsidRPr="00F02921" w:rsidRDefault="00C35AC3" w:rsidP="000B59AD">
      <w:pPr>
        <w:ind w:left="720"/>
        <w:jc w:val="both"/>
        <w:outlineLvl w:val="3"/>
        <w:rPr>
          <w:b/>
          <w:bCs/>
          <w:sz w:val="22"/>
          <w:szCs w:val="22"/>
        </w:rPr>
      </w:pPr>
      <w:bookmarkStart w:id="91" w:name="H4_MNoncurrent_assets_or_disposal_groups"/>
      <w:r>
        <w:rPr>
          <w:b/>
          <w:bCs/>
          <w:sz w:val="22"/>
          <w:szCs w:val="22"/>
        </w:rPr>
        <w:t>M</w:t>
      </w:r>
      <w:r w:rsidR="00C35D07" w:rsidRPr="00F02921">
        <w:rPr>
          <w:b/>
          <w:bCs/>
          <w:sz w:val="22"/>
          <w:szCs w:val="22"/>
        </w:rPr>
        <w:t>.</w:t>
      </w:r>
      <w:r w:rsidR="00C35D07" w:rsidRPr="00F02921">
        <w:rPr>
          <w:b/>
          <w:bCs/>
          <w:sz w:val="22"/>
          <w:szCs w:val="22"/>
        </w:rPr>
        <w:tab/>
        <w:t xml:space="preserve">Non-current assets </w:t>
      </w:r>
      <w:r>
        <w:rPr>
          <w:b/>
          <w:bCs/>
          <w:sz w:val="22"/>
          <w:szCs w:val="22"/>
        </w:rPr>
        <w:t>or</w:t>
      </w:r>
      <w:r w:rsidRPr="00F02921">
        <w:rPr>
          <w:b/>
          <w:bCs/>
          <w:sz w:val="22"/>
          <w:szCs w:val="22"/>
        </w:rPr>
        <w:t xml:space="preserve"> </w:t>
      </w:r>
      <w:r w:rsidR="00C35D07" w:rsidRPr="00F02921">
        <w:rPr>
          <w:b/>
          <w:bCs/>
          <w:sz w:val="22"/>
          <w:szCs w:val="22"/>
        </w:rPr>
        <w:t>disposal groups held for sale</w:t>
      </w:r>
      <w:r>
        <w:rPr>
          <w:b/>
          <w:bCs/>
          <w:sz w:val="22"/>
          <w:szCs w:val="22"/>
        </w:rPr>
        <w:t xml:space="preserve"> and </w:t>
      </w:r>
      <w:r w:rsidRPr="00C35AC3">
        <w:rPr>
          <w:b/>
          <w:bCs/>
          <w:sz w:val="22"/>
          <w:szCs w:val="22"/>
        </w:rPr>
        <w:t>discontinued operations</w:t>
      </w:r>
    </w:p>
    <w:bookmarkEnd w:id="91"/>
    <w:p w14:paraId="18D986A4" w14:textId="77777777" w:rsidR="00C35D07" w:rsidRPr="00F02921" w:rsidRDefault="00C35D07" w:rsidP="00CC1EFE">
      <w:pPr>
        <w:ind w:left="1440"/>
        <w:jc w:val="both"/>
        <w:rPr>
          <w:spacing w:val="-2"/>
          <w:sz w:val="22"/>
          <w:szCs w:val="22"/>
        </w:rPr>
      </w:pPr>
    </w:p>
    <w:p w14:paraId="45A1769D" w14:textId="77777777" w:rsidR="00C35AC3" w:rsidRPr="00C35AC3" w:rsidRDefault="00C35AC3" w:rsidP="0020502A">
      <w:pPr>
        <w:ind w:left="1440"/>
        <w:jc w:val="both"/>
        <w:rPr>
          <w:spacing w:val="-2"/>
          <w:sz w:val="22"/>
          <w:szCs w:val="22"/>
        </w:rPr>
      </w:pPr>
      <w:r w:rsidRPr="00C35AC3">
        <w:rPr>
          <w:spacing w:val="-2"/>
          <w:sz w:val="22"/>
          <w:szCs w:val="22"/>
        </w:rPr>
        <w:t xml:space="preserve">Non-current assets or a disposal group are classified as held for sale if their carrying amount will be recovered principally through a sale transaction rather than through continuing use. For this to be the case, the assets must be available for immediate sale in their present condition, the Group must be committed to sell, there must be a program to locate a </w:t>
      </w:r>
      <w:proofErr w:type="gramStart"/>
      <w:r w:rsidRPr="00C35AC3">
        <w:rPr>
          <w:spacing w:val="-2"/>
          <w:sz w:val="22"/>
          <w:szCs w:val="22"/>
        </w:rPr>
        <w:t>buyer</w:t>
      </w:r>
      <w:proofErr w:type="gramEnd"/>
      <w:r w:rsidRPr="00C35AC3">
        <w:rPr>
          <w:spacing w:val="-2"/>
          <w:sz w:val="22"/>
          <w:szCs w:val="22"/>
        </w:rPr>
        <w:t xml:space="preserve"> and it is highly probable that a sale will be completed within one year from the date of classification. From the date of such initial classification, these assets are no longer depreciated and are presented separately as current assets at the lower of their carrying amount and fair value less costs to sell. Other comprehensive income (loss) in respect of an assets or a group of non-current assets that are classified as held for sale is presented separately in equity. </w:t>
      </w:r>
    </w:p>
    <w:p w14:paraId="475AEB1E" w14:textId="77777777" w:rsidR="00C35AC3" w:rsidRPr="00C35AC3" w:rsidRDefault="00C35AC3" w:rsidP="0020502A">
      <w:pPr>
        <w:ind w:left="1440"/>
        <w:jc w:val="both"/>
        <w:rPr>
          <w:spacing w:val="-2"/>
          <w:sz w:val="22"/>
          <w:szCs w:val="22"/>
        </w:rPr>
      </w:pPr>
      <w:r w:rsidRPr="00C35AC3">
        <w:rPr>
          <w:spacing w:val="-2"/>
          <w:sz w:val="22"/>
          <w:szCs w:val="22"/>
        </w:rPr>
        <w:t xml:space="preserve">When an entity no longer plans to sell an asset in a sale transaction, it ceases the classification of the asset as held for sale and measures it at the lower of </w:t>
      </w:r>
      <w:proofErr w:type="gramStart"/>
      <w:r w:rsidRPr="00C35AC3">
        <w:rPr>
          <w:spacing w:val="-2"/>
          <w:sz w:val="22"/>
          <w:szCs w:val="22"/>
        </w:rPr>
        <w:t>its</w:t>
      </w:r>
      <w:proofErr w:type="gramEnd"/>
      <w:r w:rsidRPr="00C35AC3">
        <w:rPr>
          <w:spacing w:val="-2"/>
          <w:sz w:val="22"/>
          <w:szCs w:val="22"/>
        </w:rPr>
        <w:t xml:space="preserve"> carrying amount </w:t>
      </w:r>
      <w:proofErr w:type="gramStart"/>
      <w:r w:rsidRPr="00C35AC3">
        <w:rPr>
          <w:spacing w:val="-2"/>
          <w:sz w:val="22"/>
          <w:szCs w:val="22"/>
        </w:rPr>
        <w:t>had it</w:t>
      </w:r>
      <w:proofErr w:type="gramEnd"/>
      <w:r w:rsidRPr="00C35AC3">
        <w:rPr>
          <w:spacing w:val="-2"/>
          <w:sz w:val="22"/>
          <w:szCs w:val="22"/>
        </w:rPr>
        <w:t xml:space="preserve"> not been classified as held for sale or the recoverable amount of the asset on the date of the decision not to sell the asset.</w:t>
      </w:r>
    </w:p>
    <w:p w14:paraId="74428779" w14:textId="4F202787" w:rsidR="0070739B" w:rsidRDefault="00C35AC3" w:rsidP="00B37BF1">
      <w:pPr>
        <w:ind w:left="1440"/>
        <w:jc w:val="both"/>
        <w:rPr>
          <w:spacing w:val="-2"/>
          <w:sz w:val="22"/>
          <w:szCs w:val="22"/>
        </w:rPr>
      </w:pPr>
      <w:r w:rsidRPr="00C35AC3">
        <w:rPr>
          <w:spacing w:val="-2"/>
          <w:sz w:val="22"/>
          <w:szCs w:val="22"/>
        </w:rPr>
        <w:t>A discontinued operation is a component of the Group that either has been disposed of or is classified as held for sale. The operating results relating to the discontinued operation are presented separately in profit or loss, net of the tax effect</w:t>
      </w:r>
      <w:r w:rsidRPr="00C35AC3" w:rsidDel="00C35AC3">
        <w:rPr>
          <w:spacing w:val="-2"/>
          <w:sz w:val="22"/>
          <w:szCs w:val="22"/>
        </w:rPr>
        <w:t xml:space="preserve"> </w:t>
      </w:r>
    </w:p>
    <w:p w14:paraId="7B5C2D07" w14:textId="77777777" w:rsidR="0070739B" w:rsidRDefault="0070739B" w:rsidP="00CC1EFE">
      <w:pPr>
        <w:ind w:left="720"/>
        <w:jc w:val="both"/>
        <w:rPr>
          <w:b/>
          <w:bCs/>
          <w:sz w:val="22"/>
          <w:szCs w:val="22"/>
        </w:rPr>
      </w:pPr>
    </w:p>
    <w:p w14:paraId="4186EC43" w14:textId="41732A97" w:rsidR="00C35D07" w:rsidRPr="00F02921" w:rsidRDefault="00C35AC3" w:rsidP="000B59AD">
      <w:pPr>
        <w:ind w:left="720"/>
        <w:jc w:val="both"/>
        <w:outlineLvl w:val="3"/>
        <w:rPr>
          <w:b/>
          <w:bCs/>
          <w:sz w:val="22"/>
          <w:szCs w:val="22"/>
        </w:rPr>
      </w:pPr>
      <w:bookmarkStart w:id="92" w:name="H4_NCapitalization_of_borrowing_costs"/>
      <w:r>
        <w:rPr>
          <w:b/>
          <w:bCs/>
          <w:sz w:val="22"/>
          <w:szCs w:val="22"/>
        </w:rPr>
        <w:t>N</w:t>
      </w:r>
      <w:r w:rsidR="00C35D07" w:rsidRPr="00F02921">
        <w:rPr>
          <w:b/>
          <w:bCs/>
          <w:sz w:val="22"/>
          <w:szCs w:val="22"/>
        </w:rPr>
        <w:t>.</w:t>
      </w:r>
      <w:r w:rsidR="00C35D07" w:rsidRPr="00F02921">
        <w:rPr>
          <w:b/>
          <w:bCs/>
          <w:sz w:val="22"/>
          <w:szCs w:val="22"/>
        </w:rPr>
        <w:tab/>
        <w:t>Capitalization of borrowing costs</w:t>
      </w:r>
    </w:p>
    <w:bookmarkEnd w:id="92"/>
    <w:p w14:paraId="7022A486" w14:textId="77777777" w:rsidR="00C35D07" w:rsidRPr="00F02921" w:rsidRDefault="00C35D07" w:rsidP="00CC1EFE">
      <w:pPr>
        <w:ind w:left="720"/>
        <w:jc w:val="both"/>
        <w:rPr>
          <w:sz w:val="22"/>
          <w:szCs w:val="22"/>
        </w:rPr>
      </w:pPr>
    </w:p>
    <w:p w14:paraId="30EB7862" w14:textId="77777777" w:rsidR="00C35AC3" w:rsidRPr="00C35AC3" w:rsidRDefault="00C35AC3" w:rsidP="0020502A">
      <w:pPr>
        <w:ind w:left="1440"/>
        <w:jc w:val="both"/>
        <w:rPr>
          <w:spacing w:val="-2"/>
          <w:sz w:val="22"/>
          <w:szCs w:val="22"/>
        </w:rPr>
      </w:pPr>
      <w:r w:rsidRPr="00C35AC3">
        <w:rPr>
          <w:spacing w:val="-2"/>
          <w:sz w:val="22"/>
          <w:szCs w:val="22"/>
        </w:rPr>
        <w:t xml:space="preserve">The Group capitalizes borrowing costs that are attributable to the acquisition, construction or production of qualifying assets which necessarily take a substantial </w:t>
      </w:r>
      <w:proofErr w:type="gramStart"/>
      <w:r w:rsidRPr="00C35AC3">
        <w:rPr>
          <w:spacing w:val="-2"/>
          <w:sz w:val="22"/>
          <w:szCs w:val="22"/>
        </w:rPr>
        <w:t>period of time</w:t>
      </w:r>
      <w:proofErr w:type="gramEnd"/>
      <w:r w:rsidRPr="00C35AC3">
        <w:rPr>
          <w:spacing w:val="-2"/>
          <w:sz w:val="22"/>
          <w:szCs w:val="22"/>
        </w:rPr>
        <w:t xml:space="preserve"> to get ready for their intended use or sale. </w:t>
      </w:r>
    </w:p>
    <w:p w14:paraId="65EABF60" w14:textId="5E88BD09" w:rsidR="00D0445F" w:rsidRDefault="00C35AC3" w:rsidP="0020502A">
      <w:pPr>
        <w:ind w:left="1440"/>
        <w:jc w:val="both"/>
        <w:rPr>
          <w:b/>
          <w:bCs/>
          <w:sz w:val="26"/>
          <w:szCs w:val="26"/>
        </w:rPr>
      </w:pPr>
      <w:r w:rsidRPr="00C35AC3">
        <w:rPr>
          <w:spacing w:val="-2"/>
          <w:sz w:val="22"/>
          <w:szCs w:val="22"/>
        </w:rPr>
        <w:t xml:space="preserve">The capitalization of borrowing </w:t>
      </w:r>
      <w:proofErr w:type="gramStart"/>
      <w:r w:rsidRPr="00C35AC3">
        <w:rPr>
          <w:spacing w:val="-2"/>
          <w:sz w:val="22"/>
          <w:szCs w:val="22"/>
        </w:rPr>
        <w:t>costs</w:t>
      </w:r>
      <w:proofErr w:type="gramEnd"/>
      <w:r w:rsidRPr="00C35AC3">
        <w:rPr>
          <w:spacing w:val="-2"/>
          <w:sz w:val="22"/>
          <w:szCs w:val="22"/>
        </w:rPr>
        <w:t xml:space="preserve"> commences when expenditures for the asset are incurred, the activities to prepare the asset are in progress and borrowing costs are incurred and ceases when substantially all the activities to prepare the qualifying asset for its intended use or sale are complete. The amount of borrowing costs capitalized in the reporting period includes specific borrowing costs and general borrowing costs based on a weighted capitalization rate</w:t>
      </w:r>
      <w:r w:rsidRPr="00C35AC3" w:rsidDel="00C35AC3">
        <w:rPr>
          <w:spacing w:val="-2"/>
          <w:sz w:val="22"/>
          <w:szCs w:val="22"/>
        </w:rPr>
        <w:t xml:space="preserve"> </w:t>
      </w:r>
    </w:p>
    <w:p w14:paraId="558C44A6" w14:textId="36DE4F00" w:rsidR="00AF2665" w:rsidRDefault="00AF2665">
      <w:pPr>
        <w:rPr>
          <w:sz w:val="22"/>
          <w:szCs w:val="22"/>
        </w:rPr>
      </w:pPr>
      <w:r>
        <w:rPr>
          <w:sz w:val="22"/>
          <w:szCs w:val="22"/>
        </w:rPr>
        <w:br w:type="page"/>
      </w:r>
    </w:p>
    <w:p w14:paraId="38B892BE" w14:textId="50C13B72" w:rsidR="00C35AC3" w:rsidRDefault="00C35AC3" w:rsidP="003961C8">
      <w:pPr>
        <w:ind w:left="1440"/>
        <w:jc w:val="both"/>
        <w:rPr>
          <w:sz w:val="22"/>
          <w:szCs w:val="22"/>
        </w:rPr>
      </w:pPr>
    </w:p>
    <w:p w14:paraId="1D8413E1" w14:textId="77777777" w:rsidR="00C35AC3" w:rsidRPr="00AF2665" w:rsidRDefault="00C35AC3" w:rsidP="00C35AC3">
      <w:pPr>
        <w:rPr>
          <w:b/>
          <w:bCs/>
          <w:sz w:val="22"/>
          <w:szCs w:val="22"/>
        </w:rPr>
      </w:pPr>
      <w:r w:rsidRPr="00AF2665">
        <w:rPr>
          <w:b/>
          <w:bCs/>
          <w:sz w:val="22"/>
          <w:szCs w:val="22"/>
        </w:rPr>
        <w:t>Note 3 - Significant Accounting Policies (cont’d)</w:t>
      </w:r>
    </w:p>
    <w:p w14:paraId="2012757C" w14:textId="77777777" w:rsidR="00C35AC3" w:rsidRPr="00F02921" w:rsidRDefault="00C35AC3" w:rsidP="003961C8">
      <w:pPr>
        <w:ind w:left="1440"/>
        <w:jc w:val="both"/>
        <w:rPr>
          <w:sz w:val="22"/>
          <w:szCs w:val="22"/>
        </w:rPr>
      </w:pPr>
    </w:p>
    <w:p w14:paraId="01327857" w14:textId="3EC8D870" w:rsidR="00C35D07" w:rsidRPr="00F02921" w:rsidRDefault="00E32A9C" w:rsidP="000B59AD">
      <w:pPr>
        <w:ind w:left="720"/>
        <w:jc w:val="both"/>
        <w:outlineLvl w:val="3"/>
        <w:rPr>
          <w:sz w:val="22"/>
          <w:szCs w:val="22"/>
        </w:rPr>
      </w:pPr>
      <w:bookmarkStart w:id="93" w:name="H4_OProvisions_"/>
      <w:r>
        <w:rPr>
          <w:b/>
          <w:bCs/>
          <w:sz w:val="22"/>
          <w:szCs w:val="22"/>
        </w:rPr>
        <w:t>O</w:t>
      </w:r>
      <w:r w:rsidR="00C35D07" w:rsidRPr="00F02921">
        <w:rPr>
          <w:b/>
          <w:bCs/>
          <w:sz w:val="22"/>
          <w:szCs w:val="22"/>
        </w:rPr>
        <w:t>.</w:t>
      </w:r>
      <w:r w:rsidR="00C35D07" w:rsidRPr="00F02921">
        <w:rPr>
          <w:b/>
          <w:bCs/>
          <w:sz w:val="22"/>
          <w:szCs w:val="22"/>
        </w:rPr>
        <w:tab/>
        <w:t xml:space="preserve">Provisions </w:t>
      </w:r>
    </w:p>
    <w:bookmarkEnd w:id="93"/>
    <w:p w14:paraId="083F4187" w14:textId="77777777" w:rsidR="00C35D07" w:rsidRPr="00F02921" w:rsidRDefault="00C35D07" w:rsidP="00CC1EFE">
      <w:pPr>
        <w:ind w:left="720"/>
        <w:jc w:val="both"/>
        <w:rPr>
          <w:sz w:val="22"/>
          <w:szCs w:val="22"/>
        </w:rPr>
      </w:pPr>
    </w:p>
    <w:p w14:paraId="073FF168" w14:textId="5A697C82" w:rsidR="00C35D07" w:rsidRPr="00F02921" w:rsidRDefault="00371195" w:rsidP="007715B5">
      <w:pPr>
        <w:ind w:left="1440"/>
        <w:jc w:val="both"/>
        <w:rPr>
          <w:sz w:val="22"/>
          <w:szCs w:val="22"/>
        </w:rPr>
      </w:pPr>
      <w:r w:rsidRPr="00371195">
        <w:rPr>
          <w:spacing w:val="-2"/>
          <w:sz w:val="22"/>
          <w:szCs w:val="22"/>
        </w:rPr>
        <w:t xml:space="preserve">A provision in accordance with IAS 37 is recognized when the Group has a present obligation (legal or constructive) </w:t>
      </w:r>
      <w:proofErr w:type="gramStart"/>
      <w:r w:rsidRPr="00371195">
        <w:rPr>
          <w:spacing w:val="-2"/>
          <w:sz w:val="22"/>
          <w:szCs w:val="22"/>
        </w:rPr>
        <w:t>as a result of</w:t>
      </w:r>
      <w:proofErr w:type="gramEnd"/>
      <w:r w:rsidRPr="00371195">
        <w:rPr>
          <w:spacing w:val="-2"/>
          <w:sz w:val="22"/>
          <w:szCs w:val="22"/>
        </w:rPr>
        <w:t xml:space="preserve"> a past event, it is probable that an outflow of resources embodying economic benefits will be required to settle the obligation and a reliable estimate can be made of the amount of the obligation. When the Group expects part or </w:t>
      </w:r>
      <w:proofErr w:type="gramStart"/>
      <w:r w:rsidRPr="00371195">
        <w:rPr>
          <w:spacing w:val="-2"/>
          <w:sz w:val="22"/>
          <w:szCs w:val="22"/>
        </w:rPr>
        <w:t>all of</w:t>
      </w:r>
      <w:proofErr w:type="gramEnd"/>
      <w:r w:rsidRPr="00371195">
        <w:rPr>
          <w:spacing w:val="-2"/>
          <w:sz w:val="22"/>
          <w:szCs w:val="22"/>
        </w:rPr>
        <w:t xml:space="preserve"> the expense to be reimbursed, for example under an insurance contract, the reimbursement is recognized as a separate asset but only when the reimbursement is virtually certain. The expense is recognized in the statement of profit or loss net of any reimbursement</w:t>
      </w:r>
    </w:p>
    <w:p w14:paraId="5B946410" w14:textId="77777777" w:rsidR="00371195" w:rsidRDefault="00371195" w:rsidP="00181F2F">
      <w:pPr>
        <w:pStyle w:val="af2"/>
        <w:ind w:left="1440"/>
        <w:jc w:val="both"/>
        <w:rPr>
          <w:i/>
          <w:iCs/>
          <w:sz w:val="22"/>
          <w:szCs w:val="22"/>
        </w:rPr>
      </w:pPr>
    </w:p>
    <w:p w14:paraId="3B1CC446" w14:textId="37E15C08" w:rsidR="00C35D07" w:rsidRPr="00F93F23" w:rsidRDefault="00C35D07" w:rsidP="000B59AD">
      <w:pPr>
        <w:pStyle w:val="af2"/>
        <w:ind w:left="1440"/>
        <w:jc w:val="both"/>
        <w:outlineLvl w:val="4"/>
        <w:rPr>
          <w:i/>
          <w:iCs/>
          <w:sz w:val="22"/>
          <w:szCs w:val="22"/>
        </w:rPr>
      </w:pPr>
      <w:bookmarkStart w:id="94" w:name="H5_Legal_claims"/>
      <w:r w:rsidRPr="00F93F23">
        <w:rPr>
          <w:i/>
          <w:iCs/>
          <w:sz w:val="22"/>
          <w:szCs w:val="22"/>
        </w:rPr>
        <w:t>Legal claims</w:t>
      </w:r>
    </w:p>
    <w:bookmarkEnd w:id="94"/>
    <w:p w14:paraId="4C01F13A" w14:textId="79C01D04" w:rsidR="00AA6C4E" w:rsidRDefault="00371195" w:rsidP="007715B5">
      <w:pPr>
        <w:ind w:left="1440"/>
        <w:jc w:val="both"/>
        <w:rPr>
          <w:b/>
          <w:bCs/>
          <w:sz w:val="26"/>
          <w:szCs w:val="26"/>
        </w:rPr>
      </w:pPr>
      <w:r w:rsidRPr="00371195">
        <w:rPr>
          <w:sz w:val="22"/>
          <w:szCs w:val="22"/>
        </w:rPr>
        <w:t xml:space="preserve">A provision for claims is recognized when the Group has a present legal or constructive obligation </w:t>
      </w:r>
      <w:proofErr w:type="gramStart"/>
      <w:r w:rsidRPr="00371195">
        <w:rPr>
          <w:sz w:val="22"/>
          <w:szCs w:val="22"/>
        </w:rPr>
        <w:t>as a result of</w:t>
      </w:r>
      <w:proofErr w:type="gramEnd"/>
      <w:r w:rsidRPr="00371195">
        <w:rPr>
          <w:sz w:val="22"/>
          <w:szCs w:val="22"/>
        </w:rPr>
        <w:t xml:space="preserve"> a past event, it is more likely than not that an outflow of resources embodying economic benefits will be required by the Group to settle the obligation and a reliable estimate can be made of the amount of the obligation</w:t>
      </w:r>
      <w:r w:rsidR="00C35D07" w:rsidRPr="00F02921">
        <w:rPr>
          <w:sz w:val="22"/>
          <w:szCs w:val="22"/>
        </w:rPr>
        <w:t>.</w:t>
      </w:r>
    </w:p>
    <w:p w14:paraId="4CD23845" w14:textId="77777777" w:rsidR="00AA6C4E" w:rsidRDefault="00AA6C4E" w:rsidP="00CC1EFE">
      <w:pPr>
        <w:ind w:left="1440"/>
        <w:jc w:val="both"/>
        <w:rPr>
          <w:spacing w:val="-2"/>
          <w:sz w:val="22"/>
          <w:szCs w:val="22"/>
        </w:rPr>
      </w:pPr>
    </w:p>
    <w:p w14:paraId="648F6F9F" w14:textId="5A2626DA" w:rsidR="00C35D07" w:rsidRDefault="00E32A9C" w:rsidP="000B59AD">
      <w:pPr>
        <w:ind w:left="720"/>
        <w:jc w:val="both"/>
        <w:outlineLvl w:val="3"/>
        <w:rPr>
          <w:b/>
          <w:bCs/>
          <w:sz w:val="22"/>
          <w:szCs w:val="22"/>
        </w:rPr>
      </w:pPr>
      <w:bookmarkStart w:id="95" w:name="H4_PRevenue_"/>
      <w:bookmarkStart w:id="96" w:name="_Hlk534641671"/>
      <w:r>
        <w:rPr>
          <w:b/>
          <w:bCs/>
          <w:sz w:val="22"/>
          <w:szCs w:val="22"/>
        </w:rPr>
        <w:t>P</w:t>
      </w:r>
      <w:r w:rsidR="00C35D07" w:rsidRPr="00F02921">
        <w:rPr>
          <w:b/>
          <w:bCs/>
          <w:sz w:val="22"/>
          <w:szCs w:val="22"/>
        </w:rPr>
        <w:t>.</w:t>
      </w:r>
      <w:r w:rsidR="00C35D07" w:rsidRPr="00F02921">
        <w:rPr>
          <w:b/>
          <w:bCs/>
          <w:sz w:val="22"/>
          <w:szCs w:val="22"/>
        </w:rPr>
        <w:tab/>
        <w:t xml:space="preserve">Revenue </w:t>
      </w:r>
    </w:p>
    <w:bookmarkEnd w:id="95"/>
    <w:p w14:paraId="0CFDBED3" w14:textId="7D8E641D" w:rsidR="002F6BE7" w:rsidRDefault="002F6BE7" w:rsidP="00CC1EFE">
      <w:pPr>
        <w:ind w:left="720"/>
        <w:jc w:val="both"/>
        <w:rPr>
          <w:b/>
          <w:bCs/>
          <w:sz w:val="22"/>
          <w:szCs w:val="22"/>
        </w:rPr>
      </w:pPr>
    </w:p>
    <w:p w14:paraId="53494A70" w14:textId="77777777" w:rsidR="002F6BE7" w:rsidRDefault="002F6BE7" w:rsidP="000B59AD">
      <w:pPr>
        <w:ind w:left="720"/>
        <w:jc w:val="both"/>
        <w:outlineLvl w:val="4"/>
        <w:rPr>
          <w:sz w:val="22"/>
          <w:szCs w:val="22"/>
        </w:rPr>
      </w:pPr>
      <w:bookmarkStart w:id="97" w:name="H5_1Rental_income_"/>
      <w:r>
        <w:rPr>
          <w:b/>
          <w:bCs/>
          <w:sz w:val="22"/>
          <w:szCs w:val="22"/>
        </w:rPr>
        <w:t>(</w:t>
      </w:r>
      <w:r w:rsidRPr="00F02921">
        <w:rPr>
          <w:b/>
          <w:bCs/>
          <w:sz w:val="22"/>
          <w:szCs w:val="22"/>
        </w:rPr>
        <w:t>1</w:t>
      </w:r>
      <w:r>
        <w:rPr>
          <w:b/>
          <w:bCs/>
          <w:sz w:val="22"/>
          <w:szCs w:val="22"/>
        </w:rPr>
        <w:t>)</w:t>
      </w:r>
      <w:r w:rsidRPr="00F02921">
        <w:rPr>
          <w:b/>
          <w:bCs/>
          <w:sz w:val="22"/>
          <w:szCs w:val="22"/>
        </w:rPr>
        <w:tab/>
        <w:t xml:space="preserve">Rental income </w:t>
      </w:r>
    </w:p>
    <w:p w14:paraId="530075C6" w14:textId="77777777" w:rsidR="00AF2665" w:rsidRPr="00F02921" w:rsidRDefault="00AF2665" w:rsidP="00903C29">
      <w:pPr>
        <w:ind w:left="720"/>
        <w:jc w:val="both"/>
        <w:rPr>
          <w:sz w:val="22"/>
          <w:szCs w:val="22"/>
        </w:rPr>
      </w:pPr>
    </w:p>
    <w:bookmarkEnd w:id="97"/>
    <w:p w14:paraId="3DB99C6E" w14:textId="77777777" w:rsidR="002F6BE7" w:rsidRPr="00F02921" w:rsidRDefault="002F6BE7" w:rsidP="002F6BE7">
      <w:pPr>
        <w:ind w:left="1440"/>
        <w:jc w:val="both"/>
        <w:rPr>
          <w:sz w:val="22"/>
          <w:szCs w:val="22"/>
        </w:rPr>
      </w:pPr>
      <w:r w:rsidRPr="00F02921">
        <w:rPr>
          <w:sz w:val="22"/>
          <w:szCs w:val="22"/>
        </w:rPr>
        <w:t>Rental income from investment property is recognized in the income statement on a straight-line basis over the term of the lease. Lease incentives granted are recognized as an integral part of the total rental income, over the term of the lease.</w:t>
      </w:r>
      <w:r>
        <w:rPr>
          <w:sz w:val="22"/>
          <w:szCs w:val="22"/>
        </w:rPr>
        <w:t xml:space="preserve"> </w:t>
      </w:r>
      <w:r w:rsidRPr="00F93F23">
        <w:rPr>
          <w:sz w:val="22"/>
          <w:szCs w:val="22"/>
        </w:rPr>
        <w:t xml:space="preserve">Rental income from other </w:t>
      </w:r>
      <w:proofErr w:type="gramStart"/>
      <w:r w:rsidRPr="00F93F23">
        <w:rPr>
          <w:sz w:val="22"/>
          <w:szCs w:val="22"/>
        </w:rPr>
        <w:t>property</w:t>
      </w:r>
      <w:proofErr w:type="gramEnd"/>
      <w:r w:rsidRPr="00F93F23">
        <w:rPr>
          <w:sz w:val="22"/>
          <w:szCs w:val="22"/>
        </w:rPr>
        <w:t xml:space="preserve"> is recognized as other income.</w:t>
      </w:r>
    </w:p>
    <w:p w14:paraId="5AA3A6F7" w14:textId="14B2F776" w:rsidR="002F6BE7" w:rsidRDefault="002F6BE7" w:rsidP="00CC1EFE">
      <w:pPr>
        <w:ind w:left="720"/>
        <w:jc w:val="both"/>
        <w:rPr>
          <w:b/>
          <w:bCs/>
          <w:sz w:val="22"/>
          <w:szCs w:val="22"/>
        </w:rPr>
      </w:pPr>
    </w:p>
    <w:p w14:paraId="30CC38FE" w14:textId="3FCEA412" w:rsidR="002F6BE7" w:rsidRPr="008D69AD" w:rsidRDefault="002F6BE7" w:rsidP="000B59AD">
      <w:pPr>
        <w:ind w:left="720"/>
        <w:jc w:val="both"/>
        <w:outlineLvl w:val="4"/>
        <w:rPr>
          <w:sz w:val="22"/>
          <w:szCs w:val="22"/>
        </w:rPr>
      </w:pPr>
      <w:bookmarkStart w:id="98" w:name="H5_2Sale_of_inventory_of_real_estate_and"/>
      <w:r>
        <w:rPr>
          <w:b/>
          <w:bCs/>
          <w:sz w:val="22"/>
          <w:szCs w:val="22"/>
        </w:rPr>
        <w:t>(2)</w:t>
      </w:r>
      <w:r>
        <w:rPr>
          <w:b/>
          <w:bCs/>
          <w:sz w:val="22"/>
          <w:szCs w:val="22"/>
        </w:rPr>
        <w:tab/>
      </w:r>
      <w:r w:rsidRPr="00F02921">
        <w:rPr>
          <w:b/>
          <w:bCs/>
          <w:sz w:val="22"/>
          <w:szCs w:val="22"/>
        </w:rPr>
        <w:t xml:space="preserve">Sale of inventory of </w:t>
      </w:r>
      <w:r w:rsidRPr="00C435F7">
        <w:rPr>
          <w:b/>
          <w:bCs/>
          <w:sz w:val="22"/>
          <w:szCs w:val="22"/>
        </w:rPr>
        <w:t>real estate and residential apartments</w:t>
      </w:r>
    </w:p>
    <w:bookmarkEnd w:id="98"/>
    <w:p w14:paraId="4B92142C" w14:textId="77777777" w:rsidR="00E152FA" w:rsidRPr="00F77F79" w:rsidRDefault="00E152FA" w:rsidP="00F77F79">
      <w:pPr>
        <w:ind w:firstLine="720"/>
        <w:jc w:val="both"/>
        <w:rPr>
          <w:i/>
          <w:iCs/>
          <w:sz w:val="22"/>
          <w:szCs w:val="22"/>
          <w:u w:val="single"/>
        </w:rPr>
      </w:pPr>
    </w:p>
    <w:p w14:paraId="13CFC475" w14:textId="4CA2E69F" w:rsidR="00B81DDF" w:rsidRDefault="00B81DDF" w:rsidP="00F3679C">
      <w:pPr>
        <w:ind w:left="1440"/>
        <w:jc w:val="both"/>
        <w:rPr>
          <w:sz w:val="22"/>
          <w:szCs w:val="22"/>
        </w:rPr>
      </w:pPr>
      <w:r w:rsidRPr="00226F27">
        <w:rPr>
          <w:sz w:val="22"/>
          <w:szCs w:val="22"/>
        </w:rPr>
        <w:t xml:space="preserve">The Group recognizes revenue when the customer obtains control over the promised goods or services. The revenue is measured according to the amount of </w:t>
      </w:r>
      <w:proofErr w:type="gramStart"/>
      <w:r w:rsidRPr="00226F27">
        <w:rPr>
          <w:sz w:val="22"/>
          <w:szCs w:val="22"/>
        </w:rPr>
        <w:t>the consideration</w:t>
      </w:r>
      <w:proofErr w:type="gramEnd"/>
      <w:r w:rsidRPr="00226F27">
        <w:rPr>
          <w:sz w:val="22"/>
          <w:szCs w:val="22"/>
        </w:rPr>
        <w:t xml:space="preserve"> to which the Group expects to be entitled in exchange for the goods or services promised to the customer, other than amounts collected for third parties.</w:t>
      </w:r>
    </w:p>
    <w:p w14:paraId="2A73D5A7" w14:textId="77777777" w:rsidR="00905F38" w:rsidRPr="00EF3D75" w:rsidRDefault="00905F38" w:rsidP="00905F38">
      <w:pPr>
        <w:ind w:left="1440"/>
        <w:rPr>
          <w:sz w:val="22"/>
          <w:szCs w:val="22"/>
        </w:rPr>
      </w:pPr>
    </w:p>
    <w:p w14:paraId="53BB9D82" w14:textId="7B073AB0" w:rsidR="00A20109" w:rsidRDefault="00905F38" w:rsidP="00440C55">
      <w:pPr>
        <w:ind w:left="1440"/>
        <w:jc w:val="both"/>
        <w:rPr>
          <w:b/>
          <w:bCs/>
          <w:sz w:val="26"/>
          <w:szCs w:val="26"/>
          <w:lang w:bidi="he-IL"/>
        </w:rPr>
      </w:pPr>
      <w:r w:rsidRPr="00EF3D75">
        <w:rPr>
          <w:sz w:val="22"/>
          <w:szCs w:val="22"/>
        </w:rPr>
        <w:t>As part of the assessment</w:t>
      </w:r>
      <w:r w:rsidR="00902612">
        <w:rPr>
          <w:sz w:val="22"/>
          <w:szCs w:val="22"/>
        </w:rPr>
        <w:t xml:space="preserve"> </w:t>
      </w:r>
      <w:r w:rsidR="00E72ED8">
        <w:rPr>
          <w:sz w:val="22"/>
          <w:szCs w:val="22"/>
        </w:rPr>
        <w:t>whether</w:t>
      </w:r>
      <w:r w:rsidR="00E72ED8" w:rsidRPr="00EF3D75">
        <w:rPr>
          <w:sz w:val="22"/>
          <w:szCs w:val="22"/>
        </w:rPr>
        <w:t xml:space="preserve"> IFRS 15.35c is met</w:t>
      </w:r>
      <w:r w:rsidRPr="00EF3D75">
        <w:rPr>
          <w:sz w:val="22"/>
          <w:szCs w:val="22"/>
        </w:rPr>
        <w:t xml:space="preserve">, the Group examined, </w:t>
      </w:r>
      <w:r w:rsidR="00E72ED8">
        <w:rPr>
          <w:sz w:val="22"/>
          <w:szCs w:val="22"/>
        </w:rPr>
        <w:t>with the assistance of</w:t>
      </w:r>
      <w:r w:rsidRPr="00EF3D75">
        <w:rPr>
          <w:sz w:val="22"/>
          <w:szCs w:val="22"/>
        </w:rPr>
        <w:t xml:space="preserve"> its legal advisors, the relevant local legislation</w:t>
      </w:r>
      <w:r w:rsidR="00E72ED8">
        <w:rPr>
          <w:sz w:val="22"/>
          <w:szCs w:val="22"/>
        </w:rPr>
        <w:t xml:space="preserve"> and regulations</w:t>
      </w:r>
      <w:r w:rsidRPr="00EF3D75">
        <w:rPr>
          <w:sz w:val="22"/>
          <w:szCs w:val="22"/>
        </w:rPr>
        <w:t xml:space="preserve"> in each country (the countries examined are Serbia, Czech Republic, Poland, Romania</w:t>
      </w:r>
      <w:r w:rsidR="00A4131F">
        <w:rPr>
          <w:sz w:val="22"/>
          <w:szCs w:val="22"/>
        </w:rPr>
        <w:t xml:space="preserve">, </w:t>
      </w:r>
      <w:r w:rsidRPr="00EF3D75">
        <w:rPr>
          <w:sz w:val="22"/>
          <w:szCs w:val="22"/>
        </w:rPr>
        <w:t>Latvia</w:t>
      </w:r>
      <w:r w:rsidR="00A4131F">
        <w:rPr>
          <w:sz w:val="22"/>
          <w:szCs w:val="22"/>
        </w:rPr>
        <w:t xml:space="preserve"> and Bulgaria</w:t>
      </w:r>
      <w:r w:rsidRPr="00EF3D75">
        <w:rPr>
          <w:sz w:val="22"/>
          <w:szCs w:val="22"/>
        </w:rPr>
        <w:t>)</w:t>
      </w:r>
      <w:r w:rsidR="00E72ED8">
        <w:rPr>
          <w:sz w:val="22"/>
          <w:szCs w:val="22"/>
        </w:rPr>
        <w:t xml:space="preserve">, as well as </w:t>
      </w:r>
      <w:r w:rsidRPr="00EF3D75">
        <w:rPr>
          <w:sz w:val="22"/>
          <w:szCs w:val="22"/>
        </w:rPr>
        <w:t>the provisions of the</w:t>
      </w:r>
      <w:r w:rsidR="00E72ED8">
        <w:rPr>
          <w:sz w:val="22"/>
          <w:szCs w:val="22"/>
        </w:rPr>
        <w:t xml:space="preserve"> sale</w:t>
      </w:r>
      <w:r w:rsidRPr="00EF3D75">
        <w:rPr>
          <w:sz w:val="22"/>
          <w:szCs w:val="22"/>
        </w:rPr>
        <w:t xml:space="preserve"> contracts with </w:t>
      </w:r>
      <w:r w:rsidR="00902612" w:rsidRPr="00EF3D75">
        <w:rPr>
          <w:sz w:val="22"/>
          <w:szCs w:val="22"/>
        </w:rPr>
        <w:t>customers,</w:t>
      </w:r>
      <w:r w:rsidRPr="00EF3D75">
        <w:rPr>
          <w:sz w:val="22"/>
          <w:szCs w:val="22"/>
        </w:rPr>
        <w:t xml:space="preserve"> </w:t>
      </w:r>
      <w:r w:rsidR="00902612">
        <w:rPr>
          <w:sz w:val="22"/>
          <w:szCs w:val="22"/>
        </w:rPr>
        <w:t>e</w:t>
      </w:r>
      <w:r w:rsidR="00FF4A22">
        <w:rPr>
          <w:sz w:val="22"/>
          <w:szCs w:val="22"/>
        </w:rPr>
        <w:t xml:space="preserve">xcept in </w:t>
      </w:r>
      <w:r w:rsidR="007466ED">
        <w:rPr>
          <w:sz w:val="22"/>
          <w:szCs w:val="22"/>
        </w:rPr>
        <w:t>Bulgaria</w:t>
      </w:r>
      <w:r w:rsidR="00FF4A22">
        <w:rPr>
          <w:sz w:val="22"/>
          <w:szCs w:val="22"/>
        </w:rPr>
        <w:t>,</w:t>
      </w:r>
      <w:r w:rsidRPr="00EF3D75">
        <w:rPr>
          <w:sz w:val="22"/>
          <w:szCs w:val="22"/>
        </w:rPr>
        <w:t xml:space="preserve"> there</w:t>
      </w:r>
      <w:r w:rsidR="00FF4A22">
        <w:rPr>
          <w:sz w:val="22"/>
          <w:szCs w:val="22"/>
        </w:rPr>
        <w:t xml:space="preserve"> is</w:t>
      </w:r>
      <w:r w:rsidRPr="00EF3D75">
        <w:rPr>
          <w:sz w:val="22"/>
          <w:szCs w:val="22"/>
        </w:rPr>
        <w:t xml:space="preserve"> an enforceable right to payment for performance completed to date</w:t>
      </w:r>
      <w:r w:rsidR="00FF4A22">
        <w:rPr>
          <w:sz w:val="22"/>
          <w:szCs w:val="22"/>
        </w:rPr>
        <w:t>,</w:t>
      </w:r>
      <w:r w:rsidRPr="00EF3D75">
        <w:rPr>
          <w:sz w:val="22"/>
          <w:szCs w:val="22"/>
        </w:rPr>
        <w:t xml:space="preserve"> and an asset with alternative use to the entity is not created. Following the examination mentioned above, the Group concluded </w:t>
      </w:r>
      <w:r w:rsidR="00902612">
        <w:rPr>
          <w:sz w:val="22"/>
          <w:szCs w:val="22"/>
        </w:rPr>
        <w:t>that</w:t>
      </w:r>
      <w:r w:rsidRPr="00EF3D75">
        <w:rPr>
          <w:sz w:val="22"/>
          <w:szCs w:val="22"/>
        </w:rPr>
        <w:t xml:space="preserve"> revenue</w:t>
      </w:r>
      <w:r w:rsidR="000C6157">
        <w:rPr>
          <w:sz w:val="22"/>
          <w:szCs w:val="22"/>
        </w:rPr>
        <w:t>s</w:t>
      </w:r>
      <w:r w:rsidRPr="00EF3D75">
        <w:rPr>
          <w:sz w:val="22"/>
          <w:szCs w:val="22"/>
        </w:rPr>
        <w:t xml:space="preserve"> from the sale of residential units will continue to be recognized upon delivery of the units</w:t>
      </w:r>
      <w:r w:rsidR="00A4131F">
        <w:rPr>
          <w:sz w:val="22"/>
          <w:szCs w:val="22"/>
        </w:rPr>
        <w:t xml:space="preserve">, except </w:t>
      </w:r>
      <w:r w:rsidR="000C6157">
        <w:rPr>
          <w:sz w:val="22"/>
          <w:szCs w:val="22"/>
        </w:rPr>
        <w:t xml:space="preserve">in </w:t>
      </w:r>
      <w:r w:rsidR="00A4131F">
        <w:rPr>
          <w:sz w:val="22"/>
          <w:szCs w:val="22"/>
        </w:rPr>
        <w:t xml:space="preserve">Bulgaria, where revenues </w:t>
      </w:r>
      <w:r w:rsidR="000C6157">
        <w:rPr>
          <w:sz w:val="22"/>
          <w:szCs w:val="22"/>
        </w:rPr>
        <w:t>are</w:t>
      </w:r>
      <w:r w:rsidR="00A4131F">
        <w:rPr>
          <w:sz w:val="22"/>
          <w:szCs w:val="22"/>
        </w:rPr>
        <w:t xml:space="preserve"> recognized over time.</w:t>
      </w:r>
    </w:p>
    <w:p w14:paraId="33E261FD" w14:textId="7FF72092" w:rsidR="002F6BE7" w:rsidRDefault="002F6BE7" w:rsidP="00F3679C">
      <w:pPr>
        <w:ind w:left="1440"/>
        <w:jc w:val="both"/>
        <w:rPr>
          <w:sz w:val="22"/>
          <w:szCs w:val="22"/>
        </w:rPr>
      </w:pPr>
    </w:p>
    <w:p w14:paraId="46A96DFC" w14:textId="29765CFD" w:rsidR="00AF2665" w:rsidRDefault="00AF2665">
      <w:pPr>
        <w:rPr>
          <w:sz w:val="22"/>
          <w:szCs w:val="22"/>
        </w:rPr>
      </w:pPr>
      <w:r>
        <w:rPr>
          <w:sz w:val="22"/>
          <w:szCs w:val="22"/>
        </w:rPr>
        <w:br w:type="page"/>
      </w:r>
    </w:p>
    <w:p w14:paraId="7E18849A" w14:textId="286AE1D0" w:rsidR="00E32A9C" w:rsidRPr="00AF2665" w:rsidRDefault="00E32A9C" w:rsidP="00F3679C">
      <w:pPr>
        <w:ind w:left="1440"/>
        <w:jc w:val="both"/>
        <w:rPr>
          <w:sz w:val="22"/>
          <w:szCs w:val="22"/>
        </w:rPr>
      </w:pPr>
    </w:p>
    <w:p w14:paraId="1A16EAA4" w14:textId="77777777" w:rsidR="00E32A9C" w:rsidRPr="00AF2665" w:rsidRDefault="00E32A9C" w:rsidP="00E32A9C">
      <w:pPr>
        <w:rPr>
          <w:b/>
          <w:bCs/>
          <w:sz w:val="22"/>
          <w:szCs w:val="22"/>
        </w:rPr>
      </w:pPr>
      <w:r w:rsidRPr="00AF2665">
        <w:rPr>
          <w:b/>
          <w:bCs/>
          <w:sz w:val="22"/>
          <w:szCs w:val="22"/>
        </w:rPr>
        <w:t>Note 3 - Significant Accounting Policies (cont’d)</w:t>
      </w:r>
    </w:p>
    <w:p w14:paraId="7C34563D" w14:textId="77777777" w:rsidR="00E32A9C" w:rsidRPr="00AF2665" w:rsidRDefault="00E32A9C" w:rsidP="00E32A9C">
      <w:pPr>
        <w:ind w:left="1440"/>
        <w:jc w:val="both"/>
        <w:rPr>
          <w:sz w:val="22"/>
          <w:szCs w:val="22"/>
        </w:rPr>
      </w:pPr>
    </w:p>
    <w:p w14:paraId="7EDD58FE" w14:textId="04AD6878" w:rsidR="00E32A9C" w:rsidRPr="00AF2665" w:rsidRDefault="00E32A9C" w:rsidP="00E32A9C">
      <w:pPr>
        <w:ind w:left="720"/>
        <w:jc w:val="both"/>
        <w:rPr>
          <w:b/>
          <w:bCs/>
          <w:sz w:val="22"/>
          <w:szCs w:val="22"/>
        </w:rPr>
      </w:pPr>
      <w:r w:rsidRPr="00AF2665">
        <w:rPr>
          <w:b/>
          <w:bCs/>
          <w:sz w:val="22"/>
          <w:szCs w:val="22"/>
        </w:rPr>
        <w:t>P.</w:t>
      </w:r>
      <w:r w:rsidRPr="00AF2665">
        <w:rPr>
          <w:b/>
          <w:bCs/>
          <w:sz w:val="22"/>
          <w:szCs w:val="22"/>
        </w:rPr>
        <w:tab/>
        <w:t>Revenue (cont'd)</w:t>
      </w:r>
    </w:p>
    <w:p w14:paraId="0CAC0BC7" w14:textId="77777777" w:rsidR="00E32A9C" w:rsidRPr="00AF2665" w:rsidRDefault="00E32A9C" w:rsidP="00E32A9C">
      <w:pPr>
        <w:ind w:left="1440"/>
        <w:jc w:val="both"/>
        <w:rPr>
          <w:sz w:val="22"/>
          <w:szCs w:val="22"/>
        </w:rPr>
      </w:pPr>
    </w:p>
    <w:p w14:paraId="3F4C7C61" w14:textId="77777777" w:rsidR="00E32A9C" w:rsidRPr="00AF2665" w:rsidRDefault="00E32A9C" w:rsidP="00E32A9C">
      <w:pPr>
        <w:ind w:left="720"/>
        <w:jc w:val="both"/>
        <w:rPr>
          <w:sz w:val="22"/>
          <w:szCs w:val="22"/>
        </w:rPr>
      </w:pPr>
      <w:r w:rsidRPr="00AF2665">
        <w:rPr>
          <w:b/>
          <w:bCs/>
          <w:sz w:val="22"/>
          <w:szCs w:val="22"/>
        </w:rPr>
        <w:t>(2)</w:t>
      </w:r>
      <w:r w:rsidRPr="00AF2665">
        <w:rPr>
          <w:b/>
          <w:bCs/>
          <w:sz w:val="22"/>
          <w:szCs w:val="22"/>
        </w:rPr>
        <w:tab/>
        <w:t>Sale of inventory of real estate and residential apartments (cont’d)</w:t>
      </w:r>
    </w:p>
    <w:p w14:paraId="02CEFE66" w14:textId="77777777" w:rsidR="00E32A9C" w:rsidRPr="00226F27" w:rsidRDefault="00E32A9C" w:rsidP="00F3679C">
      <w:pPr>
        <w:ind w:left="1440"/>
        <w:jc w:val="both"/>
        <w:rPr>
          <w:sz w:val="22"/>
          <w:szCs w:val="22"/>
        </w:rPr>
      </w:pPr>
    </w:p>
    <w:p w14:paraId="1FE7404E" w14:textId="77777777" w:rsidR="00B81DDF" w:rsidRPr="00BB6C8D" w:rsidRDefault="00B81DDF" w:rsidP="000B59AD">
      <w:pPr>
        <w:ind w:left="1440"/>
        <w:jc w:val="both"/>
        <w:outlineLvl w:val="5"/>
        <w:rPr>
          <w:i/>
          <w:iCs/>
          <w:sz w:val="22"/>
          <w:szCs w:val="22"/>
          <w:u w:val="single"/>
        </w:rPr>
      </w:pPr>
      <w:bookmarkStart w:id="99" w:name="H6_Identifying_the_contract_"/>
      <w:r w:rsidRPr="00BB6C8D">
        <w:rPr>
          <w:i/>
          <w:iCs/>
          <w:sz w:val="22"/>
          <w:szCs w:val="22"/>
          <w:u w:val="single"/>
        </w:rPr>
        <w:t xml:space="preserve">Identifying the contract </w:t>
      </w:r>
    </w:p>
    <w:bookmarkEnd w:id="99"/>
    <w:p w14:paraId="059ABEA4" w14:textId="77777777" w:rsidR="00B81DDF" w:rsidRPr="00226F27" w:rsidRDefault="00B81DDF" w:rsidP="00E755D1">
      <w:pPr>
        <w:ind w:left="1440"/>
        <w:jc w:val="both"/>
        <w:rPr>
          <w:sz w:val="22"/>
          <w:szCs w:val="22"/>
        </w:rPr>
      </w:pPr>
      <w:r w:rsidRPr="00226F27">
        <w:rPr>
          <w:sz w:val="22"/>
          <w:szCs w:val="22"/>
        </w:rPr>
        <w:t>The Group accounts for a contract with a customer only when the following conditions are met:</w:t>
      </w:r>
    </w:p>
    <w:p w14:paraId="1C9045F0" w14:textId="77777777" w:rsidR="00B81DDF" w:rsidRPr="00226F27" w:rsidRDefault="00B81DDF" w:rsidP="00C5462B">
      <w:pPr>
        <w:pStyle w:val="af2"/>
        <w:numPr>
          <w:ilvl w:val="0"/>
          <w:numId w:val="11"/>
        </w:numPr>
        <w:jc w:val="both"/>
        <w:rPr>
          <w:sz w:val="22"/>
          <w:szCs w:val="22"/>
        </w:rPr>
      </w:pPr>
      <w:r w:rsidRPr="00226F27">
        <w:rPr>
          <w:sz w:val="22"/>
          <w:szCs w:val="22"/>
        </w:rPr>
        <w:t xml:space="preserve">The parties to the contract have </w:t>
      </w:r>
      <w:proofErr w:type="gramStart"/>
      <w:r w:rsidRPr="00226F27">
        <w:rPr>
          <w:sz w:val="22"/>
          <w:szCs w:val="22"/>
        </w:rPr>
        <w:t>approved</w:t>
      </w:r>
      <w:proofErr w:type="gramEnd"/>
      <w:r w:rsidRPr="00226F27">
        <w:rPr>
          <w:sz w:val="22"/>
          <w:szCs w:val="22"/>
        </w:rPr>
        <w:t xml:space="preserve"> the contract (in writing, orally or according to other customary business practices) and they are committed to satisfying the obligations attributable to </w:t>
      </w:r>
      <w:proofErr w:type="gramStart"/>
      <w:r w:rsidRPr="00226F27">
        <w:rPr>
          <w:sz w:val="22"/>
          <w:szCs w:val="22"/>
        </w:rPr>
        <w:t>them;</w:t>
      </w:r>
      <w:proofErr w:type="gramEnd"/>
    </w:p>
    <w:p w14:paraId="65D7D00B" w14:textId="77777777" w:rsidR="00B81DDF" w:rsidRPr="00226F27" w:rsidRDefault="00B81DDF" w:rsidP="00C5462B">
      <w:pPr>
        <w:pStyle w:val="af2"/>
        <w:numPr>
          <w:ilvl w:val="0"/>
          <w:numId w:val="11"/>
        </w:numPr>
        <w:jc w:val="both"/>
        <w:rPr>
          <w:sz w:val="22"/>
          <w:szCs w:val="22"/>
        </w:rPr>
      </w:pPr>
      <w:r w:rsidRPr="00226F27">
        <w:rPr>
          <w:sz w:val="22"/>
          <w:szCs w:val="22"/>
        </w:rPr>
        <w:t xml:space="preserve">The Group can identify the rights of each party in relation to the goods or services that will be </w:t>
      </w:r>
      <w:proofErr w:type="gramStart"/>
      <w:r w:rsidRPr="00226F27">
        <w:rPr>
          <w:sz w:val="22"/>
          <w:szCs w:val="22"/>
        </w:rPr>
        <w:t>transferred;</w:t>
      </w:r>
      <w:proofErr w:type="gramEnd"/>
    </w:p>
    <w:p w14:paraId="23551741" w14:textId="77777777" w:rsidR="00B81DDF" w:rsidRPr="00226F27" w:rsidRDefault="00B81DDF" w:rsidP="00C5462B">
      <w:pPr>
        <w:pStyle w:val="af2"/>
        <w:numPr>
          <w:ilvl w:val="0"/>
          <w:numId w:val="11"/>
        </w:numPr>
        <w:jc w:val="both"/>
        <w:rPr>
          <w:sz w:val="22"/>
          <w:szCs w:val="22"/>
        </w:rPr>
      </w:pPr>
      <w:r w:rsidRPr="00226F27">
        <w:rPr>
          <w:sz w:val="22"/>
          <w:szCs w:val="22"/>
        </w:rPr>
        <w:t xml:space="preserve">The Group can identify the payment terms for the goods or services that will be </w:t>
      </w:r>
      <w:proofErr w:type="gramStart"/>
      <w:r w:rsidRPr="00226F27">
        <w:rPr>
          <w:sz w:val="22"/>
          <w:szCs w:val="22"/>
        </w:rPr>
        <w:t>transferred;</w:t>
      </w:r>
      <w:proofErr w:type="gramEnd"/>
    </w:p>
    <w:p w14:paraId="1269E99D" w14:textId="77777777" w:rsidR="00B81DDF" w:rsidRPr="00226F27" w:rsidRDefault="00B81DDF" w:rsidP="00C5462B">
      <w:pPr>
        <w:pStyle w:val="af2"/>
        <w:numPr>
          <w:ilvl w:val="0"/>
          <w:numId w:val="11"/>
        </w:numPr>
        <w:jc w:val="both"/>
        <w:rPr>
          <w:sz w:val="22"/>
          <w:szCs w:val="22"/>
        </w:rPr>
      </w:pPr>
      <w:r w:rsidRPr="00226F27">
        <w:rPr>
          <w:sz w:val="22"/>
          <w:szCs w:val="22"/>
        </w:rPr>
        <w:t xml:space="preserve">The contract has a commercial substance (i.e. the risk, timing and amount of the entity’s future cash </w:t>
      </w:r>
      <w:proofErr w:type="gramStart"/>
      <w:r w:rsidRPr="00226F27">
        <w:rPr>
          <w:sz w:val="22"/>
          <w:szCs w:val="22"/>
        </w:rPr>
        <w:t>flows</w:t>
      </w:r>
      <w:proofErr w:type="gramEnd"/>
      <w:r w:rsidRPr="00226F27">
        <w:rPr>
          <w:sz w:val="22"/>
          <w:szCs w:val="22"/>
        </w:rPr>
        <w:t xml:space="preserve"> are expected to change </w:t>
      </w:r>
      <w:proofErr w:type="gramStart"/>
      <w:r w:rsidRPr="00226F27">
        <w:rPr>
          <w:sz w:val="22"/>
          <w:szCs w:val="22"/>
        </w:rPr>
        <w:t>as a result of</w:t>
      </w:r>
      <w:proofErr w:type="gramEnd"/>
      <w:r w:rsidRPr="00226F27">
        <w:rPr>
          <w:sz w:val="22"/>
          <w:szCs w:val="22"/>
        </w:rPr>
        <w:t xml:space="preserve"> the contract); and</w:t>
      </w:r>
    </w:p>
    <w:p w14:paraId="0433ED14" w14:textId="77777777" w:rsidR="00B81DDF" w:rsidRPr="00226F27" w:rsidRDefault="00B81DDF" w:rsidP="00C5462B">
      <w:pPr>
        <w:pStyle w:val="af2"/>
        <w:numPr>
          <w:ilvl w:val="0"/>
          <w:numId w:val="11"/>
        </w:numPr>
        <w:jc w:val="both"/>
        <w:rPr>
          <w:sz w:val="22"/>
          <w:szCs w:val="22"/>
        </w:rPr>
      </w:pPr>
      <w:r w:rsidRPr="00226F27">
        <w:rPr>
          <w:sz w:val="22"/>
          <w:szCs w:val="22"/>
        </w:rPr>
        <w:t xml:space="preserve">It is probable that the </w:t>
      </w:r>
      <w:proofErr w:type="gramStart"/>
      <w:r w:rsidRPr="00226F27">
        <w:rPr>
          <w:sz w:val="22"/>
          <w:szCs w:val="22"/>
        </w:rPr>
        <w:t>consideration,</w:t>
      </w:r>
      <w:proofErr w:type="gramEnd"/>
      <w:r w:rsidRPr="00226F27">
        <w:rPr>
          <w:sz w:val="22"/>
          <w:szCs w:val="22"/>
        </w:rPr>
        <w:t xml:space="preserve"> to which the Group is entitled to in exchange for the goods or services transferred to the customer, will be collected.</w:t>
      </w:r>
    </w:p>
    <w:p w14:paraId="571ABEDA" w14:textId="77777777" w:rsidR="00B81DDF" w:rsidRPr="00226F27" w:rsidRDefault="00B81DDF" w:rsidP="00342EF3">
      <w:pPr>
        <w:ind w:left="1440"/>
        <w:jc w:val="both"/>
        <w:rPr>
          <w:sz w:val="22"/>
          <w:szCs w:val="22"/>
        </w:rPr>
      </w:pPr>
    </w:p>
    <w:p w14:paraId="5311DCE9" w14:textId="0B8D6CF5" w:rsidR="00AA6C4E" w:rsidRDefault="00B81DDF" w:rsidP="007715B5">
      <w:pPr>
        <w:ind w:left="1440"/>
        <w:jc w:val="both"/>
        <w:rPr>
          <w:b/>
          <w:bCs/>
          <w:sz w:val="26"/>
          <w:szCs w:val="26"/>
        </w:rPr>
      </w:pPr>
      <w:r w:rsidRPr="00226F27">
        <w:rPr>
          <w:sz w:val="22"/>
          <w:szCs w:val="22"/>
          <w:lang w:val="en"/>
        </w:rPr>
        <w:t>If a contract with a customer does not meet all of the above criteria, consideration received from the customer is recognized as a liability until the criteria are met or when one of the following events occurs: the Group has no remaining obligations to transfer goods or services to the customer and any consideration promised by the customer has been received and cannot be returned; or the contract has been terminated and the consideration received from the customer cannot be refunded.</w:t>
      </w:r>
    </w:p>
    <w:p w14:paraId="23BCA5DD" w14:textId="77777777" w:rsidR="00B81DDF" w:rsidRPr="00440C55" w:rsidRDefault="00B81DDF" w:rsidP="009F2E6B">
      <w:pPr>
        <w:ind w:left="1440"/>
        <w:jc w:val="both"/>
        <w:rPr>
          <w:sz w:val="22"/>
          <w:szCs w:val="22"/>
        </w:rPr>
      </w:pPr>
    </w:p>
    <w:p w14:paraId="1733C370" w14:textId="77777777" w:rsidR="00F3679C" w:rsidRPr="00226F27" w:rsidRDefault="00F3679C" w:rsidP="000B59AD">
      <w:pPr>
        <w:ind w:left="1440"/>
        <w:jc w:val="both"/>
        <w:outlineLvl w:val="5"/>
        <w:rPr>
          <w:i/>
          <w:iCs/>
          <w:sz w:val="22"/>
          <w:szCs w:val="22"/>
          <w:u w:val="single"/>
          <w:lang w:val="en"/>
        </w:rPr>
      </w:pPr>
      <w:bookmarkStart w:id="100" w:name="H6_Identifying_performance_obligations"/>
      <w:r w:rsidRPr="00226F27">
        <w:rPr>
          <w:i/>
          <w:iCs/>
          <w:sz w:val="22"/>
          <w:szCs w:val="22"/>
          <w:u w:val="single"/>
          <w:lang w:val="en"/>
        </w:rPr>
        <w:t>Identifying performance obligations</w:t>
      </w:r>
    </w:p>
    <w:bookmarkEnd w:id="100"/>
    <w:p w14:paraId="37DD6359" w14:textId="77777777" w:rsidR="00F3679C" w:rsidRPr="00226F27" w:rsidRDefault="00F3679C" w:rsidP="00F3679C">
      <w:pPr>
        <w:ind w:left="1440"/>
        <w:jc w:val="both"/>
        <w:rPr>
          <w:sz w:val="22"/>
          <w:szCs w:val="22"/>
          <w:lang w:val="en"/>
        </w:rPr>
      </w:pPr>
      <w:r w:rsidRPr="00226F27">
        <w:rPr>
          <w:sz w:val="22"/>
          <w:szCs w:val="22"/>
          <w:lang w:val="en"/>
        </w:rPr>
        <w:t xml:space="preserve">On the contract’s inception </w:t>
      </w:r>
      <w:proofErr w:type="gramStart"/>
      <w:r w:rsidRPr="00226F27">
        <w:rPr>
          <w:sz w:val="22"/>
          <w:szCs w:val="22"/>
          <w:lang w:val="en"/>
        </w:rPr>
        <w:t>date</w:t>
      </w:r>
      <w:proofErr w:type="gramEnd"/>
      <w:r w:rsidRPr="00226F27">
        <w:rPr>
          <w:sz w:val="22"/>
          <w:szCs w:val="22"/>
          <w:lang w:val="en"/>
        </w:rPr>
        <w:t xml:space="preserve"> the Group assesses the goods or services promised in the contract with the customer and identifies as a performance obligation any promise to transfer to the customer one of the following:</w:t>
      </w:r>
    </w:p>
    <w:p w14:paraId="433927FF" w14:textId="77777777" w:rsidR="00F3679C" w:rsidRPr="00226F27" w:rsidRDefault="00F3679C" w:rsidP="00F3679C">
      <w:pPr>
        <w:ind w:left="1440"/>
        <w:jc w:val="both"/>
        <w:rPr>
          <w:sz w:val="22"/>
          <w:szCs w:val="22"/>
          <w:lang w:val="en"/>
        </w:rPr>
      </w:pPr>
      <w:r w:rsidRPr="00226F27">
        <w:rPr>
          <w:sz w:val="22"/>
          <w:szCs w:val="22"/>
          <w:lang w:val="en"/>
        </w:rPr>
        <w:t>(a) Goods or services (or a bundle of goods or services) that are distinct; or</w:t>
      </w:r>
    </w:p>
    <w:p w14:paraId="02C0333D" w14:textId="77777777" w:rsidR="00B81DDF" w:rsidRPr="00226F27" w:rsidRDefault="00F3679C" w:rsidP="00F3679C">
      <w:pPr>
        <w:ind w:left="1440"/>
        <w:jc w:val="both"/>
        <w:rPr>
          <w:sz w:val="22"/>
          <w:szCs w:val="22"/>
          <w:lang w:val="en"/>
        </w:rPr>
      </w:pPr>
      <w:r w:rsidRPr="00226F27">
        <w:rPr>
          <w:sz w:val="22"/>
          <w:szCs w:val="22"/>
          <w:lang w:val="en"/>
        </w:rPr>
        <w:t>(b) A series of distinct goods or services that are substantially the same and have the same pattern of transfer to the customer.</w:t>
      </w:r>
    </w:p>
    <w:p w14:paraId="516D3377" w14:textId="77777777" w:rsidR="00905F38" w:rsidRDefault="00905F38" w:rsidP="007715B5">
      <w:pPr>
        <w:jc w:val="both"/>
        <w:rPr>
          <w:sz w:val="22"/>
          <w:szCs w:val="22"/>
        </w:rPr>
      </w:pPr>
    </w:p>
    <w:p w14:paraId="227A5738" w14:textId="716D7B88" w:rsidR="00F3679C" w:rsidRPr="00226F27" w:rsidRDefault="005266C9" w:rsidP="00F3679C">
      <w:pPr>
        <w:ind w:left="1440"/>
        <w:jc w:val="both"/>
        <w:rPr>
          <w:sz w:val="22"/>
          <w:szCs w:val="22"/>
        </w:rPr>
      </w:pPr>
      <w:r w:rsidRPr="00226F27">
        <w:rPr>
          <w:sz w:val="22"/>
          <w:szCs w:val="22"/>
        </w:rPr>
        <w:t>In the entrepreneurial real estate sector, following an examination of the existing performance obligations in contracts with customers for the sale of apartments, the Group has identified one performance obligation in each contract with a customer.</w:t>
      </w:r>
    </w:p>
    <w:p w14:paraId="4A70D1B1" w14:textId="77777777" w:rsidR="005266C9" w:rsidRPr="00226F27" w:rsidRDefault="005266C9" w:rsidP="00F3679C">
      <w:pPr>
        <w:ind w:left="1440"/>
        <w:jc w:val="both"/>
        <w:rPr>
          <w:sz w:val="22"/>
          <w:szCs w:val="22"/>
        </w:rPr>
      </w:pPr>
    </w:p>
    <w:p w14:paraId="652955AE" w14:textId="77777777" w:rsidR="00F3679C" w:rsidRPr="00226F27" w:rsidRDefault="00F3679C" w:rsidP="000B59AD">
      <w:pPr>
        <w:ind w:left="1440"/>
        <w:jc w:val="both"/>
        <w:outlineLvl w:val="5"/>
        <w:rPr>
          <w:i/>
          <w:iCs/>
          <w:sz w:val="22"/>
          <w:szCs w:val="22"/>
          <w:u w:val="single"/>
          <w:lang w:val="en"/>
        </w:rPr>
      </w:pPr>
      <w:bookmarkStart w:id="101" w:name="H6_Determining_the_transaction_price"/>
      <w:r w:rsidRPr="00226F27">
        <w:rPr>
          <w:i/>
          <w:iCs/>
          <w:sz w:val="22"/>
          <w:szCs w:val="22"/>
          <w:u w:val="single"/>
          <w:lang w:val="en"/>
        </w:rPr>
        <w:t>Determining the transaction price</w:t>
      </w:r>
    </w:p>
    <w:bookmarkEnd w:id="101"/>
    <w:p w14:paraId="7DC8E101" w14:textId="77777777" w:rsidR="00F3679C" w:rsidRPr="00226F27" w:rsidRDefault="00F3679C" w:rsidP="00F3679C">
      <w:pPr>
        <w:ind w:left="1440"/>
        <w:jc w:val="both"/>
        <w:rPr>
          <w:sz w:val="22"/>
          <w:szCs w:val="22"/>
          <w:lang w:val="en"/>
        </w:rPr>
      </w:pPr>
      <w:r w:rsidRPr="00226F27">
        <w:rPr>
          <w:sz w:val="22"/>
          <w:szCs w:val="22"/>
          <w:lang w:val="en"/>
        </w:rPr>
        <w:t xml:space="preserve">The transaction price is the amount of </w:t>
      </w:r>
      <w:proofErr w:type="gramStart"/>
      <w:r w:rsidRPr="00226F27">
        <w:rPr>
          <w:sz w:val="22"/>
          <w:szCs w:val="22"/>
          <w:lang w:val="en"/>
        </w:rPr>
        <w:t>the consideration</w:t>
      </w:r>
      <w:proofErr w:type="gramEnd"/>
      <w:r w:rsidRPr="00226F27">
        <w:rPr>
          <w:sz w:val="22"/>
          <w:szCs w:val="22"/>
          <w:lang w:val="en"/>
        </w:rPr>
        <w:t xml:space="preserve"> to which the Group expects to be entitled in exchange for the goods or services promised to the customer, other than amounts collected for third parties. The Group </w:t>
      </w:r>
      <w:proofErr w:type="gramStart"/>
      <w:r w:rsidRPr="00226F27">
        <w:rPr>
          <w:sz w:val="22"/>
          <w:szCs w:val="22"/>
          <w:lang w:val="en"/>
        </w:rPr>
        <w:t>takes into account</w:t>
      </w:r>
      <w:proofErr w:type="gramEnd"/>
      <w:r w:rsidRPr="00226F27">
        <w:rPr>
          <w:sz w:val="22"/>
          <w:szCs w:val="22"/>
          <w:lang w:val="en"/>
        </w:rPr>
        <w:t xml:space="preserve"> the effects of all the following elements when determining the transaction price: variable consideration, the existence of a significant financing component, non-cash consideration, and consideration payable to the customer.</w:t>
      </w:r>
    </w:p>
    <w:p w14:paraId="1E6CD9AD" w14:textId="77777777" w:rsidR="00342EF3" w:rsidRPr="00226F27" w:rsidRDefault="00342EF3" w:rsidP="00342EF3">
      <w:pPr>
        <w:ind w:left="1440"/>
        <w:jc w:val="both"/>
        <w:rPr>
          <w:spacing w:val="-2"/>
          <w:sz w:val="22"/>
          <w:szCs w:val="22"/>
          <w:lang w:val="en"/>
        </w:rPr>
      </w:pPr>
    </w:p>
    <w:p w14:paraId="7510E554" w14:textId="77777777" w:rsidR="00342EF3" w:rsidRPr="00226F27" w:rsidRDefault="00342EF3" w:rsidP="000B59AD">
      <w:pPr>
        <w:ind w:left="1440"/>
        <w:jc w:val="both"/>
        <w:outlineLvl w:val="5"/>
        <w:rPr>
          <w:i/>
          <w:iCs/>
          <w:sz w:val="22"/>
          <w:szCs w:val="22"/>
          <w:u w:val="single"/>
          <w:lang w:val="en"/>
        </w:rPr>
      </w:pPr>
      <w:bookmarkStart w:id="102" w:name="H6_Satisfaction_of_performance_obligatio"/>
      <w:r w:rsidRPr="00226F27">
        <w:rPr>
          <w:i/>
          <w:iCs/>
          <w:sz w:val="22"/>
          <w:szCs w:val="22"/>
          <w:u w:val="single"/>
          <w:lang w:val="en"/>
        </w:rPr>
        <w:t>Satisfaction of performance obligations</w:t>
      </w:r>
    </w:p>
    <w:bookmarkEnd w:id="102"/>
    <w:p w14:paraId="243AB7D6" w14:textId="77777777" w:rsidR="00342EF3" w:rsidRPr="00226F27" w:rsidRDefault="00342EF3" w:rsidP="00342EF3">
      <w:pPr>
        <w:ind w:left="1440"/>
        <w:jc w:val="both"/>
        <w:rPr>
          <w:sz w:val="22"/>
          <w:szCs w:val="22"/>
          <w:lang w:val="en"/>
        </w:rPr>
      </w:pPr>
      <w:r w:rsidRPr="00226F27">
        <w:rPr>
          <w:sz w:val="22"/>
          <w:szCs w:val="22"/>
          <w:lang w:val="en"/>
        </w:rPr>
        <w:t xml:space="preserve">Revenue is recognized when the Group satisfies a performance obligation by transferring to </w:t>
      </w:r>
      <w:proofErr w:type="gramStart"/>
      <w:r w:rsidRPr="00226F27">
        <w:rPr>
          <w:sz w:val="22"/>
          <w:szCs w:val="22"/>
          <w:lang w:val="en"/>
        </w:rPr>
        <w:t>the customer</w:t>
      </w:r>
      <w:proofErr w:type="gramEnd"/>
      <w:r w:rsidRPr="00226F27">
        <w:rPr>
          <w:sz w:val="22"/>
          <w:szCs w:val="22"/>
          <w:lang w:val="en"/>
        </w:rPr>
        <w:t xml:space="preserve"> control over promised goods or services.</w:t>
      </w:r>
    </w:p>
    <w:p w14:paraId="32C500DC" w14:textId="77777777" w:rsidR="002F6BE7" w:rsidRDefault="00342EF3" w:rsidP="00342EF3">
      <w:pPr>
        <w:ind w:left="1440"/>
        <w:jc w:val="both"/>
        <w:rPr>
          <w:sz w:val="22"/>
          <w:szCs w:val="22"/>
          <w:lang w:val="en"/>
        </w:rPr>
      </w:pPr>
      <w:r w:rsidRPr="00226F27">
        <w:rPr>
          <w:sz w:val="22"/>
          <w:szCs w:val="22"/>
          <w:lang w:val="en"/>
        </w:rPr>
        <w:t xml:space="preserve">In the international entrepreneurial real estate sector, based on the sale contracts with the customers, the provisions of local law and additional commercial characteristics in the countries in which the Group operates, as well as </w:t>
      </w:r>
      <w:proofErr w:type="gramStart"/>
      <w:r w:rsidRPr="00226F27">
        <w:rPr>
          <w:sz w:val="22"/>
          <w:szCs w:val="22"/>
          <w:lang w:val="en"/>
        </w:rPr>
        <w:t>on the basis of</w:t>
      </w:r>
      <w:proofErr w:type="gramEnd"/>
      <w:r w:rsidRPr="00226F27">
        <w:rPr>
          <w:sz w:val="22"/>
          <w:szCs w:val="22"/>
          <w:lang w:val="en"/>
        </w:rPr>
        <w:t xml:space="preserve"> legal opinions, the Group has reached the</w:t>
      </w:r>
    </w:p>
    <w:p w14:paraId="2BDC79AA" w14:textId="1CCAEE04" w:rsidR="00C52BA0" w:rsidRDefault="00C52BA0">
      <w:pPr>
        <w:rPr>
          <w:i/>
          <w:iCs/>
          <w:sz w:val="22"/>
          <w:szCs w:val="22"/>
          <w:u w:val="single"/>
          <w:lang w:val="en"/>
        </w:rPr>
      </w:pPr>
      <w:r>
        <w:rPr>
          <w:i/>
          <w:iCs/>
          <w:sz w:val="22"/>
          <w:szCs w:val="22"/>
          <w:u w:val="single"/>
          <w:lang w:val="en"/>
        </w:rPr>
        <w:br w:type="page"/>
      </w:r>
    </w:p>
    <w:p w14:paraId="4FBC1F85" w14:textId="77777777" w:rsidR="00AF2665" w:rsidRPr="00AF2665" w:rsidRDefault="00AF2665" w:rsidP="00A14B4C">
      <w:pPr>
        <w:ind w:left="1440"/>
        <w:jc w:val="both"/>
        <w:rPr>
          <w:i/>
          <w:iCs/>
          <w:sz w:val="22"/>
          <w:szCs w:val="22"/>
          <w:u w:val="single"/>
          <w:lang w:val="en"/>
        </w:rPr>
      </w:pPr>
    </w:p>
    <w:p w14:paraId="6EBD7967" w14:textId="77777777" w:rsidR="00E32A9C" w:rsidRPr="00AF2665" w:rsidRDefault="00E32A9C" w:rsidP="00E32A9C">
      <w:pPr>
        <w:rPr>
          <w:b/>
          <w:bCs/>
          <w:sz w:val="22"/>
          <w:szCs w:val="22"/>
        </w:rPr>
      </w:pPr>
      <w:r w:rsidRPr="00AF2665">
        <w:rPr>
          <w:b/>
          <w:bCs/>
          <w:sz w:val="22"/>
          <w:szCs w:val="22"/>
        </w:rPr>
        <w:t>Note 3 - Significant Accounting Policies (cont’d)</w:t>
      </w:r>
    </w:p>
    <w:p w14:paraId="29FC2DB0" w14:textId="77777777" w:rsidR="00E32A9C" w:rsidRPr="00AF2665" w:rsidRDefault="00E32A9C" w:rsidP="00E32A9C">
      <w:pPr>
        <w:ind w:left="1440"/>
        <w:jc w:val="both"/>
        <w:rPr>
          <w:sz w:val="22"/>
          <w:szCs w:val="22"/>
        </w:rPr>
      </w:pPr>
    </w:p>
    <w:p w14:paraId="4A718B49" w14:textId="77777777" w:rsidR="00E32A9C" w:rsidRPr="00AF2665" w:rsidRDefault="00E32A9C" w:rsidP="00E32A9C">
      <w:pPr>
        <w:ind w:left="720"/>
        <w:jc w:val="both"/>
        <w:rPr>
          <w:b/>
          <w:bCs/>
          <w:sz w:val="22"/>
          <w:szCs w:val="22"/>
        </w:rPr>
      </w:pPr>
      <w:r w:rsidRPr="00AF2665">
        <w:rPr>
          <w:b/>
          <w:bCs/>
          <w:sz w:val="22"/>
          <w:szCs w:val="22"/>
        </w:rPr>
        <w:t>P.</w:t>
      </w:r>
      <w:r w:rsidRPr="00AF2665">
        <w:rPr>
          <w:b/>
          <w:bCs/>
          <w:sz w:val="22"/>
          <w:szCs w:val="22"/>
        </w:rPr>
        <w:tab/>
        <w:t>Revenue (cont'd)</w:t>
      </w:r>
    </w:p>
    <w:p w14:paraId="00F93AE7" w14:textId="77777777" w:rsidR="00E32A9C" w:rsidRPr="00AF2665" w:rsidRDefault="00E32A9C" w:rsidP="00E32A9C">
      <w:pPr>
        <w:ind w:left="1440"/>
        <w:jc w:val="both"/>
        <w:rPr>
          <w:sz w:val="22"/>
          <w:szCs w:val="22"/>
        </w:rPr>
      </w:pPr>
    </w:p>
    <w:p w14:paraId="7455590D" w14:textId="77777777" w:rsidR="00E32A9C" w:rsidRPr="00AF2665" w:rsidRDefault="00E32A9C" w:rsidP="00E32A9C">
      <w:pPr>
        <w:ind w:left="720"/>
        <w:jc w:val="both"/>
        <w:rPr>
          <w:sz w:val="22"/>
          <w:szCs w:val="22"/>
        </w:rPr>
      </w:pPr>
      <w:r w:rsidRPr="00AF2665">
        <w:rPr>
          <w:b/>
          <w:bCs/>
          <w:sz w:val="22"/>
          <w:szCs w:val="22"/>
        </w:rPr>
        <w:t>(2)</w:t>
      </w:r>
      <w:r w:rsidRPr="00AF2665">
        <w:rPr>
          <w:b/>
          <w:bCs/>
          <w:sz w:val="22"/>
          <w:szCs w:val="22"/>
        </w:rPr>
        <w:tab/>
        <w:t>Sale of inventory of real estate and residential apartments (cont’d)</w:t>
      </w:r>
    </w:p>
    <w:p w14:paraId="11ADFCFB" w14:textId="77777777" w:rsidR="00E32A9C" w:rsidRPr="007715B5" w:rsidRDefault="00E32A9C" w:rsidP="00A14B4C">
      <w:pPr>
        <w:ind w:left="1440"/>
        <w:jc w:val="both"/>
        <w:rPr>
          <w:i/>
          <w:iCs/>
          <w:sz w:val="22"/>
          <w:szCs w:val="22"/>
          <w:u w:val="single"/>
        </w:rPr>
      </w:pPr>
    </w:p>
    <w:p w14:paraId="3557FA36" w14:textId="67B479B5" w:rsidR="00A14B4C" w:rsidRPr="00226F27" w:rsidRDefault="00A14B4C" w:rsidP="00CB5368">
      <w:pPr>
        <w:ind w:left="1440"/>
        <w:jc w:val="both"/>
        <w:rPr>
          <w:i/>
          <w:iCs/>
          <w:sz w:val="22"/>
          <w:szCs w:val="22"/>
          <w:u w:val="single"/>
          <w:lang w:val="en"/>
        </w:rPr>
      </w:pPr>
      <w:r w:rsidRPr="00226F27">
        <w:rPr>
          <w:i/>
          <w:iCs/>
          <w:sz w:val="22"/>
          <w:szCs w:val="22"/>
          <w:u w:val="single"/>
          <w:lang w:val="en"/>
        </w:rPr>
        <w:t>Satisfaction of performance obligations</w:t>
      </w:r>
      <w:r>
        <w:rPr>
          <w:i/>
          <w:iCs/>
          <w:sz w:val="22"/>
          <w:szCs w:val="22"/>
          <w:u w:val="single"/>
          <w:lang w:val="en"/>
        </w:rPr>
        <w:t xml:space="preserve"> (cont'd)</w:t>
      </w:r>
    </w:p>
    <w:p w14:paraId="26DA4DCB" w14:textId="77777777" w:rsidR="00A14B4C" w:rsidRDefault="00A14B4C" w:rsidP="00342EF3">
      <w:pPr>
        <w:ind w:left="1440"/>
        <w:jc w:val="both"/>
        <w:rPr>
          <w:sz w:val="22"/>
          <w:szCs w:val="22"/>
          <w:lang w:val="en"/>
        </w:rPr>
      </w:pPr>
    </w:p>
    <w:p w14:paraId="592D48C4" w14:textId="77777777" w:rsidR="00D0445F" w:rsidRDefault="00D0445F" w:rsidP="00D0445F">
      <w:pPr>
        <w:ind w:left="1440"/>
        <w:jc w:val="both"/>
        <w:rPr>
          <w:sz w:val="22"/>
          <w:szCs w:val="22"/>
          <w:lang w:val="en"/>
        </w:rPr>
      </w:pPr>
      <w:r w:rsidRPr="00226F27">
        <w:rPr>
          <w:sz w:val="22"/>
          <w:szCs w:val="22"/>
          <w:lang w:val="en"/>
        </w:rPr>
        <w:t xml:space="preserve">conclusion that it does not have an enforceable right to payment for performance completed to date </w:t>
      </w:r>
      <w:proofErr w:type="gramStart"/>
      <w:r w:rsidRPr="00226F27">
        <w:rPr>
          <w:sz w:val="22"/>
          <w:szCs w:val="22"/>
          <w:lang w:val="en"/>
        </w:rPr>
        <w:t>and also</w:t>
      </w:r>
      <w:proofErr w:type="gramEnd"/>
      <w:r w:rsidRPr="00226F27">
        <w:rPr>
          <w:sz w:val="22"/>
          <w:szCs w:val="22"/>
          <w:lang w:val="en"/>
        </w:rPr>
        <w:t xml:space="preserve"> that the asset is not controlled by the customer while it is being created. </w:t>
      </w:r>
    </w:p>
    <w:p w14:paraId="6976AA52" w14:textId="77777777" w:rsidR="00D0445F" w:rsidRDefault="00D0445F" w:rsidP="00342EF3">
      <w:pPr>
        <w:ind w:left="1440"/>
        <w:jc w:val="both"/>
        <w:rPr>
          <w:sz w:val="22"/>
          <w:szCs w:val="22"/>
          <w:lang w:val="en"/>
        </w:rPr>
      </w:pPr>
    </w:p>
    <w:p w14:paraId="75696364" w14:textId="394D670A" w:rsidR="00342EF3" w:rsidRPr="00226F27" w:rsidRDefault="00342EF3" w:rsidP="00342EF3">
      <w:pPr>
        <w:ind w:left="1440"/>
        <w:jc w:val="both"/>
        <w:rPr>
          <w:sz w:val="22"/>
          <w:szCs w:val="22"/>
        </w:rPr>
      </w:pPr>
      <w:r w:rsidRPr="00226F27">
        <w:rPr>
          <w:sz w:val="22"/>
          <w:szCs w:val="22"/>
          <w:lang w:val="en"/>
        </w:rPr>
        <w:t xml:space="preserve">Therefore, the Group satisfies the performance obligation at a point in time. </w:t>
      </w:r>
      <w:r w:rsidR="004C52A4" w:rsidRPr="00226F27">
        <w:rPr>
          <w:sz w:val="22"/>
          <w:szCs w:val="22"/>
        </w:rPr>
        <w:t>Meaning, revenue will continue to be recognized at a point in time.</w:t>
      </w:r>
    </w:p>
    <w:p w14:paraId="6716E13F" w14:textId="77777777" w:rsidR="00342EF3" w:rsidRPr="00226F27" w:rsidRDefault="00342EF3" w:rsidP="00342EF3">
      <w:pPr>
        <w:ind w:left="1440"/>
        <w:jc w:val="both"/>
        <w:rPr>
          <w:sz w:val="22"/>
          <w:szCs w:val="22"/>
          <w:lang w:val="en"/>
        </w:rPr>
      </w:pPr>
    </w:p>
    <w:p w14:paraId="73CC19B5" w14:textId="77777777" w:rsidR="00342EF3" w:rsidRPr="00226F27" w:rsidRDefault="00342EF3" w:rsidP="00342EF3">
      <w:pPr>
        <w:ind w:left="1440"/>
        <w:jc w:val="both"/>
        <w:rPr>
          <w:sz w:val="22"/>
          <w:szCs w:val="22"/>
          <w:lang w:val="en"/>
        </w:rPr>
      </w:pPr>
      <w:proofErr w:type="gramStart"/>
      <w:r w:rsidRPr="00226F27">
        <w:rPr>
          <w:sz w:val="22"/>
          <w:szCs w:val="22"/>
          <w:lang w:val="en"/>
        </w:rPr>
        <w:t>In order to</w:t>
      </w:r>
      <w:proofErr w:type="gramEnd"/>
      <w:r w:rsidRPr="00226F27">
        <w:rPr>
          <w:sz w:val="22"/>
          <w:szCs w:val="22"/>
          <w:lang w:val="en"/>
        </w:rPr>
        <w:t xml:space="preserve"> determine the </w:t>
      </w:r>
      <w:proofErr w:type="gramStart"/>
      <w:r w:rsidRPr="00226F27">
        <w:rPr>
          <w:sz w:val="22"/>
          <w:szCs w:val="22"/>
          <w:lang w:val="en"/>
        </w:rPr>
        <w:t>point in time</w:t>
      </w:r>
      <w:proofErr w:type="gramEnd"/>
      <w:r w:rsidRPr="00226F27">
        <w:rPr>
          <w:sz w:val="22"/>
          <w:szCs w:val="22"/>
          <w:lang w:val="en"/>
        </w:rPr>
        <w:t xml:space="preserve"> at which the customer obtains control over the promised asset, the Group takes into account indications that control has been transferred, which include but are not limited to the following indications:</w:t>
      </w:r>
    </w:p>
    <w:p w14:paraId="78031D33" w14:textId="77777777" w:rsidR="00342EF3" w:rsidRPr="00226F27" w:rsidRDefault="00342EF3" w:rsidP="00C5462B">
      <w:pPr>
        <w:pStyle w:val="af2"/>
        <w:numPr>
          <w:ilvl w:val="0"/>
          <w:numId w:val="12"/>
        </w:numPr>
        <w:jc w:val="both"/>
        <w:rPr>
          <w:sz w:val="22"/>
          <w:szCs w:val="22"/>
        </w:rPr>
      </w:pPr>
      <w:r w:rsidRPr="00226F27">
        <w:rPr>
          <w:sz w:val="22"/>
          <w:szCs w:val="22"/>
        </w:rPr>
        <w:t>The Group has a present right to payment for the asset.</w:t>
      </w:r>
    </w:p>
    <w:p w14:paraId="2A8435D3" w14:textId="77777777" w:rsidR="00342EF3" w:rsidRPr="00226F27" w:rsidRDefault="00342EF3" w:rsidP="00C5462B">
      <w:pPr>
        <w:pStyle w:val="af2"/>
        <w:numPr>
          <w:ilvl w:val="0"/>
          <w:numId w:val="12"/>
        </w:numPr>
        <w:jc w:val="both"/>
        <w:rPr>
          <w:sz w:val="22"/>
          <w:szCs w:val="22"/>
        </w:rPr>
      </w:pPr>
      <w:r w:rsidRPr="00226F27">
        <w:rPr>
          <w:sz w:val="22"/>
          <w:szCs w:val="22"/>
        </w:rPr>
        <w:t>The customer has legal title to the asset.</w:t>
      </w:r>
    </w:p>
    <w:p w14:paraId="2D11A2B7" w14:textId="3E4596DC" w:rsidR="00342EF3" w:rsidRPr="00226F27" w:rsidRDefault="00342EF3" w:rsidP="00C5462B">
      <w:pPr>
        <w:pStyle w:val="af2"/>
        <w:numPr>
          <w:ilvl w:val="0"/>
          <w:numId w:val="12"/>
        </w:numPr>
        <w:jc w:val="both"/>
        <w:rPr>
          <w:sz w:val="22"/>
          <w:szCs w:val="22"/>
        </w:rPr>
      </w:pPr>
      <w:r w:rsidRPr="00226F27">
        <w:rPr>
          <w:sz w:val="22"/>
          <w:szCs w:val="22"/>
        </w:rPr>
        <w:t>The entity has transferred physical possession of the asset</w:t>
      </w:r>
      <w:r w:rsidR="006210F5">
        <w:rPr>
          <w:sz w:val="22"/>
          <w:szCs w:val="22"/>
        </w:rPr>
        <w:t>.</w:t>
      </w:r>
    </w:p>
    <w:p w14:paraId="189C0FC3" w14:textId="0EB95B4E" w:rsidR="00342EF3" w:rsidRPr="00226F27" w:rsidRDefault="00342EF3" w:rsidP="00C5462B">
      <w:pPr>
        <w:pStyle w:val="af2"/>
        <w:numPr>
          <w:ilvl w:val="0"/>
          <w:numId w:val="12"/>
        </w:numPr>
        <w:jc w:val="both"/>
        <w:rPr>
          <w:sz w:val="22"/>
          <w:szCs w:val="22"/>
        </w:rPr>
      </w:pPr>
      <w:r w:rsidRPr="00226F27">
        <w:rPr>
          <w:sz w:val="22"/>
          <w:szCs w:val="22"/>
        </w:rPr>
        <w:t xml:space="preserve">The customer has </w:t>
      </w:r>
      <w:proofErr w:type="gramStart"/>
      <w:r w:rsidRPr="00226F27">
        <w:rPr>
          <w:sz w:val="22"/>
          <w:szCs w:val="22"/>
        </w:rPr>
        <w:t>the significant</w:t>
      </w:r>
      <w:proofErr w:type="gramEnd"/>
      <w:r w:rsidRPr="00226F27">
        <w:rPr>
          <w:sz w:val="22"/>
          <w:szCs w:val="22"/>
        </w:rPr>
        <w:t xml:space="preserve"> risks and rewards related to the ownership of the asset</w:t>
      </w:r>
      <w:r w:rsidR="006210F5">
        <w:rPr>
          <w:sz w:val="22"/>
          <w:szCs w:val="22"/>
        </w:rPr>
        <w:t>.</w:t>
      </w:r>
    </w:p>
    <w:p w14:paraId="3615780B" w14:textId="77777777" w:rsidR="00342EF3" w:rsidRPr="00226F27" w:rsidRDefault="00342EF3" w:rsidP="00C5462B">
      <w:pPr>
        <w:pStyle w:val="af2"/>
        <w:numPr>
          <w:ilvl w:val="0"/>
          <w:numId w:val="12"/>
        </w:numPr>
        <w:jc w:val="both"/>
        <w:rPr>
          <w:sz w:val="22"/>
          <w:szCs w:val="22"/>
        </w:rPr>
      </w:pPr>
      <w:r w:rsidRPr="00226F27">
        <w:rPr>
          <w:sz w:val="22"/>
          <w:szCs w:val="22"/>
        </w:rPr>
        <w:t>The customer has accepted the asset.</w:t>
      </w:r>
    </w:p>
    <w:p w14:paraId="70AB0D6B" w14:textId="77777777" w:rsidR="00342EF3" w:rsidRPr="00226F27" w:rsidRDefault="00342EF3" w:rsidP="00342EF3">
      <w:pPr>
        <w:ind w:left="1440"/>
        <w:jc w:val="both"/>
        <w:rPr>
          <w:sz w:val="22"/>
          <w:szCs w:val="22"/>
          <w:lang w:val="en"/>
        </w:rPr>
      </w:pPr>
    </w:p>
    <w:p w14:paraId="6D2EB063" w14:textId="610CA60D" w:rsidR="00342EF3" w:rsidRPr="00226F27" w:rsidRDefault="00342EF3" w:rsidP="004C52A4">
      <w:pPr>
        <w:ind w:left="1440"/>
        <w:jc w:val="both"/>
        <w:rPr>
          <w:sz w:val="22"/>
          <w:szCs w:val="22"/>
          <w:lang w:val="en"/>
        </w:rPr>
      </w:pPr>
      <w:r w:rsidRPr="00226F27">
        <w:rPr>
          <w:sz w:val="22"/>
          <w:szCs w:val="22"/>
          <w:lang w:val="en"/>
        </w:rPr>
        <w:t xml:space="preserve">Accordingly, control over the </w:t>
      </w:r>
      <w:r w:rsidR="004C52A4" w:rsidRPr="00226F27">
        <w:rPr>
          <w:sz w:val="22"/>
          <w:szCs w:val="22"/>
          <w:lang w:val="en"/>
        </w:rPr>
        <w:t>residential unit</w:t>
      </w:r>
      <w:r w:rsidRPr="00226F27">
        <w:rPr>
          <w:sz w:val="22"/>
          <w:szCs w:val="22"/>
          <w:lang w:val="en"/>
        </w:rPr>
        <w:t xml:space="preserve"> is transferred at a point in time</w:t>
      </w:r>
      <w:r w:rsidR="004C52A4" w:rsidRPr="00226F27">
        <w:rPr>
          <w:sz w:val="22"/>
          <w:szCs w:val="22"/>
          <w:lang w:val="en"/>
        </w:rPr>
        <w:t xml:space="preserve">, </w:t>
      </w:r>
      <w:r w:rsidRPr="00226F27">
        <w:rPr>
          <w:sz w:val="22"/>
          <w:szCs w:val="22"/>
          <w:lang w:val="en"/>
        </w:rPr>
        <w:t xml:space="preserve">and revenue is recognized </w:t>
      </w:r>
      <w:r w:rsidR="004C52A4" w:rsidRPr="00226F27">
        <w:rPr>
          <w:sz w:val="22"/>
          <w:szCs w:val="22"/>
          <w:lang w:val="en"/>
        </w:rPr>
        <w:t xml:space="preserve">upon the delivery of the unit to the customer. </w:t>
      </w:r>
    </w:p>
    <w:p w14:paraId="3331C32C" w14:textId="77777777" w:rsidR="00342EF3" w:rsidRPr="00440C55" w:rsidRDefault="00342EF3" w:rsidP="00F3679C">
      <w:pPr>
        <w:ind w:left="1440"/>
        <w:jc w:val="both"/>
        <w:rPr>
          <w:spacing w:val="-2"/>
          <w:sz w:val="22"/>
          <w:szCs w:val="22"/>
        </w:rPr>
      </w:pPr>
    </w:p>
    <w:p w14:paraId="1719368B" w14:textId="1AFD1D61" w:rsidR="008A3FC5" w:rsidRPr="00226F27" w:rsidRDefault="0044128D" w:rsidP="00F77F79">
      <w:pPr>
        <w:ind w:left="1440"/>
        <w:jc w:val="both"/>
        <w:rPr>
          <w:sz w:val="22"/>
          <w:szCs w:val="22"/>
          <w:lang w:val="en"/>
        </w:rPr>
      </w:pPr>
      <w:proofErr w:type="gramStart"/>
      <w:r w:rsidRPr="00226F27">
        <w:rPr>
          <w:sz w:val="22"/>
          <w:szCs w:val="22"/>
          <w:lang w:val="en"/>
        </w:rPr>
        <w:t>In regard to</w:t>
      </w:r>
      <w:proofErr w:type="gramEnd"/>
      <w:r w:rsidRPr="00226F27">
        <w:rPr>
          <w:sz w:val="22"/>
          <w:szCs w:val="22"/>
          <w:lang w:val="en"/>
        </w:rPr>
        <w:t xml:space="preserve"> management and maintenance services in the investment property sector, revenue from </w:t>
      </w:r>
      <w:r w:rsidR="008A3FC5" w:rsidRPr="00226F27">
        <w:rPr>
          <w:sz w:val="22"/>
          <w:szCs w:val="22"/>
          <w:lang w:val="en"/>
        </w:rPr>
        <w:t>rental income and operation services is recognized over time in the reporting period in which the services are provided, since the customer simultaneously receives and consumes the benefits provided by the Group’s performance when the Group provides such services.</w:t>
      </w:r>
    </w:p>
    <w:p w14:paraId="3D4E37E1" w14:textId="77777777" w:rsidR="008A3FC5" w:rsidRPr="00226F27" w:rsidRDefault="008A3FC5" w:rsidP="00F3679C">
      <w:pPr>
        <w:ind w:left="1440"/>
        <w:jc w:val="both"/>
        <w:rPr>
          <w:spacing w:val="-2"/>
          <w:sz w:val="22"/>
          <w:szCs w:val="22"/>
          <w:lang w:val="en"/>
        </w:rPr>
      </w:pPr>
    </w:p>
    <w:p w14:paraId="7CC29437" w14:textId="77777777" w:rsidR="008A3FC5" w:rsidRPr="00226F27" w:rsidRDefault="008A3FC5" w:rsidP="000B59AD">
      <w:pPr>
        <w:ind w:left="1440"/>
        <w:jc w:val="both"/>
        <w:outlineLvl w:val="5"/>
        <w:rPr>
          <w:i/>
          <w:iCs/>
          <w:sz w:val="22"/>
          <w:szCs w:val="22"/>
          <w:u w:val="single"/>
          <w:lang w:val="en"/>
        </w:rPr>
      </w:pPr>
      <w:bookmarkStart w:id="103" w:name="H6_Measurement_of_progress_towards_satis"/>
      <w:r w:rsidRPr="00226F27">
        <w:rPr>
          <w:i/>
          <w:iCs/>
          <w:sz w:val="22"/>
          <w:szCs w:val="22"/>
          <w:u w:val="single"/>
          <w:lang w:val="en"/>
        </w:rPr>
        <w:t>Measurement of progress towards satisfying performance obligations</w:t>
      </w:r>
    </w:p>
    <w:bookmarkEnd w:id="103"/>
    <w:p w14:paraId="4FBD0E3F" w14:textId="77777777" w:rsidR="008A3FC5" w:rsidRPr="00226F27" w:rsidRDefault="008A3FC5" w:rsidP="00842BBA">
      <w:pPr>
        <w:ind w:left="1440"/>
        <w:jc w:val="both"/>
        <w:rPr>
          <w:spacing w:val="-2"/>
          <w:sz w:val="22"/>
          <w:szCs w:val="22"/>
        </w:rPr>
      </w:pPr>
      <w:r w:rsidRPr="00226F27">
        <w:rPr>
          <w:spacing w:val="-2"/>
          <w:sz w:val="22"/>
          <w:szCs w:val="22"/>
        </w:rPr>
        <w:t xml:space="preserve">In the income-producing real estate sector, total consideration in certain contracts includes a fixed component and a variable component (such as </w:t>
      </w:r>
      <w:r w:rsidR="00842BBA" w:rsidRPr="00226F27">
        <w:rPr>
          <w:spacing w:val="-2"/>
          <w:sz w:val="22"/>
          <w:szCs w:val="22"/>
        </w:rPr>
        <w:t xml:space="preserve">rental fees </w:t>
      </w:r>
      <w:r w:rsidRPr="00226F27">
        <w:rPr>
          <w:spacing w:val="-2"/>
          <w:sz w:val="22"/>
          <w:szCs w:val="22"/>
        </w:rPr>
        <w:t xml:space="preserve">that are contingent upon revenues). Fixed amounts are recognized on a straight-line basis over the period in which the services are provided. Variable amounts are usually recognized in the period in which the related services were provided, to the extent they are attributable to the Group’s efforts to satisfy a performance obligation in that period and this method of recognition reflects the amount to which the Group is entitled </w:t>
      </w:r>
      <w:proofErr w:type="gramStart"/>
      <w:r w:rsidRPr="00226F27">
        <w:rPr>
          <w:spacing w:val="-2"/>
          <w:sz w:val="22"/>
          <w:szCs w:val="22"/>
        </w:rPr>
        <w:t>for</w:t>
      </w:r>
      <w:proofErr w:type="gramEnd"/>
      <w:r w:rsidRPr="00226F27">
        <w:rPr>
          <w:spacing w:val="-2"/>
          <w:sz w:val="22"/>
          <w:szCs w:val="22"/>
        </w:rPr>
        <w:t xml:space="preserve"> the services provided to the customer. </w:t>
      </w:r>
    </w:p>
    <w:p w14:paraId="22D861ED" w14:textId="77777777" w:rsidR="00842BBA" w:rsidRPr="00226F27" w:rsidRDefault="00842BBA" w:rsidP="00842BBA">
      <w:pPr>
        <w:ind w:left="1440"/>
        <w:jc w:val="both"/>
        <w:rPr>
          <w:spacing w:val="-2"/>
          <w:sz w:val="22"/>
          <w:szCs w:val="22"/>
        </w:rPr>
      </w:pPr>
    </w:p>
    <w:p w14:paraId="62318F2C" w14:textId="5F5FAB0E" w:rsidR="008A3FC5" w:rsidRPr="00226F27" w:rsidRDefault="008A3FC5" w:rsidP="00A14B4C">
      <w:pPr>
        <w:ind w:left="1440"/>
        <w:jc w:val="both"/>
        <w:rPr>
          <w:spacing w:val="-2"/>
          <w:sz w:val="22"/>
          <w:szCs w:val="22"/>
        </w:rPr>
      </w:pPr>
      <w:r w:rsidRPr="00226F27">
        <w:rPr>
          <w:spacing w:val="-2"/>
          <w:sz w:val="22"/>
          <w:szCs w:val="22"/>
        </w:rPr>
        <w:t xml:space="preserve">In addition, in cases where the Group has a right to consideration from the customer in an amount that corresponds directly to the value </w:t>
      </w:r>
      <w:proofErr w:type="gramStart"/>
      <w:r w:rsidRPr="00226F27">
        <w:rPr>
          <w:spacing w:val="-2"/>
          <w:sz w:val="22"/>
          <w:szCs w:val="22"/>
        </w:rPr>
        <w:t>to</w:t>
      </w:r>
      <w:proofErr w:type="gramEnd"/>
      <w:r w:rsidRPr="00226F27">
        <w:rPr>
          <w:spacing w:val="-2"/>
          <w:sz w:val="22"/>
          <w:szCs w:val="22"/>
        </w:rPr>
        <w:t xml:space="preserve"> the customer of the Group’s performance completed to date, the Group applies the practical expedient provided in the standard and recognizes revenue in the amount it is permitted to invoice.</w:t>
      </w:r>
    </w:p>
    <w:p w14:paraId="224E6F2A" w14:textId="77777777" w:rsidR="008A3FC5" w:rsidRPr="00226F27" w:rsidRDefault="008A3FC5" w:rsidP="00F3679C">
      <w:pPr>
        <w:ind w:left="1440"/>
        <w:jc w:val="both"/>
        <w:rPr>
          <w:spacing w:val="-2"/>
          <w:sz w:val="22"/>
          <w:szCs w:val="22"/>
          <w:lang w:val="en"/>
        </w:rPr>
      </w:pPr>
    </w:p>
    <w:p w14:paraId="360B727A" w14:textId="77777777" w:rsidR="00842BBA" w:rsidRPr="00226F27" w:rsidRDefault="00842BBA" w:rsidP="000B59AD">
      <w:pPr>
        <w:ind w:left="1440"/>
        <w:jc w:val="both"/>
        <w:outlineLvl w:val="5"/>
        <w:rPr>
          <w:sz w:val="22"/>
          <w:szCs w:val="22"/>
          <w:lang w:val="en"/>
        </w:rPr>
      </w:pPr>
      <w:bookmarkStart w:id="104" w:name="H6_Contract_asset_and_contract_liability"/>
      <w:r w:rsidRPr="00226F27">
        <w:rPr>
          <w:i/>
          <w:iCs/>
          <w:sz w:val="22"/>
          <w:szCs w:val="22"/>
          <w:u w:val="single"/>
          <w:lang w:val="en"/>
        </w:rPr>
        <w:t>Contract asset and contract liability</w:t>
      </w:r>
    </w:p>
    <w:bookmarkEnd w:id="104"/>
    <w:p w14:paraId="70339273" w14:textId="77777777" w:rsidR="00842BBA" w:rsidRPr="00226F27" w:rsidRDefault="00842BBA" w:rsidP="00842BBA">
      <w:pPr>
        <w:ind w:left="1440"/>
        <w:jc w:val="both"/>
        <w:rPr>
          <w:sz w:val="22"/>
          <w:szCs w:val="22"/>
          <w:lang w:val="en"/>
        </w:rPr>
      </w:pPr>
      <w:r w:rsidRPr="00226F27">
        <w:rPr>
          <w:sz w:val="22"/>
          <w:szCs w:val="22"/>
          <w:lang w:val="en"/>
        </w:rPr>
        <w:t xml:space="preserve">A contract asset is recognized when the Group has a right to consideration for goods or services it transferred to the customer that </w:t>
      </w:r>
      <w:proofErr w:type="gramStart"/>
      <w:r w:rsidRPr="00226F27">
        <w:rPr>
          <w:sz w:val="22"/>
          <w:szCs w:val="22"/>
          <w:lang w:val="en"/>
        </w:rPr>
        <w:t>is</w:t>
      </w:r>
      <w:proofErr w:type="gramEnd"/>
      <w:r w:rsidRPr="00226F27">
        <w:rPr>
          <w:sz w:val="22"/>
          <w:szCs w:val="22"/>
          <w:lang w:val="en"/>
        </w:rPr>
        <w:t xml:space="preserve"> conditional on other than the passing of time, such as future performance of the Group. Contract assets are classified as </w:t>
      </w:r>
      <w:proofErr w:type="gramStart"/>
      <w:r w:rsidRPr="00226F27">
        <w:rPr>
          <w:sz w:val="22"/>
          <w:szCs w:val="22"/>
          <w:lang w:val="en"/>
        </w:rPr>
        <w:t>receivables</w:t>
      </w:r>
      <w:proofErr w:type="gramEnd"/>
      <w:r w:rsidRPr="00226F27">
        <w:rPr>
          <w:sz w:val="22"/>
          <w:szCs w:val="22"/>
          <w:lang w:val="en"/>
        </w:rPr>
        <w:t xml:space="preserve"> when the rights in their respect become unconditional. </w:t>
      </w:r>
    </w:p>
    <w:p w14:paraId="058647B5" w14:textId="77777777" w:rsidR="00842BBA" w:rsidRPr="00B03FC5" w:rsidRDefault="00842BBA" w:rsidP="00842BBA">
      <w:pPr>
        <w:ind w:left="1440"/>
        <w:jc w:val="both"/>
        <w:rPr>
          <w:sz w:val="14"/>
          <w:szCs w:val="14"/>
          <w:lang w:val="en"/>
        </w:rPr>
      </w:pPr>
    </w:p>
    <w:p w14:paraId="6D5BAA9A" w14:textId="77777777" w:rsidR="00DF5716" w:rsidRPr="00226F27" w:rsidRDefault="00F3679C" w:rsidP="00F77F79">
      <w:pPr>
        <w:ind w:left="1440"/>
        <w:jc w:val="both"/>
        <w:rPr>
          <w:spacing w:val="-2"/>
          <w:sz w:val="22"/>
          <w:szCs w:val="22"/>
        </w:rPr>
      </w:pPr>
      <w:r w:rsidRPr="00226F27">
        <w:rPr>
          <w:spacing w:val="-2"/>
          <w:sz w:val="22"/>
          <w:szCs w:val="22"/>
        </w:rPr>
        <w:t xml:space="preserve">A contract liability is recognized when the Group has an obligation to transfer goods or services to the customer for which it </w:t>
      </w:r>
      <w:proofErr w:type="gramStart"/>
      <w:r w:rsidRPr="00226F27">
        <w:rPr>
          <w:spacing w:val="-2"/>
          <w:sz w:val="22"/>
          <w:szCs w:val="22"/>
        </w:rPr>
        <w:t>received</w:t>
      </w:r>
      <w:proofErr w:type="gramEnd"/>
      <w:r w:rsidRPr="00226F27">
        <w:rPr>
          <w:spacing w:val="-2"/>
          <w:sz w:val="22"/>
          <w:szCs w:val="22"/>
        </w:rPr>
        <w:t xml:space="preserve"> consideration (or the consideration is payable) from the customer.</w:t>
      </w:r>
    </w:p>
    <w:p w14:paraId="23ECCF1C" w14:textId="36730B25" w:rsidR="00AF2665" w:rsidRDefault="00AF2665">
      <w:pPr>
        <w:rPr>
          <w:i/>
          <w:iCs/>
          <w:sz w:val="22"/>
          <w:szCs w:val="22"/>
          <w:u w:val="single"/>
          <w:lang w:val="en"/>
        </w:rPr>
      </w:pPr>
      <w:r>
        <w:rPr>
          <w:i/>
          <w:iCs/>
          <w:sz w:val="22"/>
          <w:szCs w:val="22"/>
          <w:u w:val="single"/>
          <w:lang w:val="en"/>
        </w:rPr>
        <w:br w:type="page"/>
      </w:r>
    </w:p>
    <w:p w14:paraId="767F6BEC" w14:textId="77777777" w:rsidR="002F6BE7" w:rsidRPr="00AF2665" w:rsidRDefault="002F6BE7" w:rsidP="00440C55">
      <w:pPr>
        <w:jc w:val="both"/>
        <w:rPr>
          <w:i/>
          <w:iCs/>
          <w:sz w:val="22"/>
          <w:szCs w:val="22"/>
          <w:u w:val="single"/>
          <w:lang w:val="en"/>
        </w:rPr>
      </w:pPr>
    </w:p>
    <w:p w14:paraId="150DC45B" w14:textId="77777777" w:rsidR="00E32A9C" w:rsidRPr="00AF2665" w:rsidRDefault="00E32A9C" w:rsidP="00E32A9C">
      <w:pPr>
        <w:rPr>
          <w:b/>
          <w:bCs/>
          <w:sz w:val="22"/>
          <w:szCs w:val="22"/>
        </w:rPr>
      </w:pPr>
      <w:r w:rsidRPr="00AF2665">
        <w:rPr>
          <w:b/>
          <w:bCs/>
          <w:sz w:val="22"/>
          <w:szCs w:val="22"/>
        </w:rPr>
        <w:t>Note 3 - Significant Accounting Policies (cont’d)</w:t>
      </w:r>
    </w:p>
    <w:p w14:paraId="4C32958C" w14:textId="77777777" w:rsidR="00E32A9C" w:rsidRPr="00AF2665" w:rsidRDefault="00E32A9C" w:rsidP="00E32A9C">
      <w:pPr>
        <w:ind w:left="1440"/>
        <w:jc w:val="both"/>
        <w:rPr>
          <w:sz w:val="22"/>
          <w:szCs w:val="22"/>
        </w:rPr>
      </w:pPr>
    </w:p>
    <w:p w14:paraId="4BA0086E" w14:textId="77777777" w:rsidR="00E32A9C" w:rsidRPr="00AF2665" w:rsidRDefault="00E32A9C" w:rsidP="00E32A9C">
      <w:pPr>
        <w:ind w:left="720"/>
        <w:jc w:val="both"/>
        <w:rPr>
          <w:b/>
          <w:bCs/>
          <w:sz w:val="22"/>
          <w:szCs w:val="22"/>
        </w:rPr>
      </w:pPr>
      <w:r w:rsidRPr="00AF2665">
        <w:rPr>
          <w:b/>
          <w:bCs/>
          <w:sz w:val="22"/>
          <w:szCs w:val="22"/>
        </w:rPr>
        <w:t>P.</w:t>
      </w:r>
      <w:r w:rsidRPr="00AF2665">
        <w:rPr>
          <w:b/>
          <w:bCs/>
          <w:sz w:val="22"/>
          <w:szCs w:val="22"/>
        </w:rPr>
        <w:tab/>
        <w:t>Revenue (cont'd)</w:t>
      </w:r>
    </w:p>
    <w:p w14:paraId="5570455E" w14:textId="77777777" w:rsidR="00E32A9C" w:rsidRPr="00AF2665" w:rsidRDefault="00E32A9C" w:rsidP="00E32A9C">
      <w:pPr>
        <w:ind w:left="1440"/>
        <w:jc w:val="both"/>
        <w:rPr>
          <w:sz w:val="22"/>
          <w:szCs w:val="22"/>
        </w:rPr>
      </w:pPr>
    </w:p>
    <w:p w14:paraId="30007DBB" w14:textId="4F220615" w:rsidR="00E32A9C" w:rsidRPr="00AF2665" w:rsidRDefault="00E32A9C" w:rsidP="00D7633B">
      <w:pPr>
        <w:ind w:left="720"/>
        <w:jc w:val="both"/>
        <w:rPr>
          <w:i/>
          <w:iCs/>
          <w:sz w:val="22"/>
          <w:szCs w:val="22"/>
          <w:u w:val="single"/>
          <w:lang w:val="en"/>
        </w:rPr>
      </w:pPr>
      <w:r w:rsidRPr="00AF2665">
        <w:rPr>
          <w:b/>
          <w:bCs/>
          <w:sz w:val="22"/>
          <w:szCs w:val="22"/>
        </w:rPr>
        <w:t>(2)</w:t>
      </w:r>
      <w:r w:rsidRPr="00AF2665">
        <w:rPr>
          <w:b/>
          <w:bCs/>
          <w:sz w:val="22"/>
          <w:szCs w:val="22"/>
        </w:rPr>
        <w:tab/>
        <w:t>Sale of inventory of real estate and residential apartments (cont’d)</w:t>
      </w:r>
    </w:p>
    <w:p w14:paraId="34F0CC4B" w14:textId="77777777" w:rsidR="00E32A9C" w:rsidRDefault="00E32A9C" w:rsidP="00991432">
      <w:pPr>
        <w:ind w:left="1440"/>
        <w:jc w:val="both"/>
        <w:rPr>
          <w:i/>
          <w:iCs/>
          <w:sz w:val="22"/>
          <w:szCs w:val="22"/>
          <w:u w:val="single"/>
          <w:lang w:val="en"/>
        </w:rPr>
      </w:pPr>
    </w:p>
    <w:p w14:paraId="76A9ABAD" w14:textId="52F5A611" w:rsidR="00991432" w:rsidRPr="00991432" w:rsidRDefault="00991432" w:rsidP="000B59AD">
      <w:pPr>
        <w:ind w:left="1440"/>
        <w:jc w:val="both"/>
        <w:outlineLvl w:val="5"/>
        <w:rPr>
          <w:i/>
          <w:iCs/>
          <w:sz w:val="22"/>
          <w:szCs w:val="22"/>
          <w:u w:val="single"/>
          <w:lang w:val="en"/>
        </w:rPr>
      </w:pPr>
      <w:bookmarkStart w:id="105" w:name="H6_Principal_or_agent"/>
      <w:r w:rsidRPr="00991432">
        <w:rPr>
          <w:i/>
          <w:iCs/>
          <w:sz w:val="22"/>
          <w:szCs w:val="22"/>
          <w:u w:val="single"/>
          <w:lang w:val="en"/>
        </w:rPr>
        <w:t>Principal or agent</w:t>
      </w:r>
    </w:p>
    <w:bookmarkEnd w:id="105"/>
    <w:p w14:paraId="3585A092" w14:textId="091B0CDD" w:rsidR="00991432" w:rsidRDefault="00991432">
      <w:pPr>
        <w:ind w:left="1440"/>
        <w:jc w:val="both"/>
        <w:rPr>
          <w:sz w:val="22"/>
          <w:szCs w:val="22"/>
          <w:lang w:val="en"/>
        </w:rPr>
      </w:pPr>
      <w:r>
        <w:rPr>
          <w:sz w:val="22"/>
          <w:szCs w:val="22"/>
          <w:lang w:val="en"/>
        </w:rPr>
        <w:t>When another party is involved in providing goods or services to the customer, the Group examines whether the nature of its promise is a performance obligation to provide the defined goods or services itself, which means the Group is a principal and therefore recognizes revenue in the gross amount of the consideration, or to arrange that another party provide the goods or services which means the Group is an agent and therefore recognizes revenue in the amount of the net commission.</w:t>
      </w:r>
    </w:p>
    <w:p w14:paraId="5EE2D39D" w14:textId="77777777" w:rsidR="00A42EEC" w:rsidRDefault="00A42EEC" w:rsidP="008D69AD">
      <w:pPr>
        <w:jc w:val="both"/>
        <w:rPr>
          <w:sz w:val="22"/>
          <w:szCs w:val="22"/>
        </w:rPr>
      </w:pPr>
    </w:p>
    <w:p w14:paraId="3EDD14E9" w14:textId="3FD399A9" w:rsidR="00C35D07" w:rsidRPr="00F02921" w:rsidRDefault="00A20109" w:rsidP="000B59AD">
      <w:pPr>
        <w:ind w:left="720"/>
        <w:jc w:val="both"/>
        <w:outlineLvl w:val="4"/>
        <w:rPr>
          <w:sz w:val="22"/>
          <w:szCs w:val="22"/>
        </w:rPr>
      </w:pPr>
      <w:bookmarkStart w:id="106" w:name="H5_3Rendering_of_services"/>
      <w:r>
        <w:rPr>
          <w:b/>
          <w:bCs/>
          <w:sz w:val="22"/>
          <w:szCs w:val="22"/>
        </w:rPr>
        <w:t>(</w:t>
      </w:r>
      <w:r w:rsidR="00C35D07" w:rsidRPr="00F02921">
        <w:rPr>
          <w:b/>
          <w:bCs/>
          <w:sz w:val="22"/>
          <w:szCs w:val="22"/>
        </w:rPr>
        <w:t>3</w:t>
      </w:r>
      <w:r>
        <w:rPr>
          <w:b/>
          <w:bCs/>
          <w:sz w:val="22"/>
          <w:szCs w:val="22"/>
        </w:rPr>
        <w:t>)</w:t>
      </w:r>
      <w:r w:rsidR="00C35D07" w:rsidRPr="00F02921">
        <w:rPr>
          <w:b/>
          <w:bCs/>
          <w:sz w:val="22"/>
          <w:szCs w:val="22"/>
        </w:rPr>
        <w:tab/>
      </w:r>
      <w:r w:rsidR="00DB09BF">
        <w:rPr>
          <w:b/>
          <w:bCs/>
          <w:sz w:val="22"/>
          <w:szCs w:val="22"/>
        </w:rPr>
        <w:t>Rendering of s</w:t>
      </w:r>
      <w:r w:rsidR="00DB09BF" w:rsidRPr="00C435F7">
        <w:rPr>
          <w:b/>
          <w:bCs/>
          <w:sz w:val="22"/>
          <w:szCs w:val="22"/>
        </w:rPr>
        <w:t>ervices</w:t>
      </w:r>
    </w:p>
    <w:bookmarkEnd w:id="106"/>
    <w:p w14:paraId="142C14BA" w14:textId="77777777" w:rsidR="00C35D07" w:rsidRPr="00F02921" w:rsidRDefault="00C35D07" w:rsidP="00F93F23">
      <w:pPr>
        <w:ind w:left="1440"/>
        <w:rPr>
          <w:sz w:val="22"/>
          <w:szCs w:val="22"/>
        </w:rPr>
      </w:pPr>
      <w:r w:rsidRPr="00F02921">
        <w:rPr>
          <w:sz w:val="22"/>
          <w:szCs w:val="22"/>
        </w:rPr>
        <w:t>Revenue from services</w:t>
      </w:r>
      <w:r w:rsidR="008D4AE0">
        <w:rPr>
          <w:sz w:val="22"/>
          <w:szCs w:val="22"/>
        </w:rPr>
        <w:t xml:space="preserve"> </w:t>
      </w:r>
      <w:r w:rsidR="008D4AE0" w:rsidRPr="00C435F7">
        <w:rPr>
          <w:sz w:val="22"/>
          <w:szCs w:val="22"/>
        </w:rPr>
        <w:t>rendered</w:t>
      </w:r>
      <w:r w:rsidRPr="00F02921">
        <w:rPr>
          <w:sz w:val="22"/>
          <w:szCs w:val="22"/>
        </w:rPr>
        <w:t xml:space="preserve"> (such as project management) is recognized in the income statement in</w:t>
      </w:r>
      <w:r w:rsidR="00F93F23">
        <w:rPr>
          <w:sz w:val="22"/>
          <w:szCs w:val="22"/>
        </w:rPr>
        <w:t xml:space="preserve"> the period in which the services are rendered and are measured at fair</w:t>
      </w:r>
      <w:r w:rsidRPr="00F02921">
        <w:rPr>
          <w:sz w:val="22"/>
          <w:szCs w:val="22"/>
        </w:rPr>
        <w:t xml:space="preserve"> </w:t>
      </w:r>
      <w:r w:rsidR="00F93F23">
        <w:rPr>
          <w:sz w:val="22"/>
          <w:szCs w:val="22"/>
        </w:rPr>
        <w:t>value.</w:t>
      </w:r>
    </w:p>
    <w:p w14:paraId="1EF8149D" w14:textId="77777777" w:rsidR="001F7300" w:rsidRDefault="001F7300" w:rsidP="00CC1EFE">
      <w:pPr>
        <w:ind w:left="720"/>
        <w:jc w:val="both"/>
        <w:rPr>
          <w:sz w:val="22"/>
          <w:szCs w:val="22"/>
        </w:rPr>
      </w:pPr>
    </w:p>
    <w:p w14:paraId="4E453EC7" w14:textId="52DE8747" w:rsidR="00C35D07" w:rsidRPr="00F02921" w:rsidRDefault="00E32A9C" w:rsidP="000B59AD">
      <w:pPr>
        <w:ind w:left="720"/>
        <w:jc w:val="both"/>
        <w:outlineLvl w:val="3"/>
        <w:rPr>
          <w:sz w:val="22"/>
          <w:szCs w:val="22"/>
        </w:rPr>
      </w:pPr>
      <w:bookmarkStart w:id="107" w:name="H4_QExpenses"/>
      <w:r>
        <w:rPr>
          <w:b/>
          <w:bCs/>
          <w:sz w:val="22"/>
          <w:szCs w:val="22"/>
        </w:rPr>
        <w:t>Q</w:t>
      </w:r>
      <w:r w:rsidR="00C35D07" w:rsidRPr="00F02921">
        <w:rPr>
          <w:b/>
          <w:bCs/>
          <w:sz w:val="22"/>
          <w:szCs w:val="22"/>
        </w:rPr>
        <w:t>.</w:t>
      </w:r>
      <w:r w:rsidR="00C35D07" w:rsidRPr="00F02921">
        <w:rPr>
          <w:b/>
          <w:bCs/>
          <w:sz w:val="22"/>
          <w:szCs w:val="22"/>
        </w:rPr>
        <w:tab/>
        <w:t>Expenses</w:t>
      </w:r>
    </w:p>
    <w:bookmarkEnd w:id="107"/>
    <w:p w14:paraId="5186392D" w14:textId="77777777" w:rsidR="00C35D07" w:rsidRPr="00F02921" w:rsidRDefault="00C35D07" w:rsidP="00CC1EFE">
      <w:pPr>
        <w:ind w:left="720"/>
        <w:jc w:val="both"/>
        <w:rPr>
          <w:sz w:val="22"/>
          <w:szCs w:val="22"/>
        </w:rPr>
      </w:pPr>
    </w:p>
    <w:p w14:paraId="254C47DE" w14:textId="33BACA8D" w:rsidR="00C35D07" w:rsidRPr="00F02921" w:rsidRDefault="00A20109" w:rsidP="000B59AD">
      <w:pPr>
        <w:ind w:left="720"/>
        <w:jc w:val="both"/>
        <w:outlineLvl w:val="4"/>
        <w:rPr>
          <w:sz w:val="22"/>
          <w:szCs w:val="22"/>
        </w:rPr>
      </w:pPr>
      <w:bookmarkStart w:id="108" w:name="H5_1Service_costs_and_property_operating"/>
      <w:r>
        <w:rPr>
          <w:b/>
          <w:bCs/>
          <w:sz w:val="22"/>
          <w:szCs w:val="22"/>
        </w:rPr>
        <w:t>(</w:t>
      </w:r>
      <w:r w:rsidR="00C35D07" w:rsidRPr="00F02921">
        <w:rPr>
          <w:b/>
          <w:bCs/>
          <w:sz w:val="22"/>
          <w:szCs w:val="22"/>
        </w:rPr>
        <w:t>1</w:t>
      </w:r>
      <w:r>
        <w:rPr>
          <w:b/>
          <w:bCs/>
          <w:sz w:val="22"/>
          <w:szCs w:val="22"/>
        </w:rPr>
        <w:t>)</w:t>
      </w:r>
      <w:r w:rsidR="00C35D07" w:rsidRPr="00F02921">
        <w:rPr>
          <w:b/>
          <w:bCs/>
          <w:sz w:val="22"/>
          <w:szCs w:val="22"/>
        </w:rPr>
        <w:tab/>
        <w:t xml:space="preserve">Service costs and property operating expenses </w:t>
      </w:r>
    </w:p>
    <w:bookmarkEnd w:id="108"/>
    <w:p w14:paraId="65023953" w14:textId="77777777" w:rsidR="00C35D07" w:rsidRPr="00F02921" w:rsidRDefault="00C35D07" w:rsidP="007367E4">
      <w:pPr>
        <w:ind w:left="1440"/>
        <w:jc w:val="both"/>
        <w:rPr>
          <w:sz w:val="22"/>
          <w:szCs w:val="22"/>
        </w:rPr>
      </w:pPr>
      <w:r w:rsidRPr="00F02921">
        <w:rPr>
          <w:sz w:val="22"/>
          <w:szCs w:val="22"/>
        </w:rPr>
        <w:t xml:space="preserve">Service costs for service contracts </w:t>
      </w:r>
      <w:proofErr w:type="gramStart"/>
      <w:r w:rsidRPr="00F02921">
        <w:rPr>
          <w:sz w:val="22"/>
          <w:szCs w:val="22"/>
        </w:rPr>
        <w:t>entered into</w:t>
      </w:r>
      <w:proofErr w:type="gramEnd"/>
      <w:r w:rsidRPr="00F02921">
        <w:rPr>
          <w:sz w:val="22"/>
          <w:szCs w:val="22"/>
        </w:rPr>
        <w:t xml:space="preserve"> and property operating expenses are recognized </w:t>
      </w:r>
      <w:proofErr w:type="gramStart"/>
      <w:r w:rsidRPr="00F02921">
        <w:rPr>
          <w:sz w:val="22"/>
          <w:szCs w:val="22"/>
        </w:rPr>
        <w:t>in</w:t>
      </w:r>
      <w:proofErr w:type="gramEnd"/>
      <w:r w:rsidRPr="00F02921">
        <w:rPr>
          <w:sz w:val="22"/>
          <w:szCs w:val="22"/>
        </w:rPr>
        <w:t xml:space="preserve"> profit or loss as incurred. </w:t>
      </w:r>
    </w:p>
    <w:p w14:paraId="2BEEEE1C" w14:textId="77777777" w:rsidR="00A14B4C" w:rsidRDefault="00A14B4C" w:rsidP="008D4AE0">
      <w:pPr>
        <w:pStyle w:val="af2"/>
        <w:jc w:val="both"/>
        <w:rPr>
          <w:b/>
          <w:bCs/>
          <w:sz w:val="22"/>
          <w:szCs w:val="22"/>
        </w:rPr>
      </w:pPr>
    </w:p>
    <w:p w14:paraId="0F5919E9" w14:textId="000F475A" w:rsidR="00C35D07" w:rsidRPr="00F02921" w:rsidRDefault="00A20109" w:rsidP="000B59AD">
      <w:pPr>
        <w:pStyle w:val="af2"/>
        <w:jc w:val="both"/>
        <w:outlineLvl w:val="4"/>
        <w:rPr>
          <w:sz w:val="22"/>
          <w:szCs w:val="22"/>
        </w:rPr>
      </w:pPr>
      <w:bookmarkStart w:id="109" w:name="H5_2_Financing_income_and_expenses"/>
      <w:r>
        <w:rPr>
          <w:b/>
          <w:bCs/>
          <w:sz w:val="22"/>
          <w:szCs w:val="22"/>
        </w:rPr>
        <w:t>(</w:t>
      </w:r>
      <w:r w:rsidR="00192980">
        <w:rPr>
          <w:b/>
          <w:bCs/>
          <w:sz w:val="22"/>
          <w:szCs w:val="22"/>
        </w:rPr>
        <w:t>2</w:t>
      </w:r>
      <w:proofErr w:type="gramStart"/>
      <w:r>
        <w:rPr>
          <w:b/>
          <w:bCs/>
          <w:sz w:val="22"/>
          <w:szCs w:val="22"/>
        </w:rPr>
        <w:t>)</w:t>
      </w:r>
      <w:r w:rsidR="00BB3C2F">
        <w:rPr>
          <w:b/>
          <w:bCs/>
          <w:sz w:val="22"/>
          <w:szCs w:val="22"/>
        </w:rPr>
        <w:t xml:space="preserve"> </w:t>
      </w:r>
      <w:r w:rsidR="00BB3C2F">
        <w:rPr>
          <w:b/>
          <w:bCs/>
          <w:sz w:val="22"/>
          <w:szCs w:val="22"/>
        </w:rPr>
        <w:tab/>
      </w:r>
      <w:bookmarkStart w:id="110" w:name="_Hlk534642587"/>
      <w:r w:rsidR="008D4AE0" w:rsidRPr="00C435F7">
        <w:rPr>
          <w:b/>
          <w:bCs/>
          <w:sz w:val="22"/>
          <w:szCs w:val="22"/>
        </w:rPr>
        <w:t>Financing</w:t>
      </w:r>
      <w:proofErr w:type="gramEnd"/>
      <w:r w:rsidR="008D4AE0" w:rsidRPr="00C435F7">
        <w:rPr>
          <w:b/>
          <w:bCs/>
          <w:sz w:val="22"/>
          <w:szCs w:val="22"/>
        </w:rPr>
        <w:t xml:space="preserve"> income and expenses</w:t>
      </w:r>
    </w:p>
    <w:bookmarkEnd w:id="109"/>
    <w:p w14:paraId="6843CB3F" w14:textId="77777777" w:rsidR="00C35D07" w:rsidRPr="00F02921" w:rsidRDefault="00C35D07" w:rsidP="00CC1EFE">
      <w:pPr>
        <w:ind w:left="1440"/>
        <w:jc w:val="both"/>
        <w:rPr>
          <w:sz w:val="22"/>
          <w:szCs w:val="22"/>
        </w:rPr>
      </w:pPr>
    </w:p>
    <w:p w14:paraId="0BD9144B" w14:textId="77777777" w:rsidR="00C35D07" w:rsidRDefault="00C35D07" w:rsidP="000E5BDF">
      <w:pPr>
        <w:ind w:left="1440"/>
        <w:jc w:val="both"/>
        <w:rPr>
          <w:sz w:val="22"/>
          <w:szCs w:val="22"/>
        </w:rPr>
      </w:pPr>
      <w:r w:rsidRPr="00F02921">
        <w:rPr>
          <w:sz w:val="22"/>
          <w:szCs w:val="22"/>
        </w:rPr>
        <w:t>Finance income comprises interest inc</w:t>
      </w:r>
      <w:r w:rsidR="007D58B6">
        <w:rPr>
          <w:sz w:val="22"/>
          <w:szCs w:val="22"/>
        </w:rPr>
        <w:t>ome on funds invested including</w:t>
      </w:r>
      <w:r w:rsidRPr="00F02921">
        <w:rPr>
          <w:sz w:val="22"/>
          <w:szCs w:val="22"/>
        </w:rPr>
        <w:t xml:space="preserve"> dividend income, gains on the disposal of financial assets, changes in the fair value of financial assets at fair value through profit or loss a</w:t>
      </w:r>
      <w:r w:rsidRPr="00F02921">
        <w:rPr>
          <w:sz w:val="22"/>
          <w:szCs w:val="22"/>
          <w:lang w:bidi="he-IL"/>
        </w:rPr>
        <w:t>nd</w:t>
      </w:r>
      <w:r w:rsidRPr="00F02921">
        <w:rPr>
          <w:sz w:val="22"/>
          <w:szCs w:val="22"/>
        </w:rPr>
        <w:t xml:space="preserve"> gains on hedging instruments that are recognized in profit or loss. Interest </w:t>
      </w:r>
      <w:r w:rsidR="000E5BDF">
        <w:rPr>
          <w:sz w:val="22"/>
          <w:szCs w:val="22"/>
        </w:rPr>
        <w:t>i</w:t>
      </w:r>
      <w:r w:rsidRPr="00F02921">
        <w:rPr>
          <w:sz w:val="22"/>
          <w:szCs w:val="22"/>
        </w:rPr>
        <w:t>ncome is recognized as it accrues, using the effective interest method. Dividend income is recognized on the date that the Group’s right to receive payment is established, which in the case of quoted securities is the ex-dividend date.</w:t>
      </w:r>
    </w:p>
    <w:p w14:paraId="21EC4402" w14:textId="77777777" w:rsidR="00FB42CB" w:rsidRDefault="00FB42CB" w:rsidP="003E64DB">
      <w:pPr>
        <w:ind w:left="1440"/>
        <w:jc w:val="both"/>
        <w:rPr>
          <w:sz w:val="22"/>
          <w:szCs w:val="22"/>
        </w:rPr>
      </w:pPr>
    </w:p>
    <w:p w14:paraId="7FF9D47E" w14:textId="51960634" w:rsidR="00C35D07" w:rsidRPr="00F02921" w:rsidRDefault="00C35D07" w:rsidP="009C1608">
      <w:pPr>
        <w:ind w:left="1440"/>
        <w:jc w:val="both"/>
        <w:rPr>
          <w:sz w:val="22"/>
          <w:szCs w:val="22"/>
        </w:rPr>
      </w:pPr>
      <w:r w:rsidRPr="00F02921">
        <w:rPr>
          <w:sz w:val="22"/>
          <w:szCs w:val="22"/>
        </w:rPr>
        <w:t xml:space="preserve">Finance expense </w:t>
      </w:r>
      <w:r w:rsidR="006210F5">
        <w:rPr>
          <w:sz w:val="22"/>
          <w:szCs w:val="22"/>
        </w:rPr>
        <w:t xml:space="preserve">is </w:t>
      </w:r>
      <w:r w:rsidR="006210F5" w:rsidRPr="00F02921">
        <w:rPr>
          <w:sz w:val="22"/>
          <w:szCs w:val="22"/>
        </w:rPr>
        <w:t>comprising</w:t>
      </w:r>
      <w:r w:rsidRPr="00F02921">
        <w:rPr>
          <w:sz w:val="22"/>
          <w:szCs w:val="22"/>
        </w:rPr>
        <w:t xml:space="preserve"> interest expense on borrowings, changes in time value of provisions and deferred consideration, changes in the fair value of financial assets at fair value through profit or loss, impairment losses recognized on financial assets, and losses on hedging instruments that are recognized in profit or loss. </w:t>
      </w:r>
    </w:p>
    <w:p w14:paraId="2E59E8D3" w14:textId="77777777" w:rsidR="00C35D07" w:rsidRPr="00F02921" w:rsidRDefault="00C35D07" w:rsidP="00CC1EFE">
      <w:pPr>
        <w:ind w:left="1440"/>
        <w:jc w:val="both"/>
        <w:rPr>
          <w:sz w:val="22"/>
          <w:szCs w:val="22"/>
        </w:rPr>
      </w:pPr>
    </w:p>
    <w:p w14:paraId="4A45B4A7" w14:textId="77777777" w:rsidR="00C35D07" w:rsidRPr="00F02921" w:rsidRDefault="00C35D07" w:rsidP="003E64DB">
      <w:pPr>
        <w:ind w:left="1440"/>
        <w:jc w:val="both"/>
        <w:rPr>
          <w:sz w:val="22"/>
          <w:szCs w:val="22"/>
        </w:rPr>
      </w:pPr>
      <w:r w:rsidRPr="00F02921">
        <w:rPr>
          <w:sz w:val="22"/>
          <w:szCs w:val="22"/>
        </w:rPr>
        <w:t>Borrowing costs, which are not capitalized to qualifying assets, are recognized in profit or loss using the effective interest method.</w:t>
      </w:r>
    </w:p>
    <w:p w14:paraId="6F3047E0" w14:textId="77777777" w:rsidR="00C35D07" w:rsidRPr="00F02921" w:rsidRDefault="00C35D07" w:rsidP="00CC1EFE">
      <w:pPr>
        <w:ind w:left="1440"/>
        <w:jc w:val="both"/>
        <w:rPr>
          <w:sz w:val="22"/>
          <w:szCs w:val="22"/>
        </w:rPr>
      </w:pPr>
    </w:p>
    <w:p w14:paraId="2A425B15" w14:textId="6421D8EC" w:rsidR="009C1608" w:rsidRDefault="00C35D07" w:rsidP="009C1608">
      <w:pPr>
        <w:ind w:left="1440"/>
        <w:jc w:val="both"/>
        <w:rPr>
          <w:sz w:val="22"/>
          <w:szCs w:val="22"/>
        </w:rPr>
      </w:pPr>
      <w:r w:rsidRPr="00F02921">
        <w:rPr>
          <w:sz w:val="22"/>
          <w:szCs w:val="22"/>
        </w:rPr>
        <w:t xml:space="preserve">In the statements of cash flows, interest </w:t>
      </w:r>
      <w:r w:rsidR="00B37BF1" w:rsidRPr="00F02921">
        <w:rPr>
          <w:sz w:val="22"/>
          <w:szCs w:val="22"/>
        </w:rPr>
        <w:t>received,</w:t>
      </w:r>
      <w:r w:rsidRPr="00F02921">
        <w:rPr>
          <w:sz w:val="22"/>
          <w:szCs w:val="22"/>
        </w:rPr>
        <w:t xml:space="preserve"> and dividends received are presented as part of cash flows from investing activities. Interest paid and dividends paid are presented as part of cash flows from financing activities. Accordingly, financing costs that were capitalized </w:t>
      </w:r>
      <w:proofErr w:type="gramStart"/>
      <w:r w:rsidRPr="00F02921">
        <w:rPr>
          <w:sz w:val="22"/>
          <w:szCs w:val="22"/>
        </w:rPr>
        <w:t>to</w:t>
      </w:r>
      <w:proofErr w:type="gramEnd"/>
      <w:r w:rsidRPr="00F02921">
        <w:rPr>
          <w:sz w:val="22"/>
          <w:szCs w:val="22"/>
        </w:rPr>
        <w:t xml:space="preserve"> qualifying assets are presented together with interest paid as part of cash flows from financing activities.</w:t>
      </w:r>
      <w:r w:rsidR="009C1608">
        <w:rPr>
          <w:sz w:val="22"/>
          <w:szCs w:val="22"/>
        </w:rPr>
        <w:t xml:space="preserve"> </w:t>
      </w:r>
    </w:p>
    <w:p w14:paraId="4EACEE19" w14:textId="77777777" w:rsidR="009C1608" w:rsidRDefault="009C1608" w:rsidP="009C1608">
      <w:pPr>
        <w:ind w:left="1440"/>
        <w:jc w:val="both"/>
        <w:rPr>
          <w:sz w:val="22"/>
          <w:szCs w:val="22"/>
        </w:rPr>
      </w:pPr>
    </w:p>
    <w:p w14:paraId="0AE06A75" w14:textId="04C1BBBA" w:rsidR="002F6BE7" w:rsidRDefault="00C35D07" w:rsidP="00440C55">
      <w:pPr>
        <w:ind w:left="1440"/>
        <w:jc w:val="both"/>
        <w:rPr>
          <w:b/>
          <w:bCs/>
          <w:sz w:val="26"/>
          <w:szCs w:val="26"/>
        </w:rPr>
      </w:pPr>
      <w:r w:rsidRPr="00F02921">
        <w:rPr>
          <w:sz w:val="22"/>
          <w:szCs w:val="22"/>
        </w:rPr>
        <w:t xml:space="preserve">Foreign currency gains and losses on financial assets and financial liabilities are reported on a net </w:t>
      </w:r>
      <w:proofErr w:type="gramStart"/>
      <w:r w:rsidRPr="00F02921">
        <w:rPr>
          <w:sz w:val="22"/>
          <w:szCs w:val="22"/>
        </w:rPr>
        <w:t>basis as</w:t>
      </w:r>
      <w:proofErr w:type="gramEnd"/>
      <w:r w:rsidRPr="00F02921">
        <w:rPr>
          <w:sz w:val="22"/>
          <w:szCs w:val="22"/>
        </w:rPr>
        <w:t xml:space="preserve"> either financing income or financing expenses depending on whether foreign currency movements are in a net gain or net loss position. </w:t>
      </w:r>
    </w:p>
    <w:p w14:paraId="5009F40C" w14:textId="632319FA" w:rsidR="00AF2665" w:rsidRDefault="00AF2665">
      <w:pPr>
        <w:rPr>
          <w:sz w:val="22"/>
          <w:szCs w:val="22"/>
        </w:rPr>
      </w:pPr>
      <w:r>
        <w:rPr>
          <w:sz w:val="22"/>
          <w:szCs w:val="22"/>
        </w:rPr>
        <w:br w:type="page"/>
      </w:r>
    </w:p>
    <w:p w14:paraId="41B224EA" w14:textId="77777777" w:rsidR="001F7300" w:rsidRPr="00AF2665" w:rsidRDefault="001F7300" w:rsidP="009C1608">
      <w:pPr>
        <w:ind w:left="1440"/>
        <w:jc w:val="both"/>
        <w:rPr>
          <w:sz w:val="22"/>
          <w:szCs w:val="22"/>
        </w:rPr>
      </w:pPr>
    </w:p>
    <w:p w14:paraId="2EF02DE9" w14:textId="77777777" w:rsidR="001F7300" w:rsidRPr="00AF2665" w:rsidRDefault="001F7300" w:rsidP="001F7300">
      <w:pPr>
        <w:rPr>
          <w:b/>
          <w:bCs/>
          <w:sz w:val="22"/>
          <w:szCs w:val="22"/>
        </w:rPr>
      </w:pPr>
      <w:r w:rsidRPr="00AF2665">
        <w:rPr>
          <w:b/>
          <w:bCs/>
          <w:sz w:val="22"/>
          <w:szCs w:val="22"/>
        </w:rPr>
        <w:t>Note 3 - Significant Accounting Policies (cont’d)</w:t>
      </w:r>
    </w:p>
    <w:p w14:paraId="4F1E149B" w14:textId="77777777" w:rsidR="001F7300" w:rsidRPr="00AF2665" w:rsidRDefault="001F7300" w:rsidP="001F7300">
      <w:pPr>
        <w:ind w:left="1440"/>
        <w:jc w:val="both"/>
        <w:rPr>
          <w:sz w:val="22"/>
          <w:szCs w:val="22"/>
        </w:rPr>
      </w:pPr>
    </w:p>
    <w:p w14:paraId="50094F0B" w14:textId="291F8760" w:rsidR="001F7300" w:rsidRPr="00AF2665" w:rsidRDefault="001F7300" w:rsidP="001F7300">
      <w:pPr>
        <w:ind w:left="720"/>
        <w:jc w:val="both"/>
        <w:rPr>
          <w:b/>
          <w:bCs/>
          <w:sz w:val="22"/>
          <w:szCs w:val="22"/>
        </w:rPr>
      </w:pPr>
      <w:r w:rsidRPr="00AF2665">
        <w:rPr>
          <w:b/>
          <w:bCs/>
          <w:sz w:val="22"/>
          <w:szCs w:val="22"/>
        </w:rPr>
        <w:t>Q.</w:t>
      </w:r>
      <w:r w:rsidRPr="00AF2665">
        <w:rPr>
          <w:b/>
          <w:bCs/>
          <w:sz w:val="22"/>
          <w:szCs w:val="22"/>
        </w:rPr>
        <w:tab/>
        <w:t>Expenses (cont'd)</w:t>
      </w:r>
    </w:p>
    <w:p w14:paraId="102A3B28" w14:textId="77777777" w:rsidR="001F7300" w:rsidRPr="00AF2665" w:rsidRDefault="001F7300" w:rsidP="001F7300">
      <w:pPr>
        <w:ind w:left="1440"/>
        <w:jc w:val="both"/>
        <w:rPr>
          <w:sz w:val="22"/>
          <w:szCs w:val="22"/>
        </w:rPr>
      </w:pPr>
    </w:p>
    <w:p w14:paraId="3F2C1F0F" w14:textId="40A8601C" w:rsidR="001F7300" w:rsidRPr="00AF2665" w:rsidRDefault="001F7300" w:rsidP="00D7633B">
      <w:pPr>
        <w:ind w:left="720"/>
        <w:jc w:val="both"/>
        <w:rPr>
          <w:i/>
          <w:iCs/>
          <w:sz w:val="22"/>
          <w:szCs w:val="22"/>
          <w:u w:val="single"/>
          <w:lang w:val="en"/>
        </w:rPr>
      </w:pPr>
      <w:r w:rsidRPr="00AF2665">
        <w:rPr>
          <w:b/>
          <w:bCs/>
          <w:sz w:val="22"/>
          <w:szCs w:val="22"/>
        </w:rPr>
        <w:t>(2)</w:t>
      </w:r>
      <w:r w:rsidRPr="00AF2665">
        <w:rPr>
          <w:b/>
          <w:bCs/>
          <w:sz w:val="22"/>
          <w:szCs w:val="22"/>
        </w:rPr>
        <w:tab/>
        <w:t>Financing income and expenses (cont’d)</w:t>
      </w:r>
    </w:p>
    <w:p w14:paraId="78E73F74" w14:textId="77777777" w:rsidR="001F7300" w:rsidRPr="007715B5" w:rsidRDefault="001F7300" w:rsidP="009C1608">
      <w:pPr>
        <w:ind w:left="1440"/>
        <w:jc w:val="both"/>
        <w:rPr>
          <w:sz w:val="22"/>
          <w:szCs w:val="22"/>
          <w:lang w:val="en"/>
        </w:rPr>
      </w:pPr>
    </w:p>
    <w:p w14:paraId="5B371B22" w14:textId="65834B29" w:rsidR="00022CD3" w:rsidRDefault="00EF3D75" w:rsidP="009C1608">
      <w:pPr>
        <w:ind w:left="1440"/>
        <w:jc w:val="both"/>
        <w:rPr>
          <w:sz w:val="22"/>
          <w:szCs w:val="22"/>
        </w:rPr>
      </w:pPr>
      <w:r w:rsidRPr="00EF3D75">
        <w:rPr>
          <w:sz w:val="22"/>
          <w:szCs w:val="22"/>
        </w:rPr>
        <w:t xml:space="preserve">Interest income or expense is recognized using the effective interest method. Generally, in calculating interest income and expense, the effective interest rate is applied to the gross carrying amount of the financial asset or to the amortized cost of the financial liability, as applicable. However, for credit-impaired financial assets that were purchased or created, or for financial assets that have become credit-impaired </w:t>
      </w:r>
      <w:proofErr w:type="gramStart"/>
      <w:r w:rsidRPr="00EF3D75">
        <w:rPr>
          <w:sz w:val="22"/>
          <w:szCs w:val="22"/>
        </w:rPr>
        <w:t>subsequent to</w:t>
      </w:r>
      <w:proofErr w:type="gramEnd"/>
      <w:r w:rsidRPr="00EF3D75">
        <w:rPr>
          <w:sz w:val="22"/>
          <w:szCs w:val="22"/>
        </w:rPr>
        <w:t xml:space="preserve"> initial recognition, interest income is calculated by applying the effective interest rate to the amortized cost of the financial asset.  </w:t>
      </w:r>
    </w:p>
    <w:bookmarkEnd w:id="96"/>
    <w:p w14:paraId="3C5454D1" w14:textId="77777777" w:rsidR="005B1E58" w:rsidRPr="009C1608" w:rsidRDefault="005B1E58" w:rsidP="009C1608">
      <w:pPr>
        <w:ind w:left="1440"/>
        <w:jc w:val="both"/>
        <w:rPr>
          <w:sz w:val="22"/>
          <w:szCs w:val="22"/>
        </w:rPr>
      </w:pPr>
    </w:p>
    <w:p w14:paraId="0EFCEC5A" w14:textId="1000C1E1" w:rsidR="00C35D07" w:rsidRPr="00F02921" w:rsidRDefault="001F7300" w:rsidP="000B59AD">
      <w:pPr>
        <w:ind w:left="720"/>
        <w:jc w:val="both"/>
        <w:outlineLvl w:val="3"/>
        <w:rPr>
          <w:sz w:val="22"/>
          <w:szCs w:val="22"/>
        </w:rPr>
      </w:pPr>
      <w:bookmarkStart w:id="111" w:name="H4_RTaxes_on_income_"/>
      <w:r>
        <w:rPr>
          <w:b/>
          <w:bCs/>
          <w:sz w:val="22"/>
          <w:szCs w:val="22"/>
        </w:rPr>
        <w:t>R</w:t>
      </w:r>
      <w:r w:rsidR="00C35D07" w:rsidRPr="00F02921">
        <w:rPr>
          <w:b/>
          <w:bCs/>
          <w:sz w:val="22"/>
          <w:szCs w:val="22"/>
        </w:rPr>
        <w:t>.</w:t>
      </w:r>
      <w:r w:rsidR="00C35D07" w:rsidRPr="00F02921">
        <w:rPr>
          <w:b/>
          <w:bCs/>
          <w:sz w:val="22"/>
          <w:szCs w:val="22"/>
        </w:rPr>
        <w:tab/>
      </w:r>
      <w:r>
        <w:rPr>
          <w:b/>
          <w:bCs/>
          <w:sz w:val="22"/>
          <w:szCs w:val="22"/>
        </w:rPr>
        <w:t>Taxes on income</w:t>
      </w:r>
      <w:r w:rsidR="00C35D07" w:rsidRPr="00F02921">
        <w:rPr>
          <w:b/>
          <w:bCs/>
          <w:sz w:val="22"/>
          <w:szCs w:val="22"/>
        </w:rPr>
        <w:t xml:space="preserve"> </w:t>
      </w:r>
    </w:p>
    <w:bookmarkEnd w:id="111"/>
    <w:p w14:paraId="1803F743" w14:textId="77777777" w:rsidR="00C35D07" w:rsidRPr="00F02921" w:rsidRDefault="00C35D07" w:rsidP="00CC1EFE">
      <w:pPr>
        <w:ind w:left="720"/>
        <w:jc w:val="both"/>
        <w:rPr>
          <w:sz w:val="22"/>
          <w:szCs w:val="22"/>
        </w:rPr>
      </w:pPr>
    </w:p>
    <w:p w14:paraId="6E249357" w14:textId="77777777" w:rsidR="001F7300" w:rsidRPr="001F7300" w:rsidRDefault="001F7300" w:rsidP="007715B5">
      <w:pPr>
        <w:ind w:left="1440"/>
        <w:rPr>
          <w:sz w:val="22"/>
          <w:szCs w:val="22"/>
        </w:rPr>
      </w:pPr>
      <w:r w:rsidRPr="001F7300">
        <w:rPr>
          <w:sz w:val="22"/>
          <w:szCs w:val="22"/>
        </w:rPr>
        <w:t xml:space="preserve">Current or deferred taxes are recognized in profit or loss, except to the extent that they relate to items which are recognized in other comprehensive income or equity. </w:t>
      </w:r>
    </w:p>
    <w:p w14:paraId="0C355191" w14:textId="77777777" w:rsidR="001F7300" w:rsidRPr="001F7300" w:rsidRDefault="001F7300" w:rsidP="001F7300">
      <w:pPr>
        <w:ind w:left="720"/>
        <w:rPr>
          <w:sz w:val="22"/>
          <w:szCs w:val="22"/>
        </w:rPr>
      </w:pPr>
    </w:p>
    <w:p w14:paraId="7486DCF2" w14:textId="3472A34C" w:rsidR="001F7300" w:rsidRPr="007715B5" w:rsidRDefault="001F7300" w:rsidP="00C5462B">
      <w:pPr>
        <w:pStyle w:val="af2"/>
        <w:numPr>
          <w:ilvl w:val="0"/>
          <w:numId w:val="27"/>
        </w:numPr>
        <w:outlineLvl w:val="4"/>
        <w:rPr>
          <w:sz w:val="22"/>
          <w:szCs w:val="22"/>
        </w:rPr>
      </w:pPr>
      <w:bookmarkStart w:id="112" w:name="H5_Current_taxes"/>
      <w:r w:rsidRPr="007715B5">
        <w:rPr>
          <w:sz w:val="22"/>
          <w:szCs w:val="22"/>
        </w:rPr>
        <w:t>Current taxes:</w:t>
      </w:r>
    </w:p>
    <w:bookmarkEnd w:id="112"/>
    <w:p w14:paraId="74D735BC" w14:textId="77777777" w:rsidR="001F7300" w:rsidRPr="001F7300" w:rsidRDefault="001F7300" w:rsidP="001F7300">
      <w:pPr>
        <w:ind w:left="720"/>
        <w:rPr>
          <w:sz w:val="22"/>
          <w:szCs w:val="22"/>
        </w:rPr>
      </w:pPr>
    </w:p>
    <w:p w14:paraId="7F355704" w14:textId="77777777" w:rsidR="001F7300" w:rsidRPr="001F7300" w:rsidRDefault="001F7300" w:rsidP="007715B5">
      <w:pPr>
        <w:ind w:left="1440"/>
        <w:rPr>
          <w:sz w:val="22"/>
          <w:szCs w:val="22"/>
        </w:rPr>
      </w:pPr>
      <w:r w:rsidRPr="001F7300">
        <w:rPr>
          <w:sz w:val="22"/>
          <w:szCs w:val="22"/>
        </w:rPr>
        <w:t xml:space="preserve">The current tax liability is measured using the tax rates and tax laws that have been enacted or substantively enacted by the reporting date as well as adjustments required in connection with the tax liability in respect of previous years. </w:t>
      </w:r>
    </w:p>
    <w:p w14:paraId="3C58400C" w14:textId="77777777" w:rsidR="001F7300" w:rsidRPr="001F7300" w:rsidRDefault="001F7300" w:rsidP="001F7300">
      <w:pPr>
        <w:ind w:left="720"/>
        <w:rPr>
          <w:sz w:val="22"/>
          <w:szCs w:val="22"/>
        </w:rPr>
      </w:pPr>
    </w:p>
    <w:p w14:paraId="209DCF1F" w14:textId="21D594DB" w:rsidR="001F7300" w:rsidRPr="007715B5" w:rsidRDefault="001F7300" w:rsidP="00C5462B">
      <w:pPr>
        <w:pStyle w:val="af2"/>
        <w:numPr>
          <w:ilvl w:val="0"/>
          <w:numId w:val="27"/>
        </w:numPr>
        <w:outlineLvl w:val="4"/>
        <w:rPr>
          <w:sz w:val="22"/>
          <w:szCs w:val="22"/>
        </w:rPr>
      </w:pPr>
      <w:bookmarkStart w:id="113" w:name="H5_Deferred_taxes"/>
      <w:r w:rsidRPr="007715B5">
        <w:rPr>
          <w:sz w:val="22"/>
          <w:szCs w:val="22"/>
        </w:rPr>
        <w:t>Deferred taxes:</w:t>
      </w:r>
    </w:p>
    <w:bookmarkEnd w:id="113"/>
    <w:p w14:paraId="611FAC08" w14:textId="77777777" w:rsidR="001F7300" w:rsidRPr="001F7300" w:rsidRDefault="001F7300" w:rsidP="001F7300">
      <w:pPr>
        <w:ind w:left="720"/>
        <w:rPr>
          <w:sz w:val="22"/>
          <w:szCs w:val="22"/>
        </w:rPr>
      </w:pPr>
    </w:p>
    <w:p w14:paraId="17178B98" w14:textId="77777777" w:rsidR="001F7300" w:rsidRPr="001F7300" w:rsidRDefault="001F7300" w:rsidP="00417B13">
      <w:pPr>
        <w:ind w:left="1440"/>
        <w:jc w:val="both"/>
        <w:rPr>
          <w:sz w:val="22"/>
          <w:szCs w:val="22"/>
        </w:rPr>
      </w:pPr>
      <w:r w:rsidRPr="001F7300">
        <w:rPr>
          <w:sz w:val="22"/>
          <w:szCs w:val="22"/>
        </w:rPr>
        <w:t xml:space="preserve">Deferred taxes are computed in respect of temporary differences between </w:t>
      </w:r>
      <w:proofErr w:type="gramStart"/>
      <w:r w:rsidRPr="001F7300">
        <w:rPr>
          <w:sz w:val="22"/>
          <w:szCs w:val="22"/>
        </w:rPr>
        <w:t>the carrying</w:t>
      </w:r>
      <w:proofErr w:type="gramEnd"/>
      <w:r w:rsidRPr="001F7300">
        <w:rPr>
          <w:sz w:val="22"/>
          <w:szCs w:val="22"/>
        </w:rPr>
        <w:t xml:space="preserve"> amounts in the financial statements and the amounts attributed for tax purposes. </w:t>
      </w:r>
    </w:p>
    <w:p w14:paraId="7D531424" w14:textId="77777777" w:rsidR="001F7300" w:rsidRPr="001F7300" w:rsidRDefault="001F7300" w:rsidP="00417B13">
      <w:pPr>
        <w:ind w:left="720"/>
        <w:jc w:val="both"/>
        <w:rPr>
          <w:sz w:val="22"/>
          <w:szCs w:val="22"/>
        </w:rPr>
      </w:pPr>
    </w:p>
    <w:p w14:paraId="7738A5AE" w14:textId="77777777" w:rsidR="001F7300" w:rsidRPr="001F7300" w:rsidRDefault="001F7300" w:rsidP="00417B13">
      <w:pPr>
        <w:ind w:left="1440"/>
        <w:jc w:val="both"/>
        <w:rPr>
          <w:sz w:val="22"/>
          <w:szCs w:val="22"/>
        </w:rPr>
      </w:pPr>
      <w:r w:rsidRPr="001F7300">
        <w:rPr>
          <w:sz w:val="22"/>
          <w:szCs w:val="22"/>
        </w:rPr>
        <w:t xml:space="preserve">Deferred taxes are measured at the tax rate that is expected to apply when the asset is realized or the liability is settled, based on tax laws that have been enacted or substantively enacted by the reporting date. </w:t>
      </w:r>
    </w:p>
    <w:p w14:paraId="5339071C" w14:textId="77777777" w:rsidR="001F7300" w:rsidRPr="001F7300" w:rsidRDefault="001F7300" w:rsidP="00417B13">
      <w:pPr>
        <w:ind w:left="720"/>
        <w:jc w:val="both"/>
        <w:rPr>
          <w:sz w:val="22"/>
          <w:szCs w:val="22"/>
        </w:rPr>
      </w:pPr>
    </w:p>
    <w:p w14:paraId="4DD2A399" w14:textId="77777777" w:rsidR="001F7300" w:rsidRPr="001F7300" w:rsidRDefault="001F7300" w:rsidP="00417B13">
      <w:pPr>
        <w:ind w:left="1440"/>
        <w:jc w:val="both"/>
        <w:rPr>
          <w:sz w:val="22"/>
          <w:szCs w:val="22"/>
        </w:rPr>
      </w:pPr>
      <w:r w:rsidRPr="001F7300">
        <w:rPr>
          <w:sz w:val="22"/>
          <w:szCs w:val="22"/>
        </w:rPr>
        <w:t xml:space="preserve">Deferred tax assets are reviewed at each reporting date and reduced to the extent that it is not probable that they will be utilized. Deductible carryforward losses and temporary differences for which deferred tax assets had not been recognized are reviewed at each reporting date and a respective deferred tax asset is recognized to the extent that their utilization is probable. </w:t>
      </w:r>
    </w:p>
    <w:p w14:paraId="24DB0A09" w14:textId="77777777" w:rsidR="001F7300" w:rsidRPr="001F7300" w:rsidRDefault="001F7300" w:rsidP="00417B13">
      <w:pPr>
        <w:ind w:left="720"/>
        <w:jc w:val="both"/>
        <w:rPr>
          <w:sz w:val="22"/>
          <w:szCs w:val="22"/>
        </w:rPr>
      </w:pPr>
    </w:p>
    <w:p w14:paraId="6B319284" w14:textId="78C5F9B3" w:rsidR="00C35D07" w:rsidRPr="00F02921" w:rsidRDefault="001F7300" w:rsidP="00417B13">
      <w:pPr>
        <w:tabs>
          <w:tab w:val="left" w:pos="1530"/>
        </w:tabs>
        <w:ind w:left="1440"/>
        <w:jc w:val="both"/>
        <w:rPr>
          <w:sz w:val="22"/>
          <w:szCs w:val="22"/>
        </w:rPr>
      </w:pPr>
      <w:r w:rsidRPr="001F7300">
        <w:rPr>
          <w:sz w:val="22"/>
          <w:szCs w:val="22"/>
        </w:rPr>
        <w:t xml:space="preserve">Deferred taxes in respect of investment property that is held with the objective of recovering substantially </w:t>
      </w:r>
      <w:proofErr w:type="gramStart"/>
      <w:r w:rsidRPr="001F7300">
        <w:rPr>
          <w:sz w:val="22"/>
          <w:szCs w:val="22"/>
        </w:rPr>
        <w:t>all of</w:t>
      </w:r>
      <w:proofErr w:type="gramEnd"/>
      <w:r w:rsidRPr="001F7300">
        <w:rPr>
          <w:sz w:val="22"/>
          <w:szCs w:val="22"/>
        </w:rPr>
        <w:t xml:space="preserve"> the economic benefits embedded in the investment property through sale and not through use are measured in accordance with the expected manner of recovery of the base asset, on the basis of sale rather than use</w:t>
      </w:r>
      <w:r w:rsidR="00C35D07" w:rsidRPr="00F02921">
        <w:rPr>
          <w:sz w:val="22"/>
          <w:szCs w:val="22"/>
        </w:rPr>
        <w:t xml:space="preserve">. </w:t>
      </w:r>
    </w:p>
    <w:p w14:paraId="6D6D8910" w14:textId="77777777" w:rsidR="001F7300" w:rsidRDefault="001F7300" w:rsidP="00417B13">
      <w:pPr>
        <w:ind w:left="720" w:firstLine="720"/>
        <w:jc w:val="both"/>
        <w:rPr>
          <w:i/>
          <w:iCs/>
          <w:sz w:val="22"/>
          <w:szCs w:val="22"/>
        </w:rPr>
      </w:pPr>
    </w:p>
    <w:p w14:paraId="7CB872BA" w14:textId="3712C61E" w:rsidR="001F7300" w:rsidRPr="007715B5" w:rsidRDefault="001F7300" w:rsidP="00417B13">
      <w:pPr>
        <w:ind w:left="1440"/>
        <w:jc w:val="both"/>
        <w:rPr>
          <w:sz w:val="22"/>
          <w:szCs w:val="22"/>
        </w:rPr>
      </w:pPr>
      <w:r w:rsidRPr="007715B5">
        <w:rPr>
          <w:sz w:val="22"/>
          <w:szCs w:val="22"/>
        </w:rPr>
        <w:t>When the Company owns an investment in a single property company and the manner in which the Company expects to dispose of the investment is by selling the shares of the property company rather than by selling the property itself, the Company recognizes deferred taxes for both inside temporary differences arising from the difference between the carrying amount of the property and its tax basis, and for outside temporary differences arising from the difference between the tax basis of the investment and the Company's carrying amount of the net assets of the investment in the consolidated financial statements</w:t>
      </w:r>
    </w:p>
    <w:p w14:paraId="0F758FF4" w14:textId="52F31AEE" w:rsidR="001F7300" w:rsidRDefault="001F7300" w:rsidP="00EC46C9">
      <w:pPr>
        <w:ind w:left="720" w:firstLine="720"/>
        <w:jc w:val="both"/>
        <w:rPr>
          <w:sz w:val="22"/>
          <w:szCs w:val="22"/>
        </w:rPr>
      </w:pPr>
    </w:p>
    <w:p w14:paraId="535D085C" w14:textId="04B042F4" w:rsidR="00AF2665" w:rsidRDefault="00AF2665">
      <w:pPr>
        <w:rPr>
          <w:sz w:val="22"/>
          <w:szCs w:val="22"/>
        </w:rPr>
      </w:pPr>
      <w:r>
        <w:rPr>
          <w:sz w:val="22"/>
          <w:szCs w:val="22"/>
        </w:rPr>
        <w:br w:type="page"/>
      </w:r>
    </w:p>
    <w:p w14:paraId="79052CA8" w14:textId="77777777" w:rsidR="00D7633B" w:rsidRPr="003617AD" w:rsidRDefault="00D7633B" w:rsidP="00EC46C9">
      <w:pPr>
        <w:ind w:left="720" w:firstLine="720"/>
        <w:jc w:val="both"/>
        <w:rPr>
          <w:sz w:val="22"/>
          <w:szCs w:val="22"/>
        </w:rPr>
      </w:pPr>
    </w:p>
    <w:p w14:paraId="095484AC" w14:textId="33829865" w:rsidR="00A20109" w:rsidRPr="003617AD" w:rsidRDefault="00A20109" w:rsidP="00A20109">
      <w:pPr>
        <w:rPr>
          <w:b/>
          <w:bCs/>
          <w:sz w:val="22"/>
          <w:szCs w:val="22"/>
        </w:rPr>
      </w:pPr>
      <w:r w:rsidRPr="003617AD">
        <w:rPr>
          <w:b/>
          <w:bCs/>
          <w:sz w:val="22"/>
          <w:szCs w:val="22"/>
        </w:rPr>
        <w:t>Note 3 - Significant Accounting Policies (cont’d)</w:t>
      </w:r>
    </w:p>
    <w:p w14:paraId="2813EE21" w14:textId="74201679" w:rsidR="00A20109" w:rsidRPr="003617AD" w:rsidRDefault="00A20109" w:rsidP="00A20109">
      <w:pPr>
        <w:rPr>
          <w:b/>
          <w:bCs/>
          <w:sz w:val="22"/>
          <w:szCs w:val="22"/>
        </w:rPr>
      </w:pPr>
    </w:p>
    <w:p w14:paraId="187CF018" w14:textId="79934A18" w:rsidR="00A20109" w:rsidRPr="003617AD" w:rsidRDefault="001F7300" w:rsidP="00A20109">
      <w:pPr>
        <w:ind w:left="720"/>
        <w:jc w:val="both"/>
        <w:rPr>
          <w:sz w:val="22"/>
          <w:szCs w:val="22"/>
        </w:rPr>
      </w:pPr>
      <w:r w:rsidRPr="003617AD">
        <w:rPr>
          <w:b/>
          <w:bCs/>
          <w:sz w:val="22"/>
          <w:szCs w:val="22"/>
        </w:rPr>
        <w:t>R</w:t>
      </w:r>
      <w:r w:rsidR="00A20109" w:rsidRPr="003617AD">
        <w:rPr>
          <w:b/>
          <w:bCs/>
          <w:sz w:val="22"/>
          <w:szCs w:val="22"/>
        </w:rPr>
        <w:t>.</w:t>
      </w:r>
      <w:r w:rsidR="00A20109" w:rsidRPr="003617AD">
        <w:rPr>
          <w:b/>
          <w:bCs/>
          <w:sz w:val="22"/>
          <w:szCs w:val="22"/>
        </w:rPr>
        <w:tab/>
      </w:r>
      <w:r w:rsidRPr="003617AD">
        <w:rPr>
          <w:b/>
          <w:bCs/>
          <w:sz w:val="22"/>
          <w:szCs w:val="22"/>
        </w:rPr>
        <w:t>Taxes on income</w:t>
      </w:r>
      <w:r w:rsidR="00A20109" w:rsidRPr="003617AD">
        <w:rPr>
          <w:b/>
          <w:bCs/>
          <w:sz w:val="22"/>
          <w:szCs w:val="22"/>
        </w:rPr>
        <w:t xml:space="preserve"> (cont’d)</w:t>
      </w:r>
    </w:p>
    <w:p w14:paraId="33EA7F21" w14:textId="77777777" w:rsidR="00C35D07" w:rsidRPr="00F02921" w:rsidRDefault="00C35D07" w:rsidP="00237FC5">
      <w:pPr>
        <w:jc w:val="both"/>
        <w:rPr>
          <w:sz w:val="22"/>
          <w:szCs w:val="22"/>
        </w:rPr>
      </w:pPr>
    </w:p>
    <w:p w14:paraId="279F6081" w14:textId="77777777" w:rsidR="001F7300" w:rsidRPr="001F7300" w:rsidRDefault="001F7300" w:rsidP="00417B13">
      <w:pPr>
        <w:ind w:left="1440"/>
        <w:jc w:val="both"/>
        <w:rPr>
          <w:sz w:val="22"/>
          <w:szCs w:val="22"/>
        </w:rPr>
      </w:pPr>
      <w:r w:rsidRPr="001F7300">
        <w:rPr>
          <w:sz w:val="22"/>
          <w:szCs w:val="22"/>
        </w:rPr>
        <w:t xml:space="preserve">Taxes that would apply in the event of the disposal of investments in investees have not been </w:t>
      </w:r>
      <w:proofErr w:type="gramStart"/>
      <w:r w:rsidRPr="001F7300">
        <w:rPr>
          <w:sz w:val="22"/>
          <w:szCs w:val="22"/>
        </w:rPr>
        <w:t>taken into account</w:t>
      </w:r>
      <w:proofErr w:type="gramEnd"/>
      <w:r w:rsidRPr="001F7300">
        <w:rPr>
          <w:sz w:val="22"/>
          <w:szCs w:val="22"/>
        </w:rPr>
        <w:t xml:space="preserve"> in computing deferred taxes, as long as the disposal of the investments in investees is not probable in the foreseeable future. Also, deferred taxes that would apply in the event of distribution of earnings by investees as dividends have not been </w:t>
      </w:r>
      <w:proofErr w:type="gramStart"/>
      <w:r w:rsidRPr="001F7300">
        <w:rPr>
          <w:sz w:val="22"/>
          <w:szCs w:val="22"/>
        </w:rPr>
        <w:t>taken into account</w:t>
      </w:r>
      <w:proofErr w:type="gramEnd"/>
      <w:r w:rsidRPr="001F7300">
        <w:rPr>
          <w:sz w:val="22"/>
          <w:szCs w:val="22"/>
        </w:rPr>
        <w:t xml:space="preserve"> in computing deferred taxes, since the distribution of dividends does not involve an additional tax liability or since it is the Company's policy not to initiate distribution of dividends from a subsidiary that would trigger an additional tax liability. </w:t>
      </w:r>
    </w:p>
    <w:p w14:paraId="2845FB86" w14:textId="77777777" w:rsidR="001F7300" w:rsidRPr="001F7300" w:rsidRDefault="001F7300" w:rsidP="00417B13">
      <w:pPr>
        <w:ind w:left="1440"/>
        <w:jc w:val="both"/>
        <w:rPr>
          <w:sz w:val="22"/>
          <w:szCs w:val="22"/>
        </w:rPr>
      </w:pPr>
    </w:p>
    <w:p w14:paraId="1FCF022C" w14:textId="77777777" w:rsidR="001F7300" w:rsidRPr="001F7300" w:rsidRDefault="001F7300" w:rsidP="00417B13">
      <w:pPr>
        <w:ind w:left="1440"/>
        <w:jc w:val="both"/>
        <w:rPr>
          <w:sz w:val="22"/>
          <w:szCs w:val="22"/>
        </w:rPr>
      </w:pPr>
      <w:r w:rsidRPr="001F7300">
        <w:rPr>
          <w:sz w:val="22"/>
          <w:szCs w:val="22"/>
        </w:rPr>
        <w:t xml:space="preserve">Taxes on income that relate to distributions of an equity instrument and to transaction costs of an equity transaction are accounted for pursuant to IAS 12. </w:t>
      </w:r>
    </w:p>
    <w:p w14:paraId="63931831" w14:textId="77777777" w:rsidR="001F7300" w:rsidRPr="001F7300" w:rsidRDefault="001F7300" w:rsidP="00417B13">
      <w:pPr>
        <w:ind w:left="1440"/>
        <w:jc w:val="both"/>
        <w:rPr>
          <w:sz w:val="22"/>
          <w:szCs w:val="22"/>
        </w:rPr>
      </w:pPr>
    </w:p>
    <w:p w14:paraId="1A71DC88" w14:textId="695B1360" w:rsidR="001F7300" w:rsidRDefault="001F7300" w:rsidP="00417B13">
      <w:pPr>
        <w:ind w:left="1440"/>
        <w:jc w:val="both"/>
        <w:rPr>
          <w:sz w:val="22"/>
          <w:szCs w:val="22"/>
        </w:rPr>
      </w:pPr>
      <w:r w:rsidRPr="001F7300">
        <w:rPr>
          <w:sz w:val="22"/>
          <w:szCs w:val="22"/>
        </w:rPr>
        <w:t>Deferred taxes are offset if there is a legally enforceable right to offset a current tax asset against a current tax liability and the deferred taxes relate to the same taxpayer and the same taxation authority</w:t>
      </w:r>
      <w:r>
        <w:rPr>
          <w:sz w:val="22"/>
          <w:szCs w:val="22"/>
        </w:rPr>
        <w:t>.</w:t>
      </w:r>
    </w:p>
    <w:bookmarkEnd w:id="110"/>
    <w:p w14:paraId="5CA342FD" w14:textId="77777777" w:rsidR="00F32588" w:rsidRDefault="00F32588" w:rsidP="00F32588">
      <w:pPr>
        <w:jc w:val="both"/>
        <w:rPr>
          <w:sz w:val="22"/>
          <w:szCs w:val="22"/>
        </w:rPr>
      </w:pPr>
    </w:p>
    <w:p w14:paraId="7E4DCE14" w14:textId="1A5A9D58" w:rsidR="00C35D07" w:rsidRPr="00F02921" w:rsidRDefault="003B1D4E" w:rsidP="000B59AD">
      <w:pPr>
        <w:ind w:left="720"/>
        <w:jc w:val="both"/>
        <w:outlineLvl w:val="3"/>
        <w:rPr>
          <w:b/>
          <w:bCs/>
          <w:sz w:val="22"/>
          <w:szCs w:val="22"/>
        </w:rPr>
      </w:pPr>
      <w:bookmarkStart w:id="114" w:name="H4_SSegment_reporting"/>
      <w:r>
        <w:rPr>
          <w:b/>
          <w:bCs/>
          <w:sz w:val="22"/>
          <w:szCs w:val="22"/>
        </w:rPr>
        <w:t>S</w:t>
      </w:r>
      <w:r w:rsidR="00C35D07" w:rsidRPr="00F02921">
        <w:rPr>
          <w:b/>
          <w:bCs/>
          <w:sz w:val="22"/>
          <w:szCs w:val="22"/>
        </w:rPr>
        <w:t>.</w:t>
      </w:r>
      <w:r w:rsidR="00C35D07" w:rsidRPr="00F02921">
        <w:rPr>
          <w:b/>
          <w:bCs/>
          <w:sz w:val="22"/>
          <w:szCs w:val="22"/>
        </w:rPr>
        <w:tab/>
        <w:t>Segment reporting</w:t>
      </w:r>
    </w:p>
    <w:bookmarkEnd w:id="114"/>
    <w:p w14:paraId="09E7E43C" w14:textId="77777777" w:rsidR="00C35D07" w:rsidRPr="00F02921" w:rsidRDefault="00C35D07" w:rsidP="00CC1EFE">
      <w:pPr>
        <w:ind w:left="720"/>
        <w:jc w:val="both"/>
        <w:rPr>
          <w:sz w:val="22"/>
          <w:szCs w:val="22"/>
        </w:rPr>
      </w:pPr>
    </w:p>
    <w:p w14:paraId="202B74CA" w14:textId="77777777" w:rsidR="00C35D07" w:rsidRPr="00F02921" w:rsidRDefault="00C35D07" w:rsidP="00236B14">
      <w:pPr>
        <w:ind w:left="1440"/>
        <w:jc w:val="both"/>
        <w:rPr>
          <w:sz w:val="22"/>
          <w:szCs w:val="22"/>
        </w:rPr>
      </w:pPr>
      <w:r w:rsidRPr="00F02921">
        <w:rPr>
          <w:sz w:val="22"/>
          <w:szCs w:val="22"/>
        </w:rPr>
        <w:t>An operating segment is a component of the Group that engages in business activities from which it may earn revenues and incur expenses including revenues and expenses that relate to transactions with any of the Group’s other components. All operating segments operating results are reviewed regularly by the Group’s CEO to make decisions about resources to be</w:t>
      </w:r>
      <w:r w:rsidR="00811D17">
        <w:rPr>
          <w:sz w:val="22"/>
          <w:szCs w:val="22"/>
        </w:rPr>
        <w:t xml:space="preserve"> a</w:t>
      </w:r>
      <w:r w:rsidRPr="00F02921">
        <w:rPr>
          <w:sz w:val="22"/>
          <w:szCs w:val="22"/>
        </w:rPr>
        <w:t>llocated to the segment and assess its performance, and for which separate financial information is available.</w:t>
      </w:r>
    </w:p>
    <w:p w14:paraId="3E2C3C8E" w14:textId="77777777" w:rsidR="00C35D07" w:rsidRPr="00F02921" w:rsidRDefault="00C35D07" w:rsidP="00CC1EFE">
      <w:pPr>
        <w:ind w:left="1440"/>
        <w:jc w:val="both"/>
        <w:rPr>
          <w:sz w:val="22"/>
          <w:szCs w:val="22"/>
        </w:rPr>
      </w:pPr>
    </w:p>
    <w:p w14:paraId="421BDEE4" w14:textId="77777777" w:rsidR="00C35D07" w:rsidRPr="00F02921" w:rsidRDefault="00C35D07" w:rsidP="00CC1EFE">
      <w:pPr>
        <w:ind w:left="1440"/>
        <w:jc w:val="both"/>
        <w:rPr>
          <w:sz w:val="22"/>
          <w:szCs w:val="22"/>
        </w:rPr>
      </w:pPr>
      <w:r w:rsidRPr="00F02921">
        <w:rPr>
          <w:sz w:val="22"/>
          <w:szCs w:val="22"/>
        </w:rPr>
        <w:t>Inter-segment pricing is determined on an arm’s</w:t>
      </w:r>
      <w:r w:rsidR="00811D17">
        <w:rPr>
          <w:sz w:val="22"/>
          <w:szCs w:val="22"/>
        </w:rPr>
        <w:t>-</w:t>
      </w:r>
      <w:r w:rsidRPr="00F02921">
        <w:rPr>
          <w:sz w:val="22"/>
          <w:szCs w:val="22"/>
        </w:rPr>
        <w:t xml:space="preserve"> length basis.</w:t>
      </w:r>
    </w:p>
    <w:p w14:paraId="4242995C" w14:textId="77777777" w:rsidR="00C35D07" w:rsidRPr="00F02921" w:rsidRDefault="00C35D07" w:rsidP="00CC1EFE">
      <w:pPr>
        <w:ind w:left="720"/>
        <w:jc w:val="both"/>
        <w:rPr>
          <w:sz w:val="22"/>
          <w:szCs w:val="22"/>
        </w:rPr>
      </w:pPr>
    </w:p>
    <w:p w14:paraId="100231AC" w14:textId="77777777" w:rsidR="00C35D07" w:rsidRPr="00F02921" w:rsidRDefault="00C35D07" w:rsidP="00CC1EFE">
      <w:pPr>
        <w:ind w:left="1440"/>
        <w:jc w:val="both"/>
        <w:rPr>
          <w:sz w:val="22"/>
          <w:szCs w:val="22"/>
        </w:rPr>
      </w:pPr>
      <w:r w:rsidRPr="00F02921">
        <w:rPr>
          <w:sz w:val="22"/>
          <w:szCs w:val="22"/>
        </w:rPr>
        <w:t>Segment results, assets and liabilities include items directly attributable to a segment as well as those that can be allocated on a reasonable basis. Unallocated items comprise mainly investments (other than investment property) and related revenue, loans and borrowings and related expenses, corporate assets (primarily the Company’s headquarters) and head office expenses, and income tax assets and liabilities.</w:t>
      </w:r>
    </w:p>
    <w:p w14:paraId="3F383F65" w14:textId="77777777" w:rsidR="00C35D07" w:rsidRPr="00F02921" w:rsidRDefault="00C35D07" w:rsidP="00CC1EFE">
      <w:pPr>
        <w:ind w:left="1440"/>
        <w:jc w:val="both"/>
        <w:rPr>
          <w:sz w:val="22"/>
          <w:szCs w:val="22"/>
        </w:rPr>
      </w:pPr>
    </w:p>
    <w:p w14:paraId="6BE4CA19" w14:textId="77777777" w:rsidR="00C35D07" w:rsidRPr="00F02921" w:rsidRDefault="00C35D07" w:rsidP="00CC1EFE">
      <w:pPr>
        <w:ind w:left="1440"/>
        <w:jc w:val="both"/>
        <w:rPr>
          <w:sz w:val="22"/>
          <w:szCs w:val="22"/>
        </w:rPr>
      </w:pPr>
      <w:r w:rsidRPr="00F02921">
        <w:rPr>
          <w:sz w:val="22"/>
          <w:szCs w:val="22"/>
        </w:rPr>
        <w:t>Segment capital expenditure is the total cost incurred during the period to acquire investment property, inventory and property, plant and equipment.</w:t>
      </w:r>
    </w:p>
    <w:p w14:paraId="432A1B11" w14:textId="77777777" w:rsidR="00C35D07" w:rsidRPr="00F02921" w:rsidRDefault="00C35D07" w:rsidP="00CC1EFE">
      <w:pPr>
        <w:ind w:left="720"/>
        <w:jc w:val="both"/>
        <w:rPr>
          <w:b/>
          <w:bCs/>
          <w:sz w:val="22"/>
          <w:szCs w:val="22"/>
        </w:rPr>
      </w:pPr>
    </w:p>
    <w:p w14:paraId="2E1E3F44" w14:textId="21530639" w:rsidR="000A0795" w:rsidRPr="000A0795" w:rsidRDefault="003B1D4E" w:rsidP="000B59AD">
      <w:pPr>
        <w:ind w:left="720"/>
        <w:jc w:val="both"/>
        <w:outlineLvl w:val="3"/>
        <w:rPr>
          <w:b/>
          <w:bCs/>
          <w:sz w:val="22"/>
          <w:szCs w:val="22"/>
        </w:rPr>
      </w:pPr>
      <w:bookmarkStart w:id="115" w:name="H4_TTransactions_with_controlling_shareh"/>
      <w:r>
        <w:rPr>
          <w:b/>
          <w:bCs/>
          <w:sz w:val="22"/>
          <w:szCs w:val="22"/>
        </w:rPr>
        <w:t>T</w:t>
      </w:r>
      <w:r w:rsidR="000A0795" w:rsidRPr="000A0795">
        <w:rPr>
          <w:b/>
          <w:bCs/>
          <w:sz w:val="22"/>
          <w:szCs w:val="22"/>
        </w:rPr>
        <w:t>.</w:t>
      </w:r>
      <w:r w:rsidR="000A0795" w:rsidRPr="000A0795">
        <w:rPr>
          <w:b/>
          <w:bCs/>
          <w:sz w:val="22"/>
          <w:szCs w:val="22"/>
        </w:rPr>
        <w:tab/>
        <w:t xml:space="preserve">Transactions with controlling </w:t>
      </w:r>
      <w:proofErr w:type="gramStart"/>
      <w:r w:rsidR="000A0795" w:rsidRPr="000A0795">
        <w:rPr>
          <w:b/>
          <w:bCs/>
          <w:sz w:val="22"/>
          <w:szCs w:val="22"/>
        </w:rPr>
        <w:t>shareholder</w:t>
      </w:r>
      <w:proofErr w:type="gramEnd"/>
    </w:p>
    <w:bookmarkEnd w:id="115"/>
    <w:p w14:paraId="596DE932" w14:textId="77777777" w:rsidR="000A0795" w:rsidRPr="000A0795" w:rsidRDefault="000A0795" w:rsidP="000A0795">
      <w:pPr>
        <w:ind w:left="1440"/>
        <w:rPr>
          <w:sz w:val="22"/>
          <w:szCs w:val="22"/>
        </w:rPr>
      </w:pPr>
    </w:p>
    <w:p w14:paraId="1EA59A30" w14:textId="77777777" w:rsidR="000A0795" w:rsidRDefault="000A0795" w:rsidP="00236B14">
      <w:pPr>
        <w:ind w:left="1440"/>
        <w:jc w:val="both"/>
        <w:rPr>
          <w:sz w:val="22"/>
          <w:szCs w:val="22"/>
        </w:rPr>
      </w:pPr>
      <w:r w:rsidRPr="000A0795">
        <w:rPr>
          <w:sz w:val="22"/>
          <w:szCs w:val="22"/>
        </w:rPr>
        <w:t>Assets and liabilities included in a transaction with a controlling shareholder are measured at fair value on the date of the transaction. As the transaction is on the equity level, the Company includes the difference between the fair value and the consideration from the transaction in its equity.</w:t>
      </w:r>
      <w:bookmarkEnd w:id="47"/>
    </w:p>
    <w:p w14:paraId="1D7286C3" w14:textId="77777777" w:rsidR="00C52BA0" w:rsidRDefault="00C52BA0" w:rsidP="00236B14">
      <w:pPr>
        <w:ind w:left="1440"/>
        <w:jc w:val="both"/>
        <w:rPr>
          <w:sz w:val="22"/>
          <w:szCs w:val="22"/>
        </w:rPr>
      </w:pPr>
    </w:p>
    <w:p w14:paraId="689806AB" w14:textId="77777777" w:rsidR="00C52BA0" w:rsidRPr="00F02921" w:rsidRDefault="00C52BA0" w:rsidP="00236B14">
      <w:pPr>
        <w:ind w:left="1440"/>
        <w:jc w:val="both"/>
        <w:rPr>
          <w:sz w:val="22"/>
          <w:szCs w:val="22"/>
        </w:rPr>
        <w:sectPr w:rsidR="00C52BA0" w:rsidRPr="00F02921" w:rsidSect="00593E8F">
          <w:endnotePr>
            <w:numFmt w:val="lowerLetter"/>
          </w:endnotePr>
          <w:type w:val="nextColumn"/>
          <w:pgSz w:w="11906" w:h="16838"/>
          <w:pgMar w:top="1134" w:right="1134" w:bottom="1134" w:left="1134" w:header="567" w:footer="567" w:gutter="0"/>
          <w:paperSrc w:first="15" w:other="15"/>
          <w:cols w:space="720"/>
          <w:bidi/>
          <w:docGrid w:linePitch="326"/>
        </w:sectPr>
      </w:pPr>
    </w:p>
    <w:p w14:paraId="7B2F2255" w14:textId="77777777" w:rsidR="003617AD" w:rsidRDefault="003617AD" w:rsidP="00D43B3C">
      <w:pPr>
        <w:autoSpaceDE w:val="0"/>
        <w:autoSpaceDN w:val="0"/>
        <w:adjustRightInd w:val="0"/>
        <w:jc w:val="both"/>
        <w:rPr>
          <w:b/>
          <w:bCs/>
          <w:sz w:val="22"/>
          <w:szCs w:val="22"/>
        </w:rPr>
      </w:pPr>
    </w:p>
    <w:p w14:paraId="2B44B05B" w14:textId="1E494029" w:rsidR="00C35D07" w:rsidRPr="005E27A8" w:rsidRDefault="00C35D07" w:rsidP="00D43B3C">
      <w:pPr>
        <w:autoSpaceDE w:val="0"/>
        <w:autoSpaceDN w:val="0"/>
        <w:adjustRightInd w:val="0"/>
        <w:jc w:val="both"/>
        <w:rPr>
          <w:b/>
          <w:bCs/>
          <w:sz w:val="22"/>
          <w:szCs w:val="22"/>
        </w:rPr>
      </w:pPr>
      <w:r w:rsidRPr="005E27A8">
        <w:rPr>
          <w:b/>
          <w:bCs/>
          <w:sz w:val="22"/>
          <w:szCs w:val="22"/>
        </w:rPr>
        <w:t>Note 3 - Significant Accounting Policies (cont’d)</w:t>
      </w:r>
    </w:p>
    <w:p w14:paraId="052E4B8F" w14:textId="77777777" w:rsidR="00C35D07" w:rsidRPr="005E27A8" w:rsidRDefault="00C35D07" w:rsidP="00CC1EFE">
      <w:pPr>
        <w:pStyle w:val="BEUR0"/>
        <w:jc w:val="both"/>
        <w:rPr>
          <w:rFonts w:ascii="Times New Roman" w:hAnsi="Times New Roman"/>
          <w:sz w:val="22"/>
          <w:szCs w:val="22"/>
        </w:rPr>
      </w:pPr>
    </w:p>
    <w:p w14:paraId="5C155EC6" w14:textId="730B8831" w:rsidR="00C35D07" w:rsidRPr="005E27A8" w:rsidRDefault="003B1D4E" w:rsidP="000B59AD">
      <w:pPr>
        <w:jc w:val="both"/>
        <w:outlineLvl w:val="3"/>
        <w:rPr>
          <w:b/>
          <w:bCs/>
          <w:sz w:val="22"/>
          <w:szCs w:val="22"/>
        </w:rPr>
      </w:pPr>
      <w:bookmarkStart w:id="116" w:name="H4_UNew_standards_amendments_to_standard"/>
      <w:r w:rsidRPr="005E27A8">
        <w:rPr>
          <w:b/>
          <w:bCs/>
          <w:sz w:val="22"/>
          <w:szCs w:val="22"/>
        </w:rPr>
        <w:t>U</w:t>
      </w:r>
      <w:r w:rsidR="00C35D07" w:rsidRPr="005E27A8">
        <w:rPr>
          <w:b/>
          <w:bCs/>
          <w:sz w:val="22"/>
          <w:szCs w:val="22"/>
        </w:rPr>
        <w:t>.</w:t>
      </w:r>
      <w:r w:rsidR="00C35D07" w:rsidRPr="005E27A8">
        <w:rPr>
          <w:b/>
          <w:bCs/>
          <w:sz w:val="22"/>
          <w:szCs w:val="22"/>
        </w:rPr>
        <w:tab/>
        <w:t>New standards</w:t>
      </w:r>
      <w:r w:rsidR="00DE2B31" w:rsidRPr="005E27A8">
        <w:rPr>
          <w:b/>
          <w:bCs/>
          <w:sz w:val="22"/>
          <w:szCs w:val="22"/>
        </w:rPr>
        <w:t xml:space="preserve">, amendments to </w:t>
      </w:r>
      <w:r w:rsidR="00C556F2" w:rsidRPr="005E27A8">
        <w:rPr>
          <w:b/>
          <w:bCs/>
          <w:sz w:val="22"/>
          <w:szCs w:val="22"/>
        </w:rPr>
        <w:t>standards</w:t>
      </w:r>
      <w:r w:rsidR="00C35D07" w:rsidRPr="005E27A8">
        <w:rPr>
          <w:b/>
          <w:bCs/>
          <w:sz w:val="22"/>
          <w:szCs w:val="22"/>
        </w:rPr>
        <w:t xml:space="preserve"> and interpretations not yet adopted </w:t>
      </w:r>
    </w:p>
    <w:bookmarkEnd w:id="116"/>
    <w:p w14:paraId="3AE1CA1E" w14:textId="77777777" w:rsidR="00C35D07" w:rsidRPr="003868F4" w:rsidRDefault="00C35D07" w:rsidP="00307CD3">
      <w:pPr>
        <w:jc w:val="both"/>
        <w:rPr>
          <w:b/>
          <w:bCs/>
          <w:sz w:val="22"/>
          <w:szCs w:val="22"/>
          <w:highlight w:val="yellow"/>
        </w:rPr>
      </w:pPr>
    </w:p>
    <w:tbl>
      <w:tblPr>
        <w:tblW w:w="14876" w:type="dxa"/>
        <w:tblLayout w:type="fixed"/>
        <w:tblLook w:val="06A0" w:firstRow="1" w:lastRow="0" w:firstColumn="1" w:lastColumn="0" w:noHBand="1" w:noVBand="1"/>
        <w:tblCaption w:val="AHR02"/>
        <w:tblDescription w:val="New standards, amendments to standards and interpretations not yet adopted "/>
      </w:tblPr>
      <w:tblGrid>
        <w:gridCol w:w="2631"/>
        <w:gridCol w:w="7937"/>
        <w:gridCol w:w="2494"/>
        <w:gridCol w:w="1814"/>
      </w:tblGrid>
      <w:tr w:rsidR="006909F2" w:rsidRPr="00636E39" w14:paraId="6C8CF7C9" w14:textId="77777777" w:rsidTr="006909F2">
        <w:trPr>
          <w:cantSplit/>
          <w:trHeight w:val="536"/>
          <w:tblHeader/>
        </w:trPr>
        <w:tc>
          <w:tcPr>
            <w:tcW w:w="2631" w:type="dxa"/>
          </w:tcPr>
          <w:p w14:paraId="6871B316" w14:textId="77777777" w:rsidR="006909F2" w:rsidRPr="00636E39" w:rsidRDefault="006909F2" w:rsidP="00184B55">
            <w:pPr>
              <w:jc w:val="both"/>
              <w:rPr>
                <w:b/>
                <w:bCs/>
                <w:sz w:val="22"/>
                <w:szCs w:val="22"/>
              </w:rPr>
            </w:pPr>
            <w:bookmarkStart w:id="117" w:name="Title_11" w:colFirst="0" w:colLast="0"/>
            <w:r w:rsidRPr="00636E39">
              <w:rPr>
                <w:b/>
                <w:bCs/>
                <w:sz w:val="22"/>
                <w:szCs w:val="22"/>
              </w:rPr>
              <w:t>Standard/interpretation/</w:t>
            </w:r>
          </w:p>
          <w:p w14:paraId="0313A1DE" w14:textId="6CF02F87" w:rsidR="006909F2" w:rsidRPr="00636E39" w:rsidRDefault="006909F2" w:rsidP="00184B55">
            <w:pPr>
              <w:pBdr>
                <w:bottom w:val="single" w:sz="4" w:space="1" w:color="auto"/>
              </w:pBdr>
              <w:jc w:val="both"/>
              <w:rPr>
                <w:b/>
                <w:bCs/>
                <w:sz w:val="22"/>
                <w:szCs w:val="22"/>
              </w:rPr>
            </w:pPr>
            <w:r w:rsidRPr="00636E39">
              <w:rPr>
                <w:b/>
                <w:bCs/>
                <w:sz w:val="22"/>
                <w:szCs w:val="22"/>
              </w:rPr>
              <w:t>Amendment</w:t>
            </w:r>
          </w:p>
        </w:tc>
        <w:tc>
          <w:tcPr>
            <w:tcW w:w="7937" w:type="dxa"/>
            <w:vAlign w:val="bottom"/>
          </w:tcPr>
          <w:p w14:paraId="23356145" w14:textId="76CCE48C" w:rsidR="006909F2" w:rsidRPr="00636E39" w:rsidRDefault="006909F2" w:rsidP="006909F2">
            <w:pPr>
              <w:pBdr>
                <w:bottom w:val="single" w:sz="4" w:space="1" w:color="auto"/>
              </w:pBdr>
              <w:rPr>
                <w:b/>
                <w:bCs/>
                <w:sz w:val="22"/>
                <w:szCs w:val="22"/>
              </w:rPr>
            </w:pPr>
            <w:r w:rsidRPr="00636E39">
              <w:rPr>
                <w:b/>
                <w:bCs/>
                <w:sz w:val="22"/>
                <w:szCs w:val="22"/>
              </w:rPr>
              <w:t>The requirements of the publication</w:t>
            </w:r>
          </w:p>
        </w:tc>
        <w:tc>
          <w:tcPr>
            <w:tcW w:w="2494" w:type="dxa"/>
          </w:tcPr>
          <w:p w14:paraId="64FD307F" w14:textId="77777777" w:rsidR="006909F2" w:rsidRPr="00636E39" w:rsidRDefault="006909F2" w:rsidP="00184B55">
            <w:pPr>
              <w:jc w:val="both"/>
              <w:rPr>
                <w:b/>
                <w:bCs/>
                <w:sz w:val="22"/>
                <w:szCs w:val="22"/>
              </w:rPr>
            </w:pPr>
            <w:r w:rsidRPr="00636E39">
              <w:rPr>
                <w:b/>
                <w:bCs/>
                <w:sz w:val="22"/>
                <w:szCs w:val="22"/>
              </w:rPr>
              <w:t xml:space="preserve">Effective date and </w:t>
            </w:r>
          </w:p>
          <w:p w14:paraId="51E16092" w14:textId="603A5EF0" w:rsidR="006909F2" w:rsidRPr="00636E39" w:rsidRDefault="006909F2" w:rsidP="00184B55">
            <w:pPr>
              <w:pBdr>
                <w:bottom w:val="single" w:sz="4" w:space="1" w:color="auto"/>
              </w:pBdr>
              <w:jc w:val="both"/>
              <w:rPr>
                <w:b/>
                <w:bCs/>
                <w:sz w:val="22"/>
                <w:szCs w:val="22"/>
              </w:rPr>
            </w:pPr>
            <w:r w:rsidRPr="00636E39">
              <w:rPr>
                <w:b/>
                <w:bCs/>
                <w:sz w:val="22"/>
                <w:szCs w:val="22"/>
              </w:rPr>
              <w:t>transitional provisions</w:t>
            </w:r>
          </w:p>
        </w:tc>
        <w:tc>
          <w:tcPr>
            <w:tcW w:w="1814" w:type="dxa"/>
            <w:vAlign w:val="bottom"/>
          </w:tcPr>
          <w:p w14:paraId="4E429CFA" w14:textId="5DA78146" w:rsidR="006909F2" w:rsidRPr="00636E39" w:rsidRDefault="006909F2" w:rsidP="006909F2">
            <w:pPr>
              <w:pBdr>
                <w:bottom w:val="single" w:sz="4" w:space="1" w:color="auto"/>
              </w:pBdr>
              <w:jc w:val="center"/>
              <w:rPr>
                <w:b/>
                <w:bCs/>
                <w:sz w:val="22"/>
                <w:szCs w:val="22"/>
              </w:rPr>
            </w:pPr>
            <w:r w:rsidRPr="00636E39">
              <w:rPr>
                <w:b/>
                <w:bCs/>
                <w:sz w:val="22"/>
                <w:szCs w:val="22"/>
              </w:rPr>
              <w:t>Expected effects</w:t>
            </w:r>
          </w:p>
        </w:tc>
      </w:tr>
      <w:bookmarkEnd w:id="117"/>
      <w:tr w:rsidR="00927C0F" w:rsidRPr="00636E39" w14:paraId="5EFCD81C" w14:textId="77777777" w:rsidTr="006909F2">
        <w:tc>
          <w:tcPr>
            <w:tcW w:w="2631" w:type="dxa"/>
          </w:tcPr>
          <w:p w14:paraId="294806C9" w14:textId="476626BD" w:rsidR="00927C0F" w:rsidRPr="00B0427E" w:rsidRDefault="00927C0F" w:rsidP="00927C0F">
            <w:pPr>
              <w:rPr>
                <w:b/>
                <w:bCs/>
                <w:sz w:val="22"/>
                <w:szCs w:val="22"/>
              </w:rPr>
            </w:pPr>
            <w:r>
              <w:rPr>
                <w:b/>
                <w:bCs/>
                <w:sz w:val="22"/>
                <w:szCs w:val="22"/>
              </w:rPr>
              <w:t>(1)</w:t>
            </w:r>
            <w:r>
              <w:rPr>
                <w:b/>
                <w:bCs/>
                <w:sz w:val="22"/>
                <w:szCs w:val="22"/>
              </w:rPr>
              <w:tab/>
            </w:r>
            <w:r w:rsidRPr="002E7163">
              <w:rPr>
                <w:b/>
                <w:bCs/>
                <w:sz w:val="22"/>
                <w:szCs w:val="22"/>
              </w:rPr>
              <w:t xml:space="preserve">Amendments to IFRS 9, </w:t>
            </w:r>
            <w:r w:rsidRPr="002E7163">
              <w:rPr>
                <w:b/>
                <w:bCs/>
                <w:i/>
                <w:iCs/>
                <w:sz w:val="22"/>
                <w:szCs w:val="22"/>
              </w:rPr>
              <w:t>Financial Instruments</w:t>
            </w:r>
            <w:r w:rsidRPr="002E7163">
              <w:rPr>
                <w:b/>
                <w:bCs/>
                <w:sz w:val="22"/>
                <w:szCs w:val="22"/>
              </w:rPr>
              <w:t xml:space="preserve">, and IFRS 7, </w:t>
            </w:r>
            <w:r w:rsidRPr="002E7163">
              <w:rPr>
                <w:b/>
                <w:bCs/>
                <w:i/>
                <w:iCs/>
                <w:sz w:val="22"/>
                <w:szCs w:val="22"/>
              </w:rPr>
              <w:t>Financial Instruments: Disclosures</w:t>
            </w:r>
            <w:r w:rsidRPr="002E7163">
              <w:rPr>
                <w:b/>
                <w:bCs/>
                <w:sz w:val="22"/>
                <w:szCs w:val="22"/>
              </w:rPr>
              <w:t xml:space="preserve">, </w:t>
            </w:r>
            <w:r w:rsidRPr="002E7163">
              <w:rPr>
                <w:b/>
                <w:bCs/>
                <w:i/>
                <w:iCs/>
                <w:sz w:val="22"/>
                <w:szCs w:val="22"/>
              </w:rPr>
              <w:t>Amendments to the Classification and Measurement of Financial Instruments</w:t>
            </w:r>
          </w:p>
        </w:tc>
        <w:tc>
          <w:tcPr>
            <w:tcW w:w="7937" w:type="dxa"/>
          </w:tcPr>
          <w:p w14:paraId="34E8F136" w14:textId="77777777" w:rsidR="00927C0F" w:rsidRPr="006766A0" w:rsidRDefault="00927C0F" w:rsidP="00927C0F">
            <w:pPr>
              <w:jc w:val="both"/>
              <w:rPr>
                <w:sz w:val="22"/>
                <w:szCs w:val="22"/>
              </w:rPr>
            </w:pPr>
            <w:r w:rsidRPr="006766A0">
              <w:rPr>
                <w:sz w:val="22"/>
                <w:szCs w:val="22"/>
              </w:rPr>
              <w:t>The amendments address the following matters:</w:t>
            </w:r>
          </w:p>
          <w:p w14:paraId="677A6235" w14:textId="77777777" w:rsidR="00927C0F" w:rsidRPr="006766A0" w:rsidRDefault="00927C0F" w:rsidP="00927C0F">
            <w:pPr>
              <w:pStyle w:val="af2"/>
              <w:numPr>
                <w:ilvl w:val="0"/>
                <w:numId w:val="43"/>
              </w:numPr>
              <w:ind w:left="714" w:hanging="357"/>
              <w:jc w:val="both"/>
              <w:rPr>
                <w:sz w:val="22"/>
                <w:szCs w:val="22"/>
              </w:rPr>
            </w:pPr>
            <w:r w:rsidRPr="006766A0">
              <w:rPr>
                <w:sz w:val="22"/>
                <w:szCs w:val="22"/>
              </w:rPr>
              <w:t xml:space="preserve">Clarifications are added as to the date of recognition and derecognition of financial instruments, and an exception is added with respect to the timing of derecognizing financial liabilities settled by electronic transfers of </w:t>
            </w:r>
            <w:proofErr w:type="gramStart"/>
            <w:r w:rsidRPr="006766A0">
              <w:rPr>
                <w:sz w:val="22"/>
                <w:szCs w:val="22"/>
              </w:rPr>
              <w:t>cash;</w:t>
            </w:r>
            <w:proofErr w:type="gramEnd"/>
          </w:p>
          <w:p w14:paraId="5D1670EE" w14:textId="77777777" w:rsidR="00927C0F" w:rsidRPr="006766A0" w:rsidRDefault="00927C0F" w:rsidP="00927C0F">
            <w:pPr>
              <w:pStyle w:val="af2"/>
              <w:numPr>
                <w:ilvl w:val="0"/>
                <w:numId w:val="43"/>
              </w:numPr>
              <w:ind w:left="714" w:hanging="357"/>
              <w:jc w:val="both"/>
              <w:rPr>
                <w:sz w:val="22"/>
                <w:szCs w:val="22"/>
              </w:rPr>
            </w:pPr>
            <w:r w:rsidRPr="006766A0">
              <w:rPr>
                <w:sz w:val="22"/>
                <w:szCs w:val="22"/>
              </w:rPr>
              <w:t xml:space="preserve">Classification of financial assets – </w:t>
            </w:r>
          </w:p>
          <w:p w14:paraId="76C3C5BA" w14:textId="77777777" w:rsidR="006766A0" w:rsidRDefault="00927C0F" w:rsidP="006766A0">
            <w:pPr>
              <w:pStyle w:val="af2"/>
              <w:numPr>
                <w:ilvl w:val="0"/>
                <w:numId w:val="44"/>
              </w:numPr>
              <w:ind w:left="1074"/>
              <w:jc w:val="both"/>
              <w:rPr>
                <w:sz w:val="22"/>
                <w:szCs w:val="22"/>
              </w:rPr>
            </w:pPr>
            <w:r w:rsidRPr="006766A0">
              <w:rPr>
                <w:sz w:val="22"/>
                <w:szCs w:val="22"/>
              </w:rPr>
              <w:t>Updated application guidance for assessing whether contractual cash flows of a financial asset are solely payments of principal and interest (SPPI) when the contractual terms of the asset include contingent features (such as linkage to ESG measures) and examples on the matter.</w:t>
            </w:r>
          </w:p>
          <w:p w14:paraId="2115841C" w14:textId="1C4AA5B5" w:rsidR="00927C0F" w:rsidRPr="006766A0" w:rsidRDefault="00927C0F" w:rsidP="006766A0">
            <w:pPr>
              <w:pStyle w:val="af2"/>
              <w:numPr>
                <w:ilvl w:val="0"/>
                <w:numId w:val="44"/>
              </w:numPr>
              <w:ind w:left="1074"/>
              <w:jc w:val="both"/>
              <w:rPr>
                <w:sz w:val="22"/>
                <w:szCs w:val="22"/>
              </w:rPr>
            </w:pPr>
            <w:r w:rsidRPr="006766A0">
              <w:rPr>
                <w:sz w:val="22"/>
                <w:szCs w:val="22"/>
              </w:rPr>
              <w:t>Clarification as to when financial instruments are contractually linked and when they are non-recourse, for the purpose of determining whether they are solely payments of principal and interest (SPPI).</w:t>
            </w:r>
          </w:p>
          <w:p w14:paraId="283D02BE" w14:textId="77777777" w:rsidR="00927C0F" w:rsidRPr="006766A0" w:rsidRDefault="00927C0F" w:rsidP="00927C0F">
            <w:pPr>
              <w:pStyle w:val="af2"/>
              <w:numPr>
                <w:ilvl w:val="0"/>
                <w:numId w:val="43"/>
              </w:numPr>
              <w:ind w:left="714" w:hanging="357"/>
              <w:jc w:val="both"/>
              <w:rPr>
                <w:sz w:val="22"/>
                <w:szCs w:val="22"/>
              </w:rPr>
            </w:pPr>
            <w:r w:rsidRPr="006766A0">
              <w:rPr>
                <w:sz w:val="22"/>
                <w:szCs w:val="22"/>
              </w:rPr>
              <w:t xml:space="preserve">Updated disclosure requirements for financial instruments </w:t>
            </w:r>
            <w:proofErr w:type="gramStart"/>
            <w:r w:rsidRPr="006766A0">
              <w:rPr>
                <w:sz w:val="22"/>
                <w:szCs w:val="22"/>
              </w:rPr>
              <w:t>having</w:t>
            </w:r>
            <w:proofErr w:type="gramEnd"/>
            <w:r w:rsidRPr="006766A0">
              <w:rPr>
                <w:sz w:val="22"/>
                <w:szCs w:val="22"/>
              </w:rPr>
              <w:t xml:space="preserve"> contingent features that are not directly related to changes in the basic risks/cost of the instrument; and</w:t>
            </w:r>
          </w:p>
          <w:p w14:paraId="4B3909F0" w14:textId="57CE8123" w:rsidR="00927C0F" w:rsidRPr="006766A0" w:rsidRDefault="00927C0F" w:rsidP="00927C0F">
            <w:pPr>
              <w:pStyle w:val="af2"/>
              <w:numPr>
                <w:ilvl w:val="0"/>
                <w:numId w:val="43"/>
              </w:numPr>
              <w:ind w:left="714" w:hanging="357"/>
              <w:jc w:val="both"/>
              <w:rPr>
                <w:sz w:val="22"/>
                <w:szCs w:val="22"/>
              </w:rPr>
            </w:pPr>
            <w:r w:rsidRPr="006766A0">
              <w:rPr>
                <w:sz w:val="22"/>
                <w:szCs w:val="22"/>
              </w:rPr>
              <w:t>Updated disclosure requirements for investments in equity instruments measured at fair value through other comprehensive income (FVOCI).</w:t>
            </w:r>
          </w:p>
        </w:tc>
        <w:tc>
          <w:tcPr>
            <w:tcW w:w="2494" w:type="dxa"/>
          </w:tcPr>
          <w:p w14:paraId="2279751C" w14:textId="77777777" w:rsidR="00927C0F" w:rsidRPr="006766A0" w:rsidRDefault="00927C0F" w:rsidP="00927C0F">
            <w:pPr>
              <w:jc w:val="both"/>
              <w:rPr>
                <w:sz w:val="22"/>
                <w:szCs w:val="22"/>
              </w:rPr>
            </w:pPr>
            <w:r w:rsidRPr="006766A0">
              <w:rPr>
                <w:sz w:val="22"/>
                <w:szCs w:val="22"/>
              </w:rPr>
              <w:t xml:space="preserve">The amendments are effective for annual reporting periods beginning on or after January 1, 2026. Earlier application is permitted. An entity may choose to early apply all the amendments or only the amendments regarding the classification of financial assets (including the amendment to IFRS 7 that includes the related disclosure requirements). </w:t>
            </w:r>
          </w:p>
          <w:p w14:paraId="1B5CD1D1" w14:textId="288E6B98" w:rsidR="00927C0F" w:rsidRPr="006766A0" w:rsidRDefault="00927C0F" w:rsidP="00927C0F">
            <w:pPr>
              <w:rPr>
                <w:sz w:val="22"/>
                <w:szCs w:val="22"/>
              </w:rPr>
            </w:pPr>
            <w:r w:rsidRPr="006766A0">
              <w:rPr>
                <w:sz w:val="22"/>
                <w:szCs w:val="22"/>
              </w:rPr>
              <w:t>The amendment to IFRS 9 is to be applied retrospectively and there is no requirement to restate comparative data. In the application of the amendment to IFRS 7 an entity is not required to provide disclosures with respect to periods before the initial date of application of the amendments.</w:t>
            </w:r>
          </w:p>
        </w:tc>
        <w:tc>
          <w:tcPr>
            <w:tcW w:w="1814" w:type="dxa"/>
          </w:tcPr>
          <w:p w14:paraId="15259CCB" w14:textId="116CFFFF" w:rsidR="00927C0F" w:rsidRPr="006766A0" w:rsidRDefault="00927C0F" w:rsidP="00927C0F">
            <w:pPr>
              <w:rPr>
                <w:sz w:val="22"/>
                <w:szCs w:val="22"/>
              </w:rPr>
            </w:pPr>
            <w:r w:rsidRPr="006766A0">
              <w:rPr>
                <w:sz w:val="22"/>
                <w:szCs w:val="22"/>
              </w:rPr>
              <w:t>The Group is examining the effects of the amendments on the financial statements with no plans for early adoption.</w:t>
            </w:r>
          </w:p>
        </w:tc>
      </w:tr>
    </w:tbl>
    <w:p w14:paraId="3A4A2064" w14:textId="4A18784B" w:rsidR="003617AD" w:rsidRDefault="003617AD" w:rsidP="009A5CDB">
      <w:pPr>
        <w:autoSpaceDE w:val="0"/>
        <w:autoSpaceDN w:val="0"/>
        <w:adjustRightInd w:val="0"/>
        <w:jc w:val="both"/>
        <w:rPr>
          <w:b/>
          <w:bCs/>
          <w:sz w:val="26"/>
          <w:szCs w:val="26"/>
        </w:rPr>
      </w:pPr>
    </w:p>
    <w:p w14:paraId="27CBBB3A" w14:textId="77777777" w:rsidR="003617AD" w:rsidRDefault="003617AD">
      <w:pPr>
        <w:rPr>
          <w:b/>
          <w:bCs/>
          <w:sz w:val="26"/>
          <w:szCs w:val="26"/>
        </w:rPr>
      </w:pPr>
      <w:r>
        <w:rPr>
          <w:b/>
          <w:bCs/>
          <w:sz w:val="26"/>
          <w:szCs w:val="26"/>
        </w:rPr>
        <w:br w:type="page"/>
      </w:r>
    </w:p>
    <w:p w14:paraId="2742D600" w14:textId="77777777" w:rsidR="00396768" w:rsidRPr="003617AD" w:rsidRDefault="00396768" w:rsidP="009A5CDB">
      <w:pPr>
        <w:autoSpaceDE w:val="0"/>
        <w:autoSpaceDN w:val="0"/>
        <w:adjustRightInd w:val="0"/>
        <w:jc w:val="both"/>
        <w:rPr>
          <w:b/>
          <w:bCs/>
          <w:sz w:val="22"/>
          <w:szCs w:val="22"/>
        </w:rPr>
      </w:pPr>
    </w:p>
    <w:p w14:paraId="4DD75300" w14:textId="78ECEF4E" w:rsidR="00F63980" w:rsidRPr="003617AD" w:rsidRDefault="00F63980" w:rsidP="00F63980">
      <w:pPr>
        <w:autoSpaceDE w:val="0"/>
        <w:autoSpaceDN w:val="0"/>
        <w:adjustRightInd w:val="0"/>
        <w:jc w:val="both"/>
        <w:rPr>
          <w:b/>
          <w:bCs/>
          <w:sz w:val="22"/>
          <w:szCs w:val="22"/>
        </w:rPr>
      </w:pPr>
      <w:r w:rsidRPr="003617AD">
        <w:rPr>
          <w:b/>
          <w:bCs/>
          <w:sz w:val="22"/>
          <w:szCs w:val="22"/>
        </w:rPr>
        <w:t>Note 3 - Significant Accounting Policies (cont’d)</w:t>
      </w:r>
    </w:p>
    <w:p w14:paraId="5898087B" w14:textId="77777777" w:rsidR="00F63980" w:rsidRPr="003617AD" w:rsidRDefault="00F63980" w:rsidP="00F63980">
      <w:pPr>
        <w:pStyle w:val="BEUR0"/>
        <w:jc w:val="both"/>
        <w:rPr>
          <w:rFonts w:ascii="Times New Roman" w:hAnsi="Times New Roman"/>
          <w:sz w:val="22"/>
          <w:szCs w:val="22"/>
        </w:rPr>
      </w:pPr>
    </w:p>
    <w:p w14:paraId="5B8A3C96" w14:textId="4BA96D15" w:rsidR="00F63980" w:rsidRPr="003617AD" w:rsidRDefault="003B1D4E" w:rsidP="00F63980">
      <w:pPr>
        <w:jc w:val="both"/>
        <w:rPr>
          <w:b/>
          <w:bCs/>
          <w:sz w:val="22"/>
          <w:szCs w:val="22"/>
        </w:rPr>
      </w:pPr>
      <w:r w:rsidRPr="005E27A8">
        <w:rPr>
          <w:b/>
          <w:bCs/>
          <w:sz w:val="22"/>
          <w:szCs w:val="22"/>
        </w:rPr>
        <w:t>U</w:t>
      </w:r>
      <w:r w:rsidR="00F63980" w:rsidRPr="005E27A8">
        <w:rPr>
          <w:b/>
          <w:bCs/>
          <w:sz w:val="22"/>
          <w:szCs w:val="22"/>
        </w:rPr>
        <w:t>.</w:t>
      </w:r>
      <w:r w:rsidR="00F63980" w:rsidRPr="005E27A8">
        <w:rPr>
          <w:b/>
          <w:bCs/>
          <w:sz w:val="22"/>
          <w:szCs w:val="22"/>
        </w:rPr>
        <w:tab/>
        <w:t>New standards, amendments to standards and interpretations not yet adopted (Cont’d)</w:t>
      </w:r>
    </w:p>
    <w:p w14:paraId="61432187" w14:textId="77777777" w:rsidR="00F63980" w:rsidRDefault="00F63980" w:rsidP="00F63980">
      <w:pPr>
        <w:jc w:val="both"/>
        <w:rPr>
          <w:b/>
          <w:bCs/>
          <w:sz w:val="22"/>
          <w:szCs w:val="22"/>
        </w:rPr>
      </w:pPr>
    </w:p>
    <w:tbl>
      <w:tblPr>
        <w:tblW w:w="15066" w:type="dxa"/>
        <w:tblLayout w:type="fixed"/>
        <w:tblLook w:val="06A0" w:firstRow="1" w:lastRow="0" w:firstColumn="1" w:lastColumn="0" w:noHBand="1" w:noVBand="1"/>
        <w:tblCaption w:val="AHR02"/>
        <w:tblDescription w:val="New standards, amendments to standards and interpretations not yet adopted "/>
      </w:tblPr>
      <w:tblGrid>
        <w:gridCol w:w="2631"/>
        <w:gridCol w:w="6549"/>
        <w:gridCol w:w="3261"/>
        <w:gridCol w:w="2625"/>
      </w:tblGrid>
      <w:tr w:rsidR="006909F2" w:rsidRPr="00636E39" w14:paraId="49697E33" w14:textId="77777777" w:rsidTr="006909F2">
        <w:trPr>
          <w:cantSplit/>
          <w:trHeight w:val="536"/>
          <w:tblHeader/>
        </w:trPr>
        <w:tc>
          <w:tcPr>
            <w:tcW w:w="2631" w:type="dxa"/>
          </w:tcPr>
          <w:p w14:paraId="385DFDC9" w14:textId="77777777" w:rsidR="006909F2" w:rsidRPr="00636E39" w:rsidRDefault="006909F2" w:rsidP="0019652F">
            <w:pPr>
              <w:jc w:val="both"/>
              <w:rPr>
                <w:b/>
                <w:bCs/>
                <w:sz w:val="22"/>
                <w:szCs w:val="22"/>
              </w:rPr>
            </w:pPr>
            <w:bookmarkStart w:id="118" w:name="Title_13" w:colFirst="0" w:colLast="0"/>
            <w:r w:rsidRPr="00636E39">
              <w:rPr>
                <w:b/>
                <w:bCs/>
                <w:sz w:val="22"/>
                <w:szCs w:val="22"/>
              </w:rPr>
              <w:t>Standard/interpretation/</w:t>
            </w:r>
          </w:p>
          <w:p w14:paraId="676A2C7B" w14:textId="08DDD8F2" w:rsidR="006909F2" w:rsidRPr="00636E39" w:rsidRDefault="006909F2" w:rsidP="0019652F">
            <w:pPr>
              <w:pBdr>
                <w:bottom w:val="single" w:sz="4" w:space="1" w:color="auto"/>
              </w:pBdr>
              <w:jc w:val="both"/>
              <w:rPr>
                <w:b/>
                <w:bCs/>
                <w:sz w:val="22"/>
                <w:szCs w:val="22"/>
              </w:rPr>
            </w:pPr>
            <w:r w:rsidRPr="00636E39">
              <w:rPr>
                <w:b/>
                <w:bCs/>
                <w:sz w:val="22"/>
                <w:szCs w:val="22"/>
              </w:rPr>
              <w:t>Amendment</w:t>
            </w:r>
          </w:p>
        </w:tc>
        <w:tc>
          <w:tcPr>
            <w:tcW w:w="6549" w:type="dxa"/>
            <w:vAlign w:val="bottom"/>
          </w:tcPr>
          <w:p w14:paraId="6F394EDC" w14:textId="7CEE0CA7" w:rsidR="006909F2" w:rsidRPr="00636E39" w:rsidRDefault="006909F2" w:rsidP="006909F2">
            <w:pPr>
              <w:pBdr>
                <w:bottom w:val="single" w:sz="4" w:space="1" w:color="auto"/>
              </w:pBdr>
              <w:rPr>
                <w:b/>
                <w:bCs/>
                <w:sz w:val="22"/>
                <w:szCs w:val="22"/>
              </w:rPr>
            </w:pPr>
            <w:r w:rsidRPr="00636E39">
              <w:rPr>
                <w:b/>
                <w:bCs/>
                <w:sz w:val="22"/>
                <w:szCs w:val="22"/>
              </w:rPr>
              <w:t>The requirements of the publication</w:t>
            </w:r>
          </w:p>
        </w:tc>
        <w:tc>
          <w:tcPr>
            <w:tcW w:w="3261" w:type="dxa"/>
          </w:tcPr>
          <w:p w14:paraId="09CBF68B" w14:textId="77777777" w:rsidR="006909F2" w:rsidRPr="00636E39" w:rsidRDefault="006909F2" w:rsidP="0019652F">
            <w:pPr>
              <w:jc w:val="both"/>
              <w:rPr>
                <w:b/>
                <w:bCs/>
                <w:sz w:val="22"/>
                <w:szCs w:val="22"/>
              </w:rPr>
            </w:pPr>
            <w:r w:rsidRPr="00636E39">
              <w:rPr>
                <w:b/>
                <w:bCs/>
                <w:sz w:val="22"/>
                <w:szCs w:val="22"/>
              </w:rPr>
              <w:t xml:space="preserve">Effective date and </w:t>
            </w:r>
          </w:p>
          <w:p w14:paraId="04934882" w14:textId="70BDE419" w:rsidR="006909F2" w:rsidRPr="00636E39" w:rsidRDefault="006909F2" w:rsidP="0019652F">
            <w:pPr>
              <w:pBdr>
                <w:bottom w:val="single" w:sz="4" w:space="1" w:color="auto"/>
              </w:pBdr>
              <w:jc w:val="both"/>
              <w:rPr>
                <w:b/>
                <w:bCs/>
                <w:sz w:val="22"/>
                <w:szCs w:val="22"/>
              </w:rPr>
            </w:pPr>
            <w:r w:rsidRPr="00636E39">
              <w:rPr>
                <w:b/>
                <w:bCs/>
                <w:sz w:val="22"/>
                <w:szCs w:val="22"/>
              </w:rPr>
              <w:t>transitional provisions</w:t>
            </w:r>
          </w:p>
        </w:tc>
        <w:tc>
          <w:tcPr>
            <w:tcW w:w="2625" w:type="dxa"/>
            <w:vAlign w:val="bottom"/>
          </w:tcPr>
          <w:p w14:paraId="21515D00" w14:textId="61BD9D78" w:rsidR="006909F2" w:rsidRPr="00636E39" w:rsidRDefault="006909F2" w:rsidP="006909F2">
            <w:pPr>
              <w:pBdr>
                <w:bottom w:val="single" w:sz="4" w:space="1" w:color="auto"/>
              </w:pBdr>
              <w:rPr>
                <w:b/>
                <w:bCs/>
                <w:sz w:val="22"/>
                <w:szCs w:val="22"/>
              </w:rPr>
            </w:pPr>
            <w:r w:rsidRPr="00636E39">
              <w:rPr>
                <w:b/>
                <w:bCs/>
                <w:sz w:val="22"/>
                <w:szCs w:val="22"/>
              </w:rPr>
              <w:t>Expected effects</w:t>
            </w:r>
          </w:p>
        </w:tc>
      </w:tr>
      <w:bookmarkEnd w:id="118"/>
      <w:tr w:rsidR="005E27A8" w:rsidRPr="00636E39" w14:paraId="4A7E0760" w14:textId="77777777" w:rsidTr="006909F2">
        <w:tc>
          <w:tcPr>
            <w:tcW w:w="2631" w:type="dxa"/>
          </w:tcPr>
          <w:p w14:paraId="7E8293B5" w14:textId="2C040DC9" w:rsidR="005E27A8" w:rsidRPr="00396768" w:rsidRDefault="005E27A8" w:rsidP="005E27A8">
            <w:pPr>
              <w:rPr>
                <w:b/>
                <w:bCs/>
                <w:sz w:val="22"/>
                <w:szCs w:val="22"/>
              </w:rPr>
            </w:pPr>
            <w:r w:rsidRPr="00B52200">
              <w:rPr>
                <w:b/>
                <w:bCs/>
                <w:sz w:val="22"/>
                <w:szCs w:val="22"/>
              </w:rPr>
              <w:t>(</w:t>
            </w:r>
            <w:r>
              <w:rPr>
                <w:b/>
                <w:bCs/>
                <w:sz w:val="22"/>
                <w:szCs w:val="22"/>
              </w:rPr>
              <w:t>2</w:t>
            </w:r>
            <w:r w:rsidRPr="00B52200">
              <w:rPr>
                <w:b/>
                <w:bCs/>
                <w:sz w:val="22"/>
                <w:szCs w:val="22"/>
              </w:rPr>
              <w:t>)</w:t>
            </w:r>
            <w:r w:rsidRPr="00B52200">
              <w:rPr>
                <w:b/>
                <w:bCs/>
                <w:sz w:val="22"/>
                <w:szCs w:val="22"/>
              </w:rPr>
              <w:tab/>
            </w:r>
            <w:r>
              <w:rPr>
                <w:b/>
                <w:bCs/>
                <w:sz w:val="22"/>
                <w:szCs w:val="22"/>
              </w:rPr>
              <w:t xml:space="preserve">IFRS 18, </w:t>
            </w:r>
            <w:r w:rsidRPr="009D6D8B">
              <w:rPr>
                <w:b/>
                <w:bCs/>
                <w:i/>
                <w:iCs/>
                <w:sz w:val="22"/>
                <w:szCs w:val="22"/>
              </w:rPr>
              <w:t>Presentation and Disclosure in Financial Statements</w:t>
            </w:r>
          </w:p>
        </w:tc>
        <w:tc>
          <w:tcPr>
            <w:tcW w:w="6549" w:type="dxa"/>
          </w:tcPr>
          <w:p w14:paraId="1AF3B000" w14:textId="77777777" w:rsidR="005E27A8" w:rsidRDefault="005E27A8" w:rsidP="005E27A8">
            <w:pPr>
              <w:tabs>
                <w:tab w:val="left" w:pos="284"/>
              </w:tabs>
              <w:jc w:val="both"/>
              <w:rPr>
                <w:sz w:val="22"/>
                <w:szCs w:val="22"/>
              </w:rPr>
            </w:pPr>
            <w:r>
              <w:rPr>
                <w:sz w:val="22"/>
                <w:szCs w:val="22"/>
              </w:rPr>
              <w:t xml:space="preserve">This standard replaces IAS 1, </w:t>
            </w:r>
            <w:r w:rsidRPr="009D6D8B">
              <w:rPr>
                <w:i/>
                <w:iCs/>
                <w:sz w:val="22"/>
                <w:szCs w:val="22"/>
              </w:rPr>
              <w:t>Presentation of Financial Statements</w:t>
            </w:r>
            <w:r>
              <w:rPr>
                <w:sz w:val="22"/>
                <w:szCs w:val="22"/>
              </w:rPr>
              <w:t>. The standard provides guidance for improving the structure and content of the financial statements, particularly the income statement.</w:t>
            </w:r>
          </w:p>
          <w:p w14:paraId="11B3B709" w14:textId="77777777" w:rsidR="005E27A8" w:rsidRDefault="005E27A8" w:rsidP="005E27A8">
            <w:pPr>
              <w:tabs>
                <w:tab w:val="left" w:pos="284"/>
              </w:tabs>
              <w:jc w:val="both"/>
              <w:rPr>
                <w:sz w:val="22"/>
                <w:szCs w:val="22"/>
              </w:rPr>
            </w:pPr>
            <w:r>
              <w:rPr>
                <w:sz w:val="22"/>
                <w:szCs w:val="22"/>
              </w:rPr>
              <w:t xml:space="preserve">The standard includes new disclosure and presentation requirements as well as requirements that were taken from IAS 1, </w:t>
            </w:r>
            <w:r w:rsidRPr="009D6D8B">
              <w:rPr>
                <w:i/>
                <w:iCs/>
                <w:sz w:val="22"/>
                <w:szCs w:val="22"/>
              </w:rPr>
              <w:t>Presentation of Financial Statements</w:t>
            </w:r>
            <w:r>
              <w:rPr>
                <w:sz w:val="22"/>
                <w:szCs w:val="22"/>
              </w:rPr>
              <w:t>.</w:t>
            </w:r>
          </w:p>
          <w:p w14:paraId="7B4A5124" w14:textId="77777777" w:rsidR="005E27A8" w:rsidRDefault="005E27A8" w:rsidP="005E27A8">
            <w:pPr>
              <w:jc w:val="both"/>
              <w:rPr>
                <w:sz w:val="22"/>
                <w:szCs w:val="22"/>
              </w:rPr>
            </w:pPr>
            <w:r>
              <w:rPr>
                <w:sz w:val="22"/>
                <w:szCs w:val="22"/>
              </w:rPr>
              <w:t xml:space="preserve">As part of the new disclosure requirements, it is required to present two subtotals in the income statement: operating profit and profit before financing and taxes. </w:t>
            </w:r>
          </w:p>
          <w:p w14:paraId="6D17C1CB" w14:textId="77777777" w:rsidR="005E27A8" w:rsidRDefault="005E27A8" w:rsidP="005E27A8">
            <w:pPr>
              <w:tabs>
                <w:tab w:val="left" w:pos="284"/>
              </w:tabs>
              <w:jc w:val="both"/>
              <w:rPr>
                <w:sz w:val="22"/>
                <w:szCs w:val="22"/>
              </w:rPr>
            </w:pPr>
            <w:r>
              <w:rPr>
                <w:sz w:val="22"/>
                <w:szCs w:val="22"/>
              </w:rPr>
              <w:t xml:space="preserve">Furthermore, the results </w:t>
            </w:r>
            <w:proofErr w:type="gramStart"/>
            <w:r>
              <w:rPr>
                <w:sz w:val="22"/>
                <w:szCs w:val="22"/>
              </w:rPr>
              <w:t>in</w:t>
            </w:r>
            <w:proofErr w:type="gramEnd"/>
            <w:r>
              <w:rPr>
                <w:sz w:val="22"/>
                <w:szCs w:val="22"/>
              </w:rPr>
              <w:t xml:space="preserve"> the income statement will be classified into three new categories: an operating category, an investing category and a financing category.</w:t>
            </w:r>
          </w:p>
          <w:p w14:paraId="4372825B" w14:textId="77777777" w:rsidR="005E27A8" w:rsidRDefault="005E27A8" w:rsidP="005E27A8">
            <w:pPr>
              <w:tabs>
                <w:tab w:val="left" w:pos="284"/>
              </w:tabs>
              <w:jc w:val="both"/>
              <w:rPr>
                <w:sz w:val="22"/>
                <w:szCs w:val="22"/>
              </w:rPr>
            </w:pPr>
            <w:r>
              <w:rPr>
                <w:sz w:val="22"/>
                <w:szCs w:val="22"/>
              </w:rPr>
              <w:t>In addition to the changes in the structure of the income statements, the standard also includes a requirement to provide separate disclosure in the financial statements regarding the use of management-defined performance measures (MPM).</w:t>
            </w:r>
          </w:p>
          <w:p w14:paraId="726992A4" w14:textId="1AFFAF68" w:rsidR="005E27A8" w:rsidRPr="00F70750" w:rsidRDefault="005E27A8" w:rsidP="005E27A8">
            <w:pPr>
              <w:jc w:val="both"/>
              <w:rPr>
                <w:sz w:val="22"/>
                <w:szCs w:val="22"/>
              </w:rPr>
            </w:pPr>
            <w:r>
              <w:rPr>
                <w:sz w:val="22"/>
                <w:szCs w:val="22"/>
              </w:rPr>
              <w:t>Furthermore, the standard adds specific guidance for aggregation and disaggregation of items in the financial statements and in the notes.</w:t>
            </w:r>
          </w:p>
        </w:tc>
        <w:tc>
          <w:tcPr>
            <w:tcW w:w="3261" w:type="dxa"/>
          </w:tcPr>
          <w:p w14:paraId="4008CB20" w14:textId="58C281E7" w:rsidR="005E27A8" w:rsidRPr="00F70750" w:rsidRDefault="005E27A8" w:rsidP="005E27A8">
            <w:pPr>
              <w:jc w:val="both"/>
              <w:rPr>
                <w:sz w:val="22"/>
                <w:szCs w:val="22"/>
              </w:rPr>
            </w:pPr>
            <w:r w:rsidRPr="00DD29C9">
              <w:rPr>
                <w:sz w:val="22"/>
                <w:szCs w:val="22"/>
              </w:rPr>
              <w:t xml:space="preserve">The </w:t>
            </w:r>
            <w:r>
              <w:rPr>
                <w:sz w:val="22"/>
                <w:szCs w:val="22"/>
              </w:rPr>
              <w:t xml:space="preserve">standard’s initial date of application is for </w:t>
            </w:r>
            <w:r w:rsidRPr="00DD29C9">
              <w:rPr>
                <w:sz w:val="22"/>
                <w:szCs w:val="22"/>
              </w:rPr>
              <w:t xml:space="preserve">annual reporting periods beginning on or after January 1, </w:t>
            </w:r>
            <w:proofErr w:type="gramStart"/>
            <w:r w:rsidRPr="00DD29C9">
              <w:rPr>
                <w:sz w:val="22"/>
                <w:szCs w:val="22"/>
              </w:rPr>
              <w:t>202</w:t>
            </w:r>
            <w:r>
              <w:rPr>
                <w:sz w:val="22"/>
                <w:szCs w:val="22"/>
              </w:rPr>
              <w:t>7</w:t>
            </w:r>
            <w:proofErr w:type="gramEnd"/>
            <w:r w:rsidRPr="00DD29C9">
              <w:rPr>
                <w:sz w:val="22"/>
                <w:szCs w:val="22"/>
              </w:rPr>
              <w:t xml:space="preserve"> with earlier application being permitted</w:t>
            </w:r>
            <w:r>
              <w:rPr>
                <w:sz w:val="22"/>
                <w:szCs w:val="22"/>
              </w:rPr>
              <w:t xml:space="preserve">. </w:t>
            </w:r>
            <w:r w:rsidRPr="009F5064">
              <w:rPr>
                <w:sz w:val="22"/>
                <w:szCs w:val="22"/>
                <w:lang w:val="en"/>
              </w:rPr>
              <w:t xml:space="preserve">In accordance with the decision of the Securities Authority plenum, reporting corporations </w:t>
            </w:r>
            <w:proofErr w:type="gramStart"/>
            <w:r w:rsidRPr="009F5064">
              <w:rPr>
                <w:sz w:val="22"/>
                <w:szCs w:val="22"/>
                <w:lang w:val="en"/>
              </w:rPr>
              <w:t>may early</w:t>
            </w:r>
            <w:proofErr w:type="gramEnd"/>
            <w:r w:rsidRPr="009F5064">
              <w:rPr>
                <w:sz w:val="22"/>
                <w:szCs w:val="22"/>
                <w:lang w:val="en"/>
              </w:rPr>
              <w:t xml:space="preserve"> adopt the standard from reporting periods beginning on January 1, 2025.</w:t>
            </w:r>
          </w:p>
        </w:tc>
        <w:tc>
          <w:tcPr>
            <w:tcW w:w="2625" w:type="dxa"/>
          </w:tcPr>
          <w:p w14:paraId="7DBB0778" w14:textId="77777777" w:rsidR="005E27A8" w:rsidRPr="009D6D8B" w:rsidRDefault="005E27A8" w:rsidP="005E27A8">
            <w:pPr>
              <w:jc w:val="both"/>
              <w:rPr>
                <w:sz w:val="22"/>
                <w:szCs w:val="22"/>
              </w:rPr>
            </w:pPr>
            <w:r w:rsidRPr="009D6D8B">
              <w:rPr>
                <w:sz w:val="22"/>
                <w:szCs w:val="22"/>
              </w:rPr>
              <w:t xml:space="preserve">The Group is examining the effects of the </w:t>
            </w:r>
            <w:r>
              <w:rPr>
                <w:sz w:val="22"/>
                <w:szCs w:val="22"/>
              </w:rPr>
              <w:t>standard</w:t>
            </w:r>
            <w:r w:rsidRPr="009D6D8B">
              <w:rPr>
                <w:sz w:val="22"/>
                <w:szCs w:val="22"/>
              </w:rPr>
              <w:t xml:space="preserve"> on its </w:t>
            </w:r>
            <w:r>
              <w:rPr>
                <w:sz w:val="22"/>
                <w:szCs w:val="22"/>
              </w:rPr>
              <w:t>financial statements</w:t>
            </w:r>
            <w:r w:rsidRPr="00DD29C9">
              <w:rPr>
                <w:sz w:val="22"/>
                <w:szCs w:val="22"/>
              </w:rPr>
              <w:t xml:space="preserve"> with</w:t>
            </w:r>
            <w:r w:rsidRPr="009D6D8B">
              <w:rPr>
                <w:sz w:val="22"/>
                <w:szCs w:val="22"/>
              </w:rPr>
              <w:t xml:space="preserve"> no plans for early adoption.</w:t>
            </w:r>
          </w:p>
          <w:p w14:paraId="0B1A8959" w14:textId="77777777" w:rsidR="005E27A8" w:rsidRPr="00B52200" w:rsidRDefault="005E27A8" w:rsidP="005E27A8">
            <w:pPr>
              <w:jc w:val="both"/>
              <w:rPr>
                <w:sz w:val="22"/>
                <w:szCs w:val="22"/>
                <w:u w:val="single"/>
              </w:rPr>
            </w:pPr>
          </w:p>
          <w:p w14:paraId="2C656FC8" w14:textId="4F855A85" w:rsidR="005E27A8" w:rsidRPr="00F70750" w:rsidRDefault="005E27A8" w:rsidP="005E27A8">
            <w:pPr>
              <w:jc w:val="both"/>
              <w:rPr>
                <w:sz w:val="22"/>
                <w:szCs w:val="22"/>
              </w:rPr>
            </w:pPr>
          </w:p>
        </w:tc>
      </w:tr>
    </w:tbl>
    <w:p w14:paraId="71C340C3" w14:textId="762D9F1B" w:rsidR="007768B2" w:rsidRPr="00B0427E" w:rsidRDefault="007768B2" w:rsidP="00B0427E">
      <w:pPr>
        <w:jc w:val="both"/>
        <w:rPr>
          <w:b/>
          <w:bCs/>
          <w:sz w:val="22"/>
          <w:szCs w:val="22"/>
        </w:rPr>
        <w:sectPr w:rsidR="007768B2" w:rsidRPr="00B0427E" w:rsidSect="00593E8F">
          <w:type w:val="nextColumn"/>
          <w:pgSz w:w="16838" w:h="11906" w:orient="landscape" w:code="9"/>
          <w:pgMar w:top="1134" w:right="1134" w:bottom="1134" w:left="1134" w:header="567" w:footer="567" w:gutter="0"/>
          <w:paperSrc w:first="15" w:other="15"/>
          <w:cols w:space="720"/>
          <w:bidi/>
          <w:docGrid w:linePitch="326"/>
        </w:sectPr>
      </w:pPr>
    </w:p>
    <w:p w14:paraId="5E79B0E6" w14:textId="77777777" w:rsidR="003617AD" w:rsidRPr="0020502A" w:rsidRDefault="003617AD" w:rsidP="0020502A">
      <w:pPr>
        <w:rPr>
          <w:rFonts w:asciiTheme="majorBidi" w:hAnsiTheme="majorBidi" w:cstheme="majorBidi"/>
          <w:bCs/>
          <w:color w:val="000000"/>
          <w:sz w:val="20"/>
        </w:rPr>
      </w:pPr>
      <w:bookmarkStart w:id="119" w:name="H3_Note_4__Subsidiaries_and_Investments_"/>
    </w:p>
    <w:p w14:paraId="6A987751" w14:textId="37A250B1" w:rsidR="00C35D07" w:rsidRPr="003617AD" w:rsidRDefault="00C35D07" w:rsidP="000B59AD">
      <w:pPr>
        <w:jc w:val="both"/>
        <w:outlineLvl w:val="2"/>
        <w:rPr>
          <w:rStyle w:val="Beur"/>
          <w:sz w:val="22"/>
          <w:szCs w:val="22"/>
        </w:rPr>
      </w:pPr>
      <w:r w:rsidRPr="003617AD">
        <w:rPr>
          <w:rStyle w:val="Beur"/>
          <w:sz w:val="22"/>
          <w:szCs w:val="22"/>
        </w:rPr>
        <w:t xml:space="preserve">Note </w:t>
      </w:r>
      <w:r w:rsidR="00030CEF" w:rsidRPr="003617AD">
        <w:rPr>
          <w:rStyle w:val="Beur"/>
          <w:sz w:val="22"/>
          <w:szCs w:val="22"/>
        </w:rPr>
        <w:t>4</w:t>
      </w:r>
      <w:r w:rsidRPr="003617AD">
        <w:rPr>
          <w:rStyle w:val="Beur"/>
          <w:sz w:val="22"/>
          <w:szCs w:val="22"/>
        </w:rPr>
        <w:t xml:space="preserve"> </w:t>
      </w:r>
      <w:r w:rsidR="00A430BE" w:rsidRPr="003617AD">
        <w:rPr>
          <w:rStyle w:val="Beur"/>
          <w:sz w:val="22"/>
          <w:szCs w:val="22"/>
        </w:rPr>
        <w:t>–</w:t>
      </w:r>
      <w:r w:rsidRPr="003617AD">
        <w:rPr>
          <w:rStyle w:val="Beur"/>
          <w:sz w:val="22"/>
          <w:szCs w:val="22"/>
        </w:rPr>
        <w:t xml:space="preserve"> </w:t>
      </w:r>
      <w:r w:rsidR="00103212" w:rsidRPr="003617AD">
        <w:rPr>
          <w:rStyle w:val="Beur"/>
          <w:sz w:val="22"/>
          <w:szCs w:val="22"/>
        </w:rPr>
        <w:t xml:space="preserve">Subsidiaries and </w:t>
      </w:r>
      <w:r w:rsidR="00AB2BDE">
        <w:rPr>
          <w:rStyle w:val="Beur"/>
          <w:sz w:val="22"/>
          <w:szCs w:val="22"/>
        </w:rPr>
        <w:t>Investment in (and loans to) companies accounted for at equity</w:t>
      </w:r>
    </w:p>
    <w:bookmarkEnd w:id="119"/>
    <w:p w14:paraId="76264FA4" w14:textId="08920315" w:rsidR="00C35D07" w:rsidRPr="003617AD" w:rsidRDefault="00C35D07" w:rsidP="004A3C21">
      <w:pPr>
        <w:ind w:left="720"/>
        <w:rPr>
          <w:sz w:val="22"/>
          <w:szCs w:val="22"/>
        </w:rPr>
      </w:pPr>
    </w:p>
    <w:p w14:paraId="648D0396" w14:textId="008764C5" w:rsidR="00103212" w:rsidRPr="003617AD" w:rsidRDefault="00103212" w:rsidP="00C5462B">
      <w:pPr>
        <w:pStyle w:val="af2"/>
        <w:numPr>
          <w:ilvl w:val="0"/>
          <w:numId w:val="14"/>
        </w:numPr>
        <w:outlineLvl w:val="3"/>
        <w:rPr>
          <w:b/>
          <w:bCs/>
          <w:sz w:val="22"/>
          <w:szCs w:val="22"/>
        </w:rPr>
      </w:pPr>
      <w:bookmarkStart w:id="120" w:name="H4_Subsidiaries"/>
      <w:r w:rsidRPr="003617AD">
        <w:rPr>
          <w:b/>
          <w:bCs/>
          <w:sz w:val="22"/>
          <w:szCs w:val="22"/>
        </w:rPr>
        <w:t>Subsidiaries</w:t>
      </w:r>
    </w:p>
    <w:bookmarkEnd w:id="120"/>
    <w:p w14:paraId="65318ACB" w14:textId="77777777" w:rsidR="00ED4BC3" w:rsidRDefault="00ED4BC3" w:rsidP="00237FC5">
      <w:pPr>
        <w:pStyle w:val="af2"/>
        <w:ind w:left="1080"/>
        <w:rPr>
          <w:b/>
          <w:bCs/>
          <w:sz w:val="22"/>
          <w:szCs w:val="22"/>
        </w:rPr>
      </w:pPr>
    </w:p>
    <w:p w14:paraId="7287E15B" w14:textId="49727EFC" w:rsidR="009D27B2" w:rsidRPr="00EB1668" w:rsidRDefault="009D27B2" w:rsidP="00C5462B">
      <w:pPr>
        <w:pStyle w:val="af2"/>
        <w:numPr>
          <w:ilvl w:val="0"/>
          <w:numId w:val="15"/>
        </w:numPr>
        <w:rPr>
          <w:b/>
          <w:bCs/>
          <w:sz w:val="22"/>
          <w:szCs w:val="22"/>
        </w:rPr>
      </w:pPr>
      <w:r w:rsidRPr="00EB1668">
        <w:rPr>
          <w:sz w:val="22"/>
          <w:szCs w:val="22"/>
        </w:rPr>
        <w:t xml:space="preserve">The list of the Company’s subsidiaries is detailed in Note </w:t>
      </w:r>
      <w:r w:rsidR="00C7020E" w:rsidRPr="00EB1668">
        <w:rPr>
          <w:sz w:val="22"/>
          <w:szCs w:val="22"/>
        </w:rPr>
        <w:t>2</w:t>
      </w:r>
      <w:r w:rsidR="00C7020E">
        <w:rPr>
          <w:sz w:val="22"/>
          <w:szCs w:val="22"/>
          <w:lang w:bidi="he-IL"/>
        </w:rPr>
        <w:t>5</w:t>
      </w:r>
      <w:r w:rsidRPr="00EB1668">
        <w:rPr>
          <w:sz w:val="22"/>
          <w:szCs w:val="22"/>
        </w:rPr>
        <w:t>.</w:t>
      </w:r>
    </w:p>
    <w:p w14:paraId="1CDDAF11" w14:textId="1DC67093" w:rsidR="005303D0" w:rsidRDefault="005303D0" w:rsidP="005303D0">
      <w:pPr>
        <w:pStyle w:val="af2"/>
        <w:ind w:left="1080"/>
        <w:rPr>
          <w:b/>
          <w:bCs/>
          <w:sz w:val="22"/>
          <w:szCs w:val="22"/>
        </w:rPr>
      </w:pPr>
    </w:p>
    <w:p w14:paraId="60D97A9D" w14:textId="59D089F6" w:rsidR="005303D0" w:rsidRDefault="005303D0" w:rsidP="00C5462B">
      <w:pPr>
        <w:pStyle w:val="af2"/>
        <w:numPr>
          <w:ilvl w:val="0"/>
          <w:numId w:val="15"/>
        </w:numPr>
        <w:outlineLvl w:val="4"/>
        <w:rPr>
          <w:b/>
          <w:bCs/>
          <w:sz w:val="22"/>
          <w:szCs w:val="22"/>
        </w:rPr>
      </w:pPr>
      <w:bookmarkStart w:id="121" w:name="H5_Subsidiaries_including_consolidated_s"/>
      <w:r w:rsidRPr="00C37714">
        <w:rPr>
          <w:b/>
          <w:bCs/>
          <w:sz w:val="22"/>
          <w:szCs w:val="22"/>
        </w:rPr>
        <w:t>Subsidiaries including consolidated structured entities</w:t>
      </w:r>
    </w:p>
    <w:bookmarkEnd w:id="121"/>
    <w:p w14:paraId="24A3ED8C" w14:textId="77777777" w:rsidR="005303D0" w:rsidRPr="00A60254" w:rsidRDefault="005303D0" w:rsidP="00A60254">
      <w:pPr>
        <w:rPr>
          <w:b/>
          <w:bCs/>
          <w:sz w:val="22"/>
          <w:szCs w:val="22"/>
        </w:rPr>
      </w:pPr>
    </w:p>
    <w:p w14:paraId="4A37FD38" w14:textId="77777777" w:rsidR="005303D0" w:rsidRDefault="005303D0" w:rsidP="005303D0">
      <w:pPr>
        <w:ind w:left="720"/>
        <w:jc w:val="both"/>
        <w:rPr>
          <w:sz w:val="22"/>
          <w:szCs w:val="22"/>
        </w:rPr>
      </w:pPr>
      <w:r w:rsidRPr="00C37714">
        <w:rPr>
          <w:sz w:val="22"/>
          <w:szCs w:val="22"/>
        </w:rPr>
        <w:t xml:space="preserve">Presented </w:t>
      </w:r>
      <w:proofErr w:type="gramStart"/>
      <w:r w:rsidRPr="00C37714">
        <w:rPr>
          <w:sz w:val="22"/>
          <w:szCs w:val="22"/>
        </w:rPr>
        <w:t>hereunder</w:t>
      </w:r>
      <w:proofErr w:type="gramEnd"/>
      <w:r w:rsidRPr="00C37714">
        <w:rPr>
          <w:sz w:val="22"/>
          <w:szCs w:val="22"/>
        </w:rPr>
        <w:t xml:space="preserve"> the Group’s material subsidiar</w:t>
      </w:r>
      <w:r>
        <w:rPr>
          <w:sz w:val="22"/>
          <w:szCs w:val="22"/>
        </w:rPr>
        <w:t>y</w:t>
      </w:r>
      <w:r w:rsidRPr="00C37714">
        <w:rPr>
          <w:sz w:val="22"/>
          <w:szCs w:val="22"/>
        </w:rPr>
        <w:t>:</w:t>
      </w:r>
    </w:p>
    <w:p w14:paraId="7A517121" w14:textId="77777777" w:rsidR="00A63973" w:rsidRDefault="00A63973" w:rsidP="00A60254">
      <w:pPr>
        <w:jc w:val="both"/>
        <w:rPr>
          <w:sz w:val="22"/>
          <w:szCs w:val="22"/>
          <w:lang w:bidi="he-IL"/>
        </w:rPr>
      </w:pPr>
    </w:p>
    <w:tbl>
      <w:tblPr>
        <w:tblW w:w="9072" w:type="dxa"/>
        <w:tblInd w:w="567" w:type="dxa"/>
        <w:tblLayout w:type="fixed"/>
        <w:tblCellMar>
          <w:left w:w="0" w:type="dxa"/>
          <w:right w:w="0" w:type="dxa"/>
        </w:tblCellMar>
        <w:tblLook w:val="06A0" w:firstRow="1" w:lastRow="0" w:firstColumn="1" w:lastColumn="0" w:noHBand="1" w:noVBand="1"/>
        <w:tblCaption w:val="AHR02"/>
        <w:tblDescription w:val="Subsidiaries"/>
      </w:tblPr>
      <w:tblGrid>
        <w:gridCol w:w="4371"/>
        <w:gridCol w:w="1644"/>
        <w:gridCol w:w="1498"/>
        <w:gridCol w:w="1559"/>
      </w:tblGrid>
      <w:tr w:rsidR="009F43C1" w:rsidRPr="00866299" w14:paraId="3CE20136" w14:textId="77777777" w:rsidTr="006909F2">
        <w:trPr>
          <w:cantSplit/>
          <w:trHeight w:val="726"/>
          <w:tblHeader/>
        </w:trPr>
        <w:tc>
          <w:tcPr>
            <w:tcW w:w="4371" w:type="dxa"/>
            <w:vMerge w:val="restart"/>
            <w:tcBorders>
              <w:bottom w:val="nil"/>
            </w:tcBorders>
            <w:vAlign w:val="bottom"/>
          </w:tcPr>
          <w:p w14:paraId="7A8407CD" w14:textId="69C0798C" w:rsidR="009F43C1" w:rsidRPr="00866299" w:rsidRDefault="009F43C1" w:rsidP="009F43C1">
            <w:pPr>
              <w:suppressAutoHyphens/>
              <w:ind w:left="720"/>
              <w:jc w:val="center"/>
              <w:rPr>
                <w:b/>
                <w:sz w:val="20"/>
                <w:lang w:bidi="he-IL"/>
              </w:rPr>
            </w:pPr>
            <w:bookmarkStart w:id="122" w:name="Title_14" w:colFirst="0" w:colLast="0"/>
            <w:r w:rsidRPr="00866299">
              <w:rPr>
                <w:b/>
                <w:sz w:val="20"/>
                <w:u w:val="single"/>
                <w:lang w:bidi="he-IL"/>
              </w:rPr>
              <w:t>Name of company</w:t>
            </w:r>
          </w:p>
        </w:tc>
        <w:tc>
          <w:tcPr>
            <w:tcW w:w="1644" w:type="dxa"/>
            <w:vMerge w:val="restart"/>
            <w:tcBorders>
              <w:bottom w:val="nil"/>
            </w:tcBorders>
            <w:vAlign w:val="bottom"/>
          </w:tcPr>
          <w:p w14:paraId="6128EB52" w14:textId="77777777" w:rsidR="009F43C1" w:rsidRPr="00866299" w:rsidRDefault="009F43C1" w:rsidP="006F68FD">
            <w:pPr>
              <w:suppressAutoHyphens/>
              <w:jc w:val="center"/>
              <w:rPr>
                <w:b/>
                <w:sz w:val="20"/>
                <w:lang w:bidi="he-IL"/>
              </w:rPr>
            </w:pPr>
            <w:r w:rsidRPr="00866299">
              <w:rPr>
                <w:b/>
                <w:sz w:val="20"/>
                <w:lang w:bidi="he-IL"/>
              </w:rPr>
              <w:t>Principal</w:t>
            </w:r>
          </w:p>
          <w:p w14:paraId="79D89DE6" w14:textId="77777777" w:rsidR="009F43C1" w:rsidRPr="00866299" w:rsidRDefault="009F43C1" w:rsidP="006F68FD">
            <w:pPr>
              <w:keepNext/>
              <w:jc w:val="center"/>
              <w:outlineLvl w:val="6"/>
              <w:rPr>
                <w:b/>
                <w:sz w:val="20"/>
                <w:lang w:bidi="he-IL"/>
              </w:rPr>
            </w:pPr>
            <w:r w:rsidRPr="00866299">
              <w:rPr>
                <w:b/>
                <w:sz w:val="20"/>
                <w:lang w:bidi="he-IL"/>
              </w:rPr>
              <w:t>location of the</w:t>
            </w:r>
          </w:p>
          <w:p w14:paraId="062E7D17" w14:textId="77777777" w:rsidR="009F43C1" w:rsidRPr="00866299" w:rsidRDefault="009F43C1" w:rsidP="006F68FD">
            <w:pPr>
              <w:keepNext/>
              <w:jc w:val="center"/>
              <w:outlineLvl w:val="6"/>
              <w:rPr>
                <w:b/>
                <w:sz w:val="20"/>
                <w:lang w:bidi="he-IL"/>
              </w:rPr>
            </w:pPr>
            <w:proofErr w:type="gramStart"/>
            <w:r w:rsidRPr="00866299">
              <w:rPr>
                <w:b/>
                <w:sz w:val="20"/>
                <w:lang w:bidi="he-IL"/>
              </w:rPr>
              <w:t>company’s</w:t>
            </w:r>
            <w:proofErr w:type="gramEnd"/>
          </w:p>
          <w:p w14:paraId="362C2EC5" w14:textId="40818AA3" w:rsidR="009F43C1" w:rsidRPr="00866299" w:rsidRDefault="009F43C1" w:rsidP="006F68FD">
            <w:pPr>
              <w:keepNext/>
              <w:pBdr>
                <w:bottom w:val="single" w:sz="4" w:space="1" w:color="auto"/>
              </w:pBdr>
              <w:jc w:val="center"/>
              <w:outlineLvl w:val="6"/>
              <w:rPr>
                <w:b/>
                <w:sz w:val="20"/>
                <w:lang w:bidi="he-IL"/>
              </w:rPr>
            </w:pPr>
            <w:r w:rsidRPr="00866299">
              <w:rPr>
                <w:b/>
                <w:sz w:val="20"/>
                <w:lang w:bidi="he-IL"/>
              </w:rPr>
              <w:t>activity</w:t>
            </w:r>
          </w:p>
        </w:tc>
        <w:tc>
          <w:tcPr>
            <w:tcW w:w="3057" w:type="dxa"/>
            <w:gridSpan w:val="2"/>
            <w:tcBorders>
              <w:bottom w:val="nil"/>
            </w:tcBorders>
            <w:vAlign w:val="bottom"/>
          </w:tcPr>
          <w:p w14:paraId="3ECFF5BF" w14:textId="3A51D4BB" w:rsidR="009F43C1" w:rsidRPr="00866299" w:rsidRDefault="009F43C1" w:rsidP="006F68FD">
            <w:pPr>
              <w:suppressAutoHyphens/>
              <w:jc w:val="center"/>
              <w:rPr>
                <w:b/>
                <w:sz w:val="20"/>
                <w:lang w:bidi="he-IL"/>
              </w:rPr>
            </w:pPr>
            <w:r w:rsidRPr="00866299">
              <w:rPr>
                <w:b/>
                <w:sz w:val="20"/>
                <w:lang w:bidi="he-IL"/>
              </w:rPr>
              <w:t>The Group’s ownership interest</w:t>
            </w:r>
          </w:p>
          <w:p w14:paraId="4B136AA4" w14:textId="705AEA4A" w:rsidR="009F43C1" w:rsidRPr="00866299" w:rsidRDefault="009F43C1" w:rsidP="006F68FD">
            <w:pPr>
              <w:suppressAutoHyphens/>
              <w:jc w:val="center"/>
              <w:rPr>
                <w:b/>
                <w:sz w:val="20"/>
                <w:lang w:bidi="he-IL"/>
              </w:rPr>
            </w:pPr>
            <w:r w:rsidRPr="00866299">
              <w:rPr>
                <w:b/>
                <w:sz w:val="20"/>
                <w:lang w:bidi="he-IL"/>
              </w:rPr>
              <w:t>in the subsidiary for the year</w:t>
            </w:r>
          </w:p>
          <w:p w14:paraId="580B199A" w14:textId="42EEEFA4" w:rsidR="009F43C1" w:rsidRPr="00866299" w:rsidRDefault="009F43C1" w:rsidP="006F68FD">
            <w:pPr>
              <w:pBdr>
                <w:bottom w:val="single" w:sz="4" w:space="1" w:color="auto"/>
              </w:pBdr>
              <w:suppressAutoHyphens/>
              <w:jc w:val="center"/>
              <w:rPr>
                <w:b/>
                <w:sz w:val="20"/>
                <w:lang w:bidi="he-IL"/>
              </w:rPr>
            </w:pPr>
            <w:r w:rsidRPr="00866299">
              <w:rPr>
                <w:b/>
                <w:sz w:val="20"/>
                <w:lang w:bidi="he-IL"/>
              </w:rPr>
              <w:t>ended December 31,</w:t>
            </w:r>
          </w:p>
        </w:tc>
      </w:tr>
      <w:bookmarkEnd w:id="122"/>
      <w:tr w:rsidR="009F43C1" w:rsidRPr="00866299" w14:paraId="01E09078" w14:textId="77777777" w:rsidTr="006909F2">
        <w:trPr>
          <w:cantSplit/>
          <w:trHeight w:val="80"/>
          <w:tblHeader/>
        </w:trPr>
        <w:tc>
          <w:tcPr>
            <w:tcW w:w="4371" w:type="dxa"/>
            <w:vMerge/>
          </w:tcPr>
          <w:p w14:paraId="67E285BE" w14:textId="5BA86453" w:rsidR="009F43C1" w:rsidRPr="00866299" w:rsidRDefault="009F43C1" w:rsidP="00611EBB">
            <w:pPr>
              <w:suppressAutoHyphens/>
              <w:ind w:left="720"/>
              <w:rPr>
                <w:b/>
                <w:sz w:val="20"/>
                <w:lang w:bidi="he-IL"/>
              </w:rPr>
            </w:pPr>
          </w:p>
        </w:tc>
        <w:tc>
          <w:tcPr>
            <w:tcW w:w="1644" w:type="dxa"/>
            <w:vMerge/>
          </w:tcPr>
          <w:p w14:paraId="7831AD4D" w14:textId="57EAEC1D" w:rsidR="009F43C1" w:rsidRPr="00866299" w:rsidRDefault="009F43C1" w:rsidP="006F68FD">
            <w:pPr>
              <w:keepNext/>
              <w:pBdr>
                <w:bottom w:val="single" w:sz="4" w:space="1" w:color="auto"/>
              </w:pBdr>
              <w:jc w:val="center"/>
              <w:outlineLvl w:val="6"/>
              <w:rPr>
                <w:b/>
                <w:sz w:val="20"/>
                <w:lang w:bidi="he-IL"/>
              </w:rPr>
            </w:pPr>
          </w:p>
        </w:tc>
        <w:tc>
          <w:tcPr>
            <w:tcW w:w="1498" w:type="dxa"/>
          </w:tcPr>
          <w:p w14:paraId="24D256AA" w14:textId="586B84A4" w:rsidR="009F43C1" w:rsidRPr="00866299" w:rsidRDefault="00AD1E41" w:rsidP="006F68FD">
            <w:pPr>
              <w:pBdr>
                <w:bottom w:val="single" w:sz="4" w:space="1" w:color="auto"/>
              </w:pBdr>
              <w:suppressAutoHyphens/>
              <w:bidi/>
              <w:ind w:left="57"/>
              <w:jc w:val="center"/>
              <w:rPr>
                <w:b/>
                <w:sz w:val="20"/>
                <w:lang w:bidi="he-IL"/>
              </w:rPr>
            </w:pPr>
            <w:r>
              <w:rPr>
                <w:b/>
                <w:sz w:val="20"/>
                <w:lang w:bidi="he-IL"/>
              </w:rPr>
              <w:t>202</w:t>
            </w:r>
            <w:r w:rsidR="00C52BA0">
              <w:rPr>
                <w:b/>
                <w:sz w:val="20"/>
                <w:lang w:bidi="he-IL"/>
              </w:rPr>
              <w:t>4</w:t>
            </w:r>
          </w:p>
        </w:tc>
        <w:tc>
          <w:tcPr>
            <w:tcW w:w="1559" w:type="dxa"/>
          </w:tcPr>
          <w:p w14:paraId="34537C9E" w14:textId="4B563786" w:rsidR="009F43C1" w:rsidRPr="00D7633B" w:rsidRDefault="00C52BA0" w:rsidP="006F68FD">
            <w:pPr>
              <w:pBdr>
                <w:bottom w:val="single" w:sz="4" w:space="1" w:color="auto"/>
              </w:pBdr>
              <w:suppressAutoHyphens/>
              <w:bidi/>
              <w:ind w:left="57"/>
              <w:jc w:val="center"/>
              <w:rPr>
                <w:bCs/>
                <w:sz w:val="20"/>
                <w:lang w:bidi="he-IL"/>
              </w:rPr>
            </w:pPr>
            <w:r>
              <w:rPr>
                <w:rFonts w:hint="cs"/>
                <w:bCs/>
                <w:sz w:val="20"/>
                <w:rtl/>
                <w:lang w:bidi="he-IL"/>
              </w:rPr>
              <w:t>2023</w:t>
            </w:r>
          </w:p>
        </w:tc>
      </w:tr>
      <w:tr w:rsidR="00C52BA0" w:rsidRPr="00C37714" w14:paraId="7E3CC11F" w14:textId="77777777" w:rsidTr="006909F2">
        <w:trPr>
          <w:cantSplit/>
        </w:trPr>
        <w:tc>
          <w:tcPr>
            <w:tcW w:w="4371" w:type="dxa"/>
          </w:tcPr>
          <w:p w14:paraId="200CC683" w14:textId="77777777" w:rsidR="00C52BA0" w:rsidRDefault="00C52BA0" w:rsidP="00C52BA0">
            <w:pPr>
              <w:ind w:left="720"/>
              <w:jc w:val="both"/>
              <w:rPr>
                <w:rFonts w:asciiTheme="majorBidi" w:eastAsia="Arial" w:hAnsiTheme="majorBidi" w:cstheme="majorBidi"/>
                <w:sz w:val="20"/>
              </w:rPr>
            </w:pPr>
          </w:p>
        </w:tc>
        <w:tc>
          <w:tcPr>
            <w:tcW w:w="1644" w:type="dxa"/>
          </w:tcPr>
          <w:p w14:paraId="25284850" w14:textId="77777777" w:rsidR="00C52BA0" w:rsidRPr="00C37714" w:rsidRDefault="00C52BA0" w:rsidP="00C52BA0">
            <w:pPr>
              <w:suppressAutoHyphens/>
              <w:jc w:val="right"/>
              <w:rPr>
                <w:spacing w:val="-2"/>
                <w:sz w:val="22"/>
                <w:szCs w:val="22"/>
                <w:lang w:bidi="he-IL"/>
              </w:rPr>
            </w:pPr>
          </w:p>
        </w:tc>
        <w:tc>
          <w:tcPr>
            <w:tcW w:w="1498" w:type="dxa"/>
          </w:tcPr>
          <w:p w14:paraId="156AEBCC" w14:textId="77777777" w:rsidR="00C52BA0" w:rsidRPr="00417B13" w:rsidRDefault="00C52BA0" w:rsidP="00C52BA0">
            <w:pPr>
              <w:suppressAutoHyphens/>
              <w:jc w:val="right"/>
              <w:rPr>
                <w:spacing w:val="-2"/>
                <w:sz w:val="22"/>
                <w:szCs w:val="22"/>
                <w:lang w:bidi="he-IL"/>
              </w:rPr>
            </w:pPr>
          </w:p>
        </w:tc>
        <w:tc>
          <w:tcPr>
            <w:tcW w:w="1559" w:type="dxa"/>
          </w:tcPr>
          <w:p w14:paraId="41E4B691" w14:textId="77777777" w:rsidR="00C52BA0" w:rsidRPr="00AF41B3" w:rsidRDefault="00C52BA0" w:rsidP="00C52BA0">
            <w:pPr>
              <w:suppressAutoHyphens/>
              <w:jc w:val="right"/>
              <w:rPr>
                <w:spacing w:val="-2"/>
                <w:sz w:val="22"/>
                <w:szCs w:val="22"/>
                <w:lang w:bidi="he-IL"/>
              </w:rPr>
            </w:pPr>
          </w:p>
        </w:tc>
      </w:tr>
      <w:tr w:rsidR="00C52BA0" w:rsidRPr="00C37714" w14:paraId="179861BD" w14:textId="77777777" w:rsidTr="006909F2">
        <w:trPr>
          <w:cantSplit/>
        </w:trPr>
        <w:tc>
          <w:tcPr>
            <w:tcW w:w="4371" w:type="dxa"/>
          </w:tcPr>
          <w:p w14:paraId="3731E2D1" w14:textId="4222712F" w:rsidR="00C52BA0" w:rsidRPr="00C37714" w:rsidRDefault="00C52BA0" w:rsidP="00C52BA0">
            <w:pPr>
              <w:ind w:left="720"/>
              <w:jc w:val="both"/>
              <w:rPr>
                <w:sz w:val="22"/>
                <w:szCs w:val="22"/>
                <w:lang w:bidi="he-IL"/>
              </w:rPr>
            </w:pPr>
            <w:bookmarkStart w:id="123" w:name="ColumnTitle_15"/>
            <w:r>
              <w:rPr>
                <w:rFonts w:asciiTheme="majorBidi" w:eastAsia="Arial" w:hAnsiTheme="majorBidi" w:cstheme="majorBidi"/>
                <w:sz w:val="20"/>
              </w:rPr>
              <w:t xml:space="preserve">            </w:t>
            </w:r>
            <w:r w:rsidRPr="00515896">
              <w:rPr>
                <w:rFonts w:asciiTheme="majorBidi" w:eastAsia="Arial" w:hAnsiTheme="majorBidi" w:cstheme="majorBidi"/>
                <w:sz w:val="20"/>
              </w:rPr>
              <w:t>S.C. Cotroceni Park SA</w:t>
            </w:r>
            <w:r>
              <w:rPr>
                <w:rFonts w:asciiTheme="majorBidi" w:eastAsia="Arial" w:hAnsiTheme="majorBidi" w:cstheme="majorBidi"/>
                <w:sz w:val="20"/>
              </w:rPr>
              <w:t xml:space="preserve"> </w:t>
            </w:r>
          </w:p>
        </w:tc>
        <w:tc>
          <w:tcPr>
            <w:tcW w:w="1644" w:type="dxa"/>
          </w:tcPr>
          <w:p w14:paraId="0FD7434C" w14:textId="77777777" w:rsidR="00C52BA0" w:rsidRPr="00C37714" w:rsidRDefault="00C52BA0" w:rsidP="00C52BA0">
            <w:pPr>
              <w:suppressAutoHyphens/>
              <w:jc w:val="right"/>
              <w:rPr>
                <w:spacing w:val="-2"/>
                <w:sz w:val="22"/>
                <w:szCs w:val="22"/>
                <w:lang w:bidi="he-IL"/>
              </w:rPr>
            </w:pPr>
            <w:r w:rsidRPr="00C37714">
              <w:rPr>
                <w:spacing w:val="-2"/>
                <w:sz w:val="22"/>
                <w:szCs w:val="22"/>
                <w:lang w:bidi="he-IL"/>
              </w:rPr>
              <w:t>Romania</w:t>
            </w:r>
          </w:p>
        </w:tc>
        <w:tc>
          <w:tcPr>
            <w:tcW w:w="1498" w:type="dxa"/>
          </w:tcPr>
          <w:p w14:paraId="503D6624" w14:textId="36567B57" w:rsidR="00C52BA0" w:rsidRPr="00417B13" w:rsidRDefault="00735866" w:rsidP="00C52BA0">
            <w:pPr>
              <w:suppressAutoHyphens/>
              <w:jc w:val="right"/>
              <w:rPr>
                <w:spacing w:val="-2"/>
                <w:sz w:val="22"/>
                <w:szCs w:val="22"/>
                <w:lang w:bidi="he-IL"/>
              </w:rPr>
            </w:pPr>
            <w:r>
              <w:rPr>
                <w:spacing w:val="-2"/>
                <w:sz w:val="22"/>
                <w:szCs w:val="22"/>
                <w:lang w:bidi="he-IL"/>
              </w:rPr>
              <w:t>98.58%</w:t>
            </w:r>
          </w:p>
        </w:tc>
        <w:tc>
          <w:tcPr>
            <w:tcW w:w="1559" w:type="dxa"/>
          </w:tcPr>
          <w:p w14:paraId="5E84615F" w14:textId="21AF2AB6" w:rsidR="00C52BA0" w:rsidRPr="00AF41B3" w:rsidRDefault="00C52BA0" w:rsidP="00C52BA0">
            <w:pPr>
              <w:suppressAutoHyphens/>
              <w:jc w:val="right"/>
              <w:rPr>
                <w:spacing w:val="-2"/>
                <w:sz w:val="22"/>
                <w:szCs w:val="22"/>
                <w:lang w:bidi="he-IL"/>
              </w:rPr>
            </w:pPr>
            <w:r w:rsidRPr="00AF41B3">
              <w:rPr>
                <w:spacing w:val="-2"/>
                <w:sz w:val="22"/>
                <w:szCs w:val="22"/>
                <w:lang w:bidi="he-IL"/>
              </w:rPr>
              <w:t>98.58%</w:t>
            </w:r>
          </w:p>
        </w:tc>
      </w:tr>
      <w:bookmarkEnd w:id="123"/>
    </w:tbl>
    <w:p w14:paraId="11688935" w14:textId="77777777" w:rsidR="00A63973" w:rsidRDefault="00A63973" w:rsidP="005303D0">
      <w:pPr>
        <w:ind w:left="720"/>
        <w:rPr>
          <w:b/>
          <w:bCs/>
          <w:sz w:val="22"/>
          <w:szCs w:val="22"/>
        </w:rPr>
      </w:pPr>
    </w:p>
    <w:p w14:paraId="4AA1B056" w14:textId="489BF8B0" w:rsidR="005303D0" w:rsidRPr="00237FC5" w:rsidRDefault="005303D0" w:rsidP="00C5462B">
      <w:pPr>
        <w:pStyle w:val="af2"/>
        <w:numPr>
          <w:ilvl w:val="0"/>
          <w:numId w:val="15"/>
        </w:numPr>
        <w:outlineLvl w:val="4"/>
        <w:rPr>
          <w:b/>
          <w:bCs/>
          <w:sz w:val="22"/>
          <w:szCs w:val="22"/>
        </w:rPr>
      </w:pPr>
      <w:bookmarkStart w:id="124" w:name="H5_Guarantees_to_subsidiaries"/>
      <w:r>
        <w:rPr>
          <w:b/>
          <w:bCs/>
          <w:sz w:val="22"/>
          <w:szCs w:val="22"/>
        </w:rPr>
        <w:t xml:space="preserve">Guarantees </w:t>
      </w:r>
      <w:r w:rsidR="004956DF">
        <w:rPr>
          <w:b/>
          <w:bCs/>
          <w:sz w:val="22"/>
          <w:szCs w:val="22"/>
        </w:rPr>
        <w:t xml:space="preserve">of </w:t>
      </w:r>
      <w:r>
        <w:rPr>
          <w:b/>
          <w:bCs/>
          <w:sz w:val="22"/>
          <w:szCs w:val="22"/>
        </w:rPr>
        <w:t>subsidiaries</w:t>
      </w:r>
      <w:r w:rsidR="004956DF">
        <w:rPr>
          <w:b/>
          <w:bCs/>
          <w:sz w:val="22"/>
          <w:szCs w:val="22"/>
        </w:rPr>
        <w:t>’ obligations</w:t>
      </w:r>
      <w:r w:rsidRPr="00237FC5">
        <w:rPr>
          <w:b/>
          <w:bCs/>
          <w:sz w:val="22"/>
          <w:szCs w:val="22"/>
        </w:rPr>
        <w:tab/>
      </w:r>
    </w:p>
    <w:bookmarkEnd w:id="124"/>
    <w:p w14:paraId="37F6B001" w14:textId="77777777" w:rsidR="005303D0" w:rsidRDefault="005303D0" w:rsidP="005303D0">
      <w:pPr>
        <w:pStyle w:val="af2"/>
        <w:jc w:val="both"/>
        <w:rPr>
          <w:sz w:val="22"/>
          <w:szCs w:val="22"/>
        </w:rPr>
      </w:pPr>
    </w:p>
    <w:p w14:paraId="0DCAEB43" w14:textId="6605FC23" w:rsidR="005303D0" w:rsidRPr="006E6E24" w:rsidRDefault="00A0643B" w:rsidP="00237FC5">
      <w:pPr>
        <w:ind w:left="1080"/>
        <w:jc w:val="both"/>
        <w:rPr>
          <w:sz w:val="22"/>
          <w:szCs w:val="22"/>
          <w:rtl/>
        </w:rPr>
      </w:pPr>
      <w:r w:rsidRPr="000835CE">
        <w:rPr>
          <w:sz w:val="22"/>
          <w:szCs w:val="22"/>
        </w:rPr>
        <w:t xml:space="preserve">As </w:t>
      </w:r>
      <w:proofErr w:type="gramStart"/>
      <w:r w:rsidRPr="000835CE">
        <w:rPr>
          <w:sz w:val="22"/>
          <w:szCs w:val="22"/>
        </w:rPr>
        <w:t>at</w:t>
      </w:r>
      <w:proofErr w:type="gramEnd"/>
      <w:r w:rsidR="00817A65" w:rsidRPr="000835CE">
        <w:rPr>
          <w:sz w:val="22"/>
          <w:szCs w:val="22"/>
        </w:rPr>
        <w:t xml:space="preserve"> December 31, </w:t>
      </w:r>
      <w:r w:rsidR="003A017E" w:rsidRPr="000835CE">
        <w:rPr>
          <w:sz w:val="22"/>
          <w:szCs w:val="22"/>
        </w:rPr>
        <w:t>20</w:t>
      </w:r>
      <w:r w:rsidR="000835CE" w:rsidRPr="000835CE">
        <w:rPr>
          <w:sz w:val="22"/>
          <w:szCs w:val="22"/>
        </w:rPr>
        <w:t>24</w:t>
      </w:r>
      <w:r w:rsidR="00817A65" w:rsidRPr="000835CE">
        <w:rPr>
          <w:sz w:val="22"/>
          <w:szCs w:val="22"/>
        </w:rPr>
        <w:t xml:space="preserve">, corporate guarantees issued by the Company as securities for payment or repayment obligations of certain subsidiaries, in an aggregate value of </w:t>
      </w:r>
      <w:r w:rsidR="00817A65" w:rsidRPr="00986ACA">
        <w:rPr>
          <w:sz w:val="22"/>
          <w:szCs w:val="22"/>
        </w:rPr>
        <w:t xml:space="preserve">approximately EUR </w:t>
      </w:r>
      <w:r w:rsidR="00D903B1">
        <w:rPr>
          <w:sz w:val="22"/>
          <w:szCs w:val="22"/>
        </w:rPr>
        <w:t>89</w:t>
      </w:r>
      <w:r w:rsidR="00D903B1" w:rsidRPr="000835CE">
        <w:rPr>
          <w:sz w:val="22"/>
          <w:szCs w:val="22"/>
        </w:rPr>
        <w:t xml:space="preserve"> </w:t>
      </w:r>
      <w:r w:rsidR="00817A65" w:rsidRPr="000835CE">
        <w:rPr>
          <w:sz w:val="22"/>
          <w:szCs w:val="22"/>
        </w:rPr>
        <w:t xml:space="preserve">million (December 31, </w:t>
      </w:r>
      <w:r w:rsidR="003A017E" w:rsidRPr="000835CE">
        <w:rPr>
          <w:sz w:val="22"/>
          <w:szCs w:val="22"/>
        </w:rPr>
        <w:t>202</w:t>
      </w:r>
      <w:r w:rsidR="000835CE" w:rsidRPr="000835CE">
        <w:rPr>
          <w:sz w:val="22"/>
          <w:szCs w:val="22"/>
        </w:rPr>
        <w:t>3</w:t>
      </w:r>
      <w:r w:rsidR="00817A65" w:rsidRPr="000835CE">
        <w:rPr>
          <w:sz w:val="22"/>
          <w:szCs w:val="22"/>
        </w:rPr>
        <w:t xml:space="preserve">: EUR </w:t>
      </w:r>
      <w:r w:rsidR="000835CE" w:rsidRPr="000835CE">
        <w:rPr>
          <w:sz w:val="22"/>
          <w:szCs w:val="22"/>
        </w:rPr>
        <w:t>42</w:t>
      </w:r>
      <w:r w:rsidR="003A017E" w:rsidRPr="000835CE">
        <w:rPr>
          <w:sz w:val="22"/>
          <w:szCs w:val="22"/>
        </w:rPr>
        <w:t xml:space="preserve"> </w:t>
      </w:r>
      <w:r w:rsidR="00817A65" w:rsidRPr="000835CE">
        <w:rPr>
          <w:sz w:val="22"/>
          <w:szCs w:val="22"/>
        </w:rPr>
        <w:t xml:space="preserve">million), have been provided in connection with </w:t>
      </w:r>
      <w:r w:rsidR="005303D0" w:rsidRPr="000835CE">
        <w:rPr>
          <w:sz w:val="22"/>
          <w:szCs w:val="22"/>
        </w:rPr>
        <w:t xml:space="preserve">financing obtained </w:t>
      </w:r>
      <w:r w:rsidR="00817A65" w:rsidRPr="000835CE">
        <w:rPr>
          <w:sz w:val="22"/>
          <w:szCs w:val="22"/>
        </w:rPr>
        <w:t xml:space="preserve">or obligations </w:t>
      </w:r>
      <w:r w:rsidR="004C1431">
        <w:rPr>
          <w:sz w:val="22"/>
          <w:szCs w:val="22"/>
        </w:rPr>
        <w:t>incurred</w:t>
      </w:r>
      <w:r w:rsidR="004C1431" w:rsidRPr="000835CE">
        <w:rPr>
          <w:sz w:val="22"/>
          <w:szCs w:val="22"/>
        </w:rPr>
        <w:t xml:space="preserve"> </w:t>
      </w:r>
      <w:r w:rsidR="005303D0" w:rsidRPr="000835CE">
        <w:rPr>
          <w:sz w:val="22"/>
          <w:szCs w:val="22"/>
        </w:rPr>
        <w:t xml:space="preserve">by each of such </w:t>
      </w:r>
      <w:r w:rsidR="00AE7773" w:rsidRPr="000835CE">
        <w:rPr>
          <w:sz w:val="22"/>
          <w:szCs w:val="22"/>
        </w:rPr>
        <w:t>subsidiar</w:t>
      </w:r>
      <w:r w:rsidR="00817A65" w:rsidRPr="000835CE">
        <w:rPr>
          <w:sz w:val="22"/>
          <w:szCs w:val="22"/>
        </w:rPr>
        <w:t>ies</w:t>
      </w:r>
      <w:r w:rsidR="005303D0" w:rsidRPr="000835CE">
        <w:rPr>
          <w:sz w:val="22"/>
          <w:szCs w:val="22"/>
        </w:rPr>
        <w:t xml:space="preserve"> in relation to its project.</w:t>
      </w:r>
      <w:r w:rsidR="006E6E24" w:rsidRPr="000835CE">
        <w:rPr>
          <w:sz w:val="22"/>
          <w:szCs w:val="22"/>
        </w:rPr>
        <w:t xml:space="preserve"> </w:t>
      </w:r>
      <w:r w:rsidRPr="000835CE">
        <w:rPr>
          <w:sz w:val="22"/>
          <w:szCs w:val="22"/>
        </w:rPr>
        <w:t>With</w:t>
      </w:r>
      <w:r w:rsidR="006E6E24" w:rsidRPr="000835CE">
        <w:rPr>
          <w:sz w:val="22"/>
          <w:szCs w:val="22"/>
        </w:rPr>
        <w:t xml:space="preserve"> respect to guarantees related to AFI Properties Series </w:t>
      </w:r>
      <w:r w:rsidR="00817A65" w:rsidRPr="000835CE">
        <w:rPr>
          <w:sz w:val="22"/>
          <w:szCs w:val="22"/>
        </w:rPr>
        <w:t xml:space="preserve">12 </w:t>
      </w:r>
      <w:r w:rsidR="006E6E24" w:rsidRPr="000835CE">
        <w:rPr>
          <w:sz w:val="22"/>
          <w:szCs w:val="22"/>
        </w:rPr>
        <w:t>bonds please refer to Note 12(2).</w:t>
      </w:r>
    </w:p>
    <w:p w14:paraId="11C01688" w14:textId="77777777" w:rsidR="00A63973" w:rsidRPr="00440C55" w:rsidRDefault="00A63973" w:rsidP="00440C55">
      <w:pPr>
        <w:rPr>
          <w:sz w:val="22"/>
          <w:szCs w:val="22"/>
          <w:rtl/>
        </w:rPr>
      </w:pPr>
    </w:p>
    <w:p w14:paraId="5EC0444F" w14:textId="64E617C7" w:rsidR="006F68FD" w:rsidRPr="006F68FD" w:rsidRDefault="008C1041" w:rsidP="0020502A">
      <w:pPr>
        <w:pStyle w:val="af2"/>
        <w:numPr>
          <w:ilvl w:val="0"/>
          <w:numId w:val="15"/>
        </w:numPr>
        <w:jc w:val="both"/>
        <w:rPr>
          <w:sz w:val="22"/>
          <w:szCs w:val="22"/>
        </w:rPr>
      </w:pPr>
      <w:r w:rsidRPr="008C1041">
        <w:t xml:space="preserve">On </w:t>
      </w:r>
      <w:r w:rsidRPr="0020502A">
        <w:rPr>
          <w:sz w:val="22"/>
          <w:szCs w:val="22"/>
        </w:rPr>
        <w:t xml:space="preserve">December 31, </w:t>
      </w:r>
      <w:proofErr w:type="gramStart"/>
      <w:r w:rsidRPr="0020502A">
        <w:rPr>
          <w:sz w:val="22"/>
          <w:szCs w:val="22"/>
        </w:rPr>
        <w:t>2023</w:t>
      </w:r>
      <w:proofErr w:type="gramEnd"/>
      <w:r w:rsidRPr="0020502A">
        <w:rPr>
          <w:sz w:val="22"/>
          <w:szCs w:val="22"/>
        </w:rPr>
        <w:t xml:space="preserve"> a deed of merger was signed by the Company as the acquiring entity and AFI Corporate Financing B.V. (“ACF”), a fully owned Dutch subsidiary of the Company, as the entity ceasing to exist (the “Merger”). The Merger became effective as of January 1, 2024. Prior to the Merger, ACF operated as an intra-group lender to the Comp</w:t>
      </w:r>
      <w:r w:rsidR="00DD31B8">
        <w:rPr>
          <w:sz w:val="22"/>
          <w:szCs w:val="22"/>
        </w:rPr>
        <w:t>a</w:t>
      </w:r>
      <w:r w:rsidRPr="0020502A">
        <w:rPr>
          <w:sz w:val="22"/>
          <w:szCs w:val="22"/>
        </w:rPr>
        <w:t xml:space="preserve">ny’s subsidiaries. Upon the Merger, the assets and liabilities of ACF passed over to the Company by universal succession of title, and ACF </w:t>
      </w:r>
      <w:r w:rsidRPr="008C1041">
        <w:rPr>
          <w:sz w:val="22"/>
          <w:szCs w:val="22"/>
        </w:rPr>
        <w:t>ceased</w:t>
      </w:r>
      <w:r w:rsidRPr="0020502A">
        <w:rPr>
          <w:sz w:val="22"/>
          <w:szCs w:val="22"/>
        </w:rPr>
        <w:t xml:space="preserve"> to exist. </w:t>
      </w:r>
      <w:r w:rsidR="00F95B7D">
        <w:rPr>
          <w:sz w:val="22"/>
          <w:szCs w:val="22"/>
        </w:rPr>
        <w:t xml:space="preserve"> </w:t>
      </w:r>
      <w:r w:rsidR="00622AE2">
        <w:t xml:space="preserve"> </w:t>
      </w:r>
    </w:p>
    <w:p w14:paraId="482D0DDD" w14:textId="77777777" w:rsidR="009A76A7" w:rsidRPr="009A76A7" w:rsidRDefault="009A76A7" w:rsidP="009A76A7">
      <w:pPr>
        <w:jc w:val="both"/>
        <w:rPr>
          <w:sz w:val="22"/>
          <w:szCs w:val="22"/>
          <w:highlight w:val="yellow"/>
        </w:rPr>
      </w:pPr>
    </w:p>
    <w:p w14:paraId="26F3F36E" w14:textId="1441F76D" w:rsidR="002B4B5D" w:rsidRDefault="009A76A7" w:rsidP="0091381F">
      <w:pPr>
        <w:pStyle w:val="af2"/>
        <w:numPr>
          <w:ilvl w:val="0"/>
          <w:numId w:val="15"/>
        </w:numPr>
        <w:jc w:val="both"/>
        <w:rPr>
          <w:sz w:val="22"/>
          <w:szCs w:val="22"/>
          <w:lang w:bidi="he-IL"/>
        </w:rPr>
      </w:pPr>
      <w:r w:rsidRPr="002B4B5D">
        <w:rPr>
          <w:sz w:val="22"/>
          <w:szCs w:val="22"/>
        </w:rPr>
        <w:t xml:space="preserve">Following </w:t>
      </w:r>
      <w:r w:rsidR="002B4B5D" w:rsidRPr="002B4B5D">
        <w:rPr>
          <w:sz w:val="22"/>
          <w:szCs w:val="22"/>
        </w:rPr>
        <w:t>the Company’s acquisition on June 8, 2022, of a 70% stake in a partnership holding leasehold rights to approximately 65,000 sqm of land in central Warsaw, Poland, the Group completed the payment of the remaining consideration in August 2024 after reaching the agreed milestone. This final payment amounted to EUR 39.3 million. The final valuation of the Property, based on an adjustment for actual building rights, was approximately EUR 167 million, bringing the total consideration paid by the Company to approximately EUR 117 million.</w:t>
      </w:r>
    </w:p>
    <w:p w14:paraId="4BBF5768" w14:textId="77777777" w:rsidR="00EB5E70" w:rsidRPr="00E43187" w:rsidRDefault="00EB5E70" w:rsidP="00E43187">
      <w:pPr>
        <w:jc w:val="both"/>
        <w:rPr>
          <w:sz w:val="22"/>
          <w:szCs w:val="22"/>
          <w:lang w:bidi="he-IL"/>
        </w:rPr>
      </w:pPr>
    </w:p>
    <w:p w14:paraId="2FBFB0AD" w14:textId="41BDBAEF" w:rsidR="00EB5E70" w:rsidRPr="00F64D81" w:rsidRDefault="002B4B5D" w:rsidP="00986ACA">
      <w:pPr>
        <w:pStyle w:val="af2"/>
        <w:ind w:left="1080"/>
        <w:jc w:val="both"/>
        <w:rPr>
          <w:sz w:val="22"/>
          <w:szCs w:val="18"/>
          <w:lang w:bidi="he-IL"/>
        </w:rPr>
      </w:pPr>
      <w:r>
        <w:rPr>
          <w:sz w:val="22"/>
          <w:szCs w:val="18"/>
          <w:lang w:bidi="he-IL"/>
        </w:rPr>
        <w:t>In addition o</w:t>
      </w:r>
      <w:r w:rsidR="00EB5E70">
        <w:rPr>
          <w:sz w:val="22"/>
          <w:szCs w:val="18"/>
          <w:lang w:bidi="he-IL"/>
        </w:rPr>
        <w:t>n</w:t>
      </w:r>
      <w:r w:rsidR="00EB5E70" w:rsidRPr="00F64D81">
        <w:rPr>
          <w:sz w:val="22"/>
          <w:szCs w:val="18"/>
          <w:lang w:bidi="he-IL"/>
        </w:rPr>
        <w:t xml:space="preserve"> July 23, 2024 a financing agreement (the “Agreement”) was signed by two subsidiaries in which the Company’s (indirect) stake is 70% interest and which own and develop the mixed-use project known as “Towarowa 22” in Warsaw, Poland (the “Subsidiaries” and the “Project”, respectively), in relation to a loan in the amount of up to EUR 81.2 million (the “Loan”), to be provided to the Subsidiaries by two banks upon the fulfilment of several conditions precedent, for the purpose of financing up to 70% of the budgeted costs for the construction of the Project’s first office building (the “Financed Property” and the “Construction Facility”), and a revolving facility of up to PLN 20 million to finance the VAT related thereto (the “VAT Facility”). The Construction Facility bears interest at an annual rate of 3-month EURIBOR plus an acceptable margin in the market.  </w:t>
      </w:r>
    </w:p>
    <w:p w14:paraId="67E9999D" w14:textId="77777777" w:rsidR="00EB5E70" w:rsidRPr="00F64D81" w:rsidRDefault="00EB5E70" w:rsidP="00EB5E70">
      <w:pPr>
        <w:pStyle w:val="af2"/>
        <w:ind w:left="1080"/>
        <w:jc w:val="both"/>
        <w:rPr>
          <w:sz w:val="22"/>
          <w:szCs w:val="18"/>
          <w:lang w:bidi="he-IL"/>
        </w:rPr>
      </w:pPr>
    </w:p>
    <w:p w14:paraId="07B701CB" w14:textId="77777777" w:rsidR="00EB5E70" w:rsidRPr="00F64D81" w:rsidRDefault="00EB5E70" w:rsidP="00EB5E70">
      <w:pPr>
        <w:pStyle w:val="af2"/>
        <w:ind w:left="1080"/>
        <w:jc w:val="both"/>
        <w:rPr>
          <w:sz w:val="22"/>
          <w:szCs w:val="18"/>
          <w:lang w:bidi="he-IL"/>
        </w:rPr>
      </w:pPr>
      <w:r w:rsidRPr="00F64D81">
        <w:rPr>
          <w:sz w:val="22"/>
          <w:szCs w:val="18"/>
          <w:lang w:bidi="he-IL"/>
        </w:rPr>
        <w:t xml:space="preserve">Following completion of the Financed Property’s construction and subject to additional conditions specified in the Agreement, the Construction Facility will be converted to an investment facility and the loan amount will be increased to a maximum of EUR 103.4 million. As of the reporting date, a total of EUR </w:t>
      </w:r>
      <w:r>
        <w:rPr>
          <w:sz w:val="22"/>
          <w:szCs w:val="18"/>
          <w:lang w:bidi="he-IL"/>
        </w:rPr>
        <w:t>17</w:t>
      </w:r>
      <w:r w:rsidRPr="00F64D81">
        <w:rPr>
          <w:sz w:val="22"/>
          <w:szCs w:val="18"/>
          <w:lang w:bidi="he-IL"/>
        </w:rPr>
        <w:t xml:space="preserve"> million has been utilized. </w:t>
      </w:r>
    </w:p>
    <w:p w14:paraId="26E574D2" w14:textId="77777777" w:rsidR="00EB5E70" w:rsidRDefault="00EB5E70" w:rsidP="00986ACA">
      <w:pPr>
        <w:pStyle w:val="af2"/>
        <w:ind w:left="1080"/>
        <w:jc w:val="both"/>
        <w:rPr>
          <w:sz w:val="22"/>
          <w:szCs w:val="22"/>
          <w:lang w:bidi="he-IL"/>
        </w:rPr>
      </w:pPr>
    </w:p>
    <w:p w14:paraId="76FF0A0C" w14:textId="77777777" w:rsidR="002B4B5D" w:rsidRDefault="002B4B5D" w:rsidP="00986ACA">
      <w:pPr>
        <w:pStyle w:val="af2"/>
        <w:ind w:left="1080"/>
        <w:jc w:val="both"/>
        <w:rPr>
          <w:sz w:val="22"/>
          <w:szCs w:val="22"/>
          <w:lang w:bidi="he-IL"/>
        </w:rPr>
      </w:pPr>
    </w:p>
    <w:p w14:paraId="69B759BC" w14:textId="77777777" w:rsidR="00E64F80" w:rsidRDefault="00E64F80" w:rsidP="00E64F80">
      <w:pPr>
        <w:pStyle w:val="af2"/>
        <w:rPr>
          <w:sz w:val="22"/>
          <w:szCs w:val="22"/>
          <w:lang w:bidi="he-IL"/>
        </w:rPr>
      </w:pPr>
    </w:p>
    <w:p w14:paraId="63FDDB2F" w14:textId="3887F443" w:rsidR="00EB5E70" w:rsidRPr="00986ACA" w:rsidRDefault="00EB5E70" w:rsidP="00986ACA">
      <w:pPr>
        <w:rPr>
          <w:b/>
          <w:bCs/>
          <w:sz w:val="22"/>
          <w:szCs w:val="22"/>
          <w:lang w:bidi="he-IL"/>
        </w:rPr>
      </w:pPr>
      <w:r w:rsidRPr="00986ACA">
        <w:rPr>
          <w:b/>
          <w:bCs/>
          <w:sz w:val="22"/>
          <w:szCs w:val="22"/>
          <w:lang w:bidi="he-IL"/>
        </w:rPr>
        <w:t>Note 4 – Subsidiaries and Investment in (and loans to) companies accounted for at equity</w:t>
      </w:r>
      <w:r>
        <w:rPr>
          <w:b/>
          <w:bCs/>
          <w:sz w:val="22"/>
          <w:szCs w:val="22"/>
          <w:lang w:bidi="he-IL"/>
        </w:rPr>
        <w:t xml:space="preserve"> (cont’d)</w:t>
      </w:r>
    </w:p>
    <w:p w14:paraId="3875F817" w14:textId="77777777" w:rsidR="00EB5E70" w:rsidRDefault="00EB5E70" w:rsidP="00E64F80">
      <w:pPr>
        <w:pStyle w:val="af2"/>
        <w:rPr>
          <w:sz w:val="22"/>
          <w:szCs w:val="22"/>
          <w:lang w:bidi="he-IL"/>
        </w:rPr>
      </w:pPr>
    </w:p>
    <w:p w14:paraId="06244D93" w14:textId="495AAB7D" w:rsidR="00EB5E70" w:rsidRPr="00986ACA" w:rsidRDefault="00EB5E70" w:rsidP="00E64F80">
      <w:pPr>
        <w:pStyle w:val="af2"/>
        <w:rPr>
          <w:b/>
          <w:bCs/>
          <w:sz w:val="22"/>
          <w:szCs w:val="22"/>
          <w:lang w:bidi="he-IL"/>
        </w:rPr>
      </w:pPr>
      <w:r w:rsidRPr="00986ACA">
        <w:rPr>
          <w:b/>
          <w:bCs/>
          <w:sz w:val="22"/>
          <w:szCs w:val="22"/>
          <w:lang w:bidi="he-IL"/>
        </w:rPr>
        <w:t>(1)</w:t>
      </w:r>
      <w:r w:rsidRPr="00986ACA">
        <w:rPr>
          <w:b/>
          <w:bCs/>
          <w:sz w:val="22"/>
          <w:szCs w:val="22"/>
          <w:lang w:bidi="he-IL"/>
        </w:rPr>
        <w:tab/>
        <w:t>Subsidiaries</w:t>
      </w:r>
      <w:r>
        <w:rPr>
          <w:b/>
          <w:bCs/>
          <w:sz w:val="22"/>
          <w:szCs w:val="22"/>
          <w:lang w:bidi="he-IL"/>
        </w:rPr>
        <w:t xml:space="preserve"> (cont’d)</w:t>
      </w:r>
    </w:p>
    <w:p w14:paraId="294E9D32" w14:textId="77777777" w:rsidR="00EB5E70" w:rsidRPr="00E64F80" w:rsidRDefault="00EB5E70" w:rsidP="00E64F80">
      <w:pPr>
        <w:pStyle w:val="af2"/>
        <w:rPr>
          <w:sz w:val="22"/>
          <w:szCs w:val="22"/>
          <w:lang w:bidi="he-IL"/>
        </w:rPr>
      </w:pPr>
    </w:p>
    <w:p w14:paraId="6F4FF6AE" w14:textId="0F0151F0" w:rsidR="00E64F80" w:rsidRDefault="00E64F80" w:rsidP="00D7739E">
      <w:pPr>
        <w:pStyle w:val="af2"/>
        <w:numPr>
          <w:ilvl w:val="0"/>
          <w:numId w:val="15"/>
        </w:numPr>
        <w:jc w:val="both"/>
        <w:rPr>
          <w:sz w:val="22"/>
          <w:szCs w:val="22"/>
          <w:lang w:bidi="he-IL"/>
        </w:rPr>
      </w:pPr>
      <w:r>
        <w:rPr>
          <w:sz w:val="22"/>
          <w:szCs w:val="22"/>
          <w:lang w:bidi="he-IL"/>
        </w:rPr>
        <w:t xml:space="preserve">On </w:t>
      </w:r>
      <w:r w:rsidRPr="00E64F80">
        <w:rPr>
          <w:sz w:val="22"/>
          <w:szCs w:val="22"/>
          <w:lang w:bidi="he-IL"/>
        </w:rPr>
        <w:t xml:space="preserve">May 7, </w:t>
      </w:r>
      <w:proofErr w:type="gramStart"/>
      <w:r w:rsidRPr="00E64F80">
        <w:rPr>
          <w:sz w:val="22"/>
          <w:szCs w:val="22"/>
          <w:lang w:bidi="he-IL"/>
        </w:rPr>
        <w:t>2024</w:t>
      </w:r>
      <w:proofErr w:type="gramEnd"/>
      <w:r w:rsidRPr="00E64F80">
        <w:rPr>
          <w:sz w:val="22"/>
          <w:szCs w:val="22"/>
          <w:lang w:bidi="he-IL"/>
        </w:rPr>
        <w:t xml:space="preserve"> the Group signed a </w:t>
      </w:r>
      <w:r w:rsidR="00D50D1B">
        <w:rPr>
          <w:sz w:val="22"/>
          <w:szCs w:val="22"/>
          <w:lang w:bidi="he-IL"/>
        </w:rPr>
        <w:t>forward funding</w:t>
      </w:r>
      <w:r w:rsidRPr="00E64F80">
        <w:rPr>
          <w:sz w:val="22"/>
          <w:szCs w:val="22"/>
          <w:lang w:bidi="he-IL"/>
        </w:rPr>
        <w:t xml:space="preserve"> agreement (the “Agreement”) for the acquisition a residential-for-rent project in Prague (the “Project”), with gross building area of approx. 7,500 sqm, including 318 apartments, retail areas of approx. 200 sqm, and 309 parking spaces (the “Properties”). According to the Agreement, the Transaction will be performed upon completion of the Properties’ construction and the transfer of the ownership over the Properties to a Czech entity </w:t>
      </w:r>
      <w:r w:rsidR="00FD152D">
        <w:rPr>
          <w:sz w:val="22"/>
          <w:szCs w:val="22"/>
          <w:lang w:bidi="he-IL"/>
        </w:rPr>
        <w:t xml:space="preserve">that will be </w:t>
      </w:r>
      <w:r w:rsidR="00CC4BB2">
        <w:rPr>
          <w:sz w:val="22"/>
          <w:szCs w:val="22"/>
          <w:lang w:bidi="he-IL"/>
        </w:rPr>
        <w:t xml:space="preserve">acquired by the Group and </w:t>
      </w:r>
      <w:r w:rsidR="00EA48B8">
        <w:rPr>
          <w:sz w:val="22"/>
          <w:szCs w:val="22"/>
          <w:lang w:bidi="he-IL"/>
        </w:rPr>
        <w:t>be</w:t>
      </w:r>
      <w:r w:rsidR="00CC4BB2">
        <w:rPr>
          <w:sz w:val="22"/>
          <w:szCs w:val="22"/>
          <w:lang w:bidi="he-IL"/>
        </w:rPr>
        <w:t xml:space="preserve"> </w:t>
      </w:r>
      <w:r w:rsidRPr="00E64F80">
        <w:rPr>
          <w:sz w:val="22"/>
          <w:szCs w:val="22"/>
          <w:lang w:bidi="he-IL"/>
        </w:rPr>
        <w:t xml:space="preserve">fully owned by </w:t>
      </w:r>
      <w:r w:rsidR="00CC4BB2">
        <w:rPr>
          <w:sz w:val="22"/>
          <w:szCs w:val="22"/>
          <w:lang w:bidi="he-IL"/>
        </w:rPr>
        <w:t>it</w:t>
      </w:r>
      <w:r w:rsidRPr="00E64F80">
        <w:rPr>
          <w:sz w:val="22"/>
          <w:szCs w:val="22"/>
          <w:lang w:bidi="he-IL"/>
        </w:rPr>
        <w:t xml:space="preserve">, which is expected by end-2026 (the “Closing”). The total Transaction value is approx. CZK 1,922 million (equivalent to approx. EUR 76.8 million) and is payable at the Closing. To secure the Group’s obligation to complete the Transaction, a bank guarantee for 20% of the </w:t>
      </w:r>
      <w:proofErr w:type="gramStart"/>
      <w:r w:rsidRPr="00E64F80">
        <w:rPr>
          <w:sz w:val="22"/>
          <w:szCs w:val="22"/>
          <w:lang w:bidi="he-IL"/>
        </w:rPr>
        <w:t>aforementioned value</w:t>
      </w:r>
      <w:proofErr w:type="gramEnd"/>
      <w:r w:rsidRPr="00E64F80">
        <w:rPr>
          <w:sz w:val="22"/>
          <w:szCs w:val="22"/>
          <w:lang w:bidi="he-IL"/>
        </w:rPr>
        <w:t xml:space="preserve"> of the Transaction has been provided.</w:t>
      </w:r>
    </w:p>
    <w:p w14:paraId="5E12B81B" w14:textId="77777777" w:rsidR="002049E7" w:rsidRPr="00E11F66" w:rsidRDefault="002049E7" w:rsidP="00E11F66">
      <w:pPr>
        <w:pStyle w:val="af2"/>
        <w:rPr>
          <w:sz w:val="22"/>
          <w:szCs w:val="22"/>
          <w:lang w:bidi="he-IL"/>
        </w:rPr>
      </w:pPr>
    </w:p>
    <w:p w14:paraId="3DBBA387" w14:textId="56780622" w:rsidR="00103212" w:rsidRDefault="00AB2BDE" w:rsidP="0020502A">
      <w:pPr>
        <w:pStyle w:val="af2"/>
        <w:numPr>
          <w:ilvl w:val="0"/>
          <w:numId w:val="35"/>
        </w:numPr>
        <w:outlineLvl w:val="3"/>
        <w:rPr>
          <w:b/>
          <w:bCs/>
          <w:sz w:val="22"/>
          <w:szCs w:val="22"/>
        </w:rPr>
      </w:pPr>
      <w:bookmarkStart w:id="125" w:name="H4_Investments_in_and_loans_to_equity_ac"/>
      <w:r>
        <w:rPr>
          <w:b/>
          <w:bCs/>
          <w:sz w:val="22"/>
          <w:szCs w:val="22"/>
        </w:rPr>
        <w:t>Investment in (and loans to) companies accounted for at equity</w:t>
      </w:r>
    </w:p>
    <w:bookmarkEnd w:id="125"/>
    <w:p w14:paraId="43834888" w14:textId="77777777" w:rsidR="00103212" w:rsidRPr="00237FC5" w:rsidRDefault="00103212" w:rsidP="00C52BA0">
      <w:pPr>
        <w:pStyle w:val="af2"/>
        <w:spacing w:line="120" w:lineRule="auto"/>
        <w:ind w:left="0"/>
        <w:rPr>
          <w:b/>
          <w:bCs/>
          <w:sz w:val="22"/>
          <w:szCs w:val="22"/>
        </w:rPr>
      </w:pPr>
    </w:p>
    <w:p w14:paraId="36CA3207" w14:textId="77777777" w:rsidR="00C35D07" w:rsidRPr="00F02921" w:rsidRDefault="00C35D07" w:rsidP="000B59AD">
      <w:pPr>
        <w:ind w:left="720"/>
        <w:outlineLvl w:val="4"/>
        <w:rPr>
          <w:b/>
          <w:bCs/>
          <w:sz w:val="22"/>
          <w:szCs w:val="22"/>
        </w:rPr>
      </w:pPr>
      <w:bookmarkStart w:id="126" w:name="H5_AComposition_of_the_investments"/>
      <w:r w:rsidRPr="00F02921">
        <w:rPr>
          <w:b/>
          <w:bCs/>
          <w:sz w:val="22"/>
          <w:szCs w:val="22"/>
        </w:rPr>
        <w:t>A.</w:t>
      </w:r>
      <w:r w:rsidRPr="00F02921">
        <w:rPr>
          <w:b/>
          <w:bCs/>
          <w:sz w:val="22"/>
          <w:szCs w:val="22"/>
        </w:rPr>
        <w:tab/>
        <w:t>Composition of the investments:</w:t>
      </w:r>
    </w:p>
    <w:bookmarkEnd w:id="126"/>
    <w:p w14:paraId="05EDFC4E" w14:textId="77777777" w:rsidR="00C35D07" w:rsidRPr="00F02921" w:rsidRDefault="00C35D07" w:rsidP="004A3C21">
      <w:pPr>
        <w:ind w:left="720"/>
        <w:jc w:val="both"/>
        <w:rPr>
          <w:rStyle w:val="Koteret"/>
          <w:sz w:val="12"/>
          <w:szCs w:val="12"/>
          <w:rtl/>
          <w:lang w:bidi="he-IL"/>
        </w:rPr>
      </w:pPr>
    </w:p>
    <w:p w14:paraId="15F4F3F0" w14:textId="77777777" w:rsidR="00C35D07" w:rsidRPr="00F02921" w:rsidRDefault="00C35D07" w:rsidP="004A3C21">
      <w:pPr>
        <w:ind w:left="720"/>
        <w:jc w:val="both"/>
        <w:rPr>
          <w:rStyle w:val="Koteret"/>
          <w:b w:val="0"/>
          <w:bCs/>
          <w:i/>
          <w:iCs/>
          <w:rtl/>
          <w:lang w:bidi="he-IL"/>
        </w:rPr>
      </w:pPr>
      <w:r w:rsidRPr="00F02921">
        <w:rPr>
          <w:rStyle w:val="Koteret"/>
          <w:b w:val="0"/>
          <w:bCs/>
          <w:i/>
          <w:iCs/>
        </w:rPr>
        <w:t>In thousands of Euros</w:t>
      </w:r>
    </w:p>
    <w:tbl>
      <w:tblPr>
        <w:tblW w:w="0" w:type="auto"/>
        <w:tblInd w:w="720" w:type="dxa"/>
        <w:tblLayout w:type="fixed"/>
        <w:tblCellMar>
          <w:left w:w="0" w:type="dxa"/>
          <w:right w:w="0" w:type="dxa"/>
        </w:tblCellMar>
        <w:tblLook w:val="06A0" w:firstRow="1" w:lastRow="0" w:firstColumn="1" w:lastColumn="0" w:noHBand="1" w:noVBand="1"/>
        <w:tblCaption w:val="AHR01"/>
        <w:tblDescription w:val="Composition of the investments"/>
      </w:tblPr>
      <w:tblGrid>
        <w:gridCol w:w="5490"/>
        <w:gridCol w:w="1714"/>
        <w:gridCol w:w="1714"/>
      </w:tblGrid>
      <w:tr w:rsidR="007F0858" w14:paraId="68570CCE" w14:textId="77777777" w:rsidTr="006909F2">
        <w:trPr>
          <w:trHeight w:val="20"/>
          <w:tblHeader/>
        </w:trPr>
        <w:tc>
          <w:tcPr>
            <w:tcW w:w="5490" w:type="dxa"/>
            <w:shd w:val="clear" w:color="auto" w:fill="auto"/>
            <w:noWrap/>
            <w:vAlign w:val="bottom"/>
            <w:hideMark/>
          </w:tcPr>
          <w:p w14:paraId="713EE91E" w14:textId="77777777" w:rsidR="007F0858" w:rsidRPr="00866299" w:rsidRDefault="007F0858">
            <w:pPr>
              <w:spacing w:before="40"/>
              <w:rPr>
                <w:rFonts w:ascii="Arial" w:eastAsia="Arial" w:hAnsi="Arial" w:cs="Arial"/>
                <w:sz w:val="20"/>
              </w:rPr>
            </w:pPr>
            <w:bookmarkStart w:id="127" w:name="Title_17" w:colFirst="0" w:colLast="0"/>
          </w:p>
        </w:tc>
        <w:tc>
          <w:tcPr>
            <w:tcW w:w="1714" w:type="dxa"/>
            <w:shd w:val="clear" w:color="auto" w:fill="auto"/>
            <w:vAlign w:val="bottom"/>
            <w:hideMark/>
          </w:tcPr>
          <w:p w14:paraId="4C72CC3E" w14:textId="77777777" w:rsidR="007F0858" w:rsidRPr="00866299" w:rsidRDefault="007F0858" w:rsidP="006F68FD">
            <w:pPr>
              <w:spacing w:before="40"/>
              <w:jc w:val="center"/>
              <w:rPr>
                <w:b/>
                <w:bCs/>
                <w:sz w:val="20"/>
              </w:rPr>
            </w:pPr>
            <w:r w:rsidRPr="00866299">
              <w:rPr>
                <w:b/>
                <w:bCs/>
                <w:color w:val="000000"/>
                <w:sz w:val="20"/>
              </w:rPr>
              <w:t>December 31,</w:t>
            </w:r>
          </w:p>
          <w:p w14:paraId="1582272D" w14:textId="6B32A5AB" w:rsidR="007F0858" w:rsidRPr="00866299" w:rsidRDefault="00AD1E41" w:rsidP="00C52BA0">
            <w:pPr>
              <w:pBdr>
                <w:bottom w:val="single" w:sz="4" w:space="0" w:color="000000"/>
              </w:pBdr>
              <w:spacing w:before="40"/>
              <w:ind w:left="57"/>
              <w:jc w:val="center"/>
              <w:rPr>
                <w:b/>
                <w:bCs/>
                <w:sz w:val="20"/>
              </w:rPr>
            </w:pPr>
            <w:r>
              <w:rPr>
                <w:b/>
                <w:bCs/>
                <w:color w:val="000000"/>
                <w:sz w:val="20"/>
              </w:rPr>
              <w:t>202</w:t>
            </w:r>
            <w:r w:rsidR="00C52BA0">
              <w:rPr>
                <w:b/>
                <w:bCs/>
                <w:sz w:val="20"/>
              </w:rPr>
              <w:t>4</w:t>
            </w:r>
          </w:p>
        </w:tc>
        <w:tc>
          <w:tcPr>
            <w:tcW w:w="1714" w:type="dxa"/>
            <w:shd w:val="clear" w:color="auto" w:fill="auto"/>
            <w:vAlign w:val="bottom"/>
            <w:hideMark/>
          </w:tcPr>
          <w:p w14:paraId="2DBE6516" w14:textId="77777777" w:rsidR="007F0858" w:rsidRPr="00866299" w:rsidRDefault="007F0858" w:rsidP="006F68FD">
            <w:pPr>
              <w:spacing w:before="40"/>
              <w:jc w:val="center"/>
              <w:rPr>
                <w:b/>
                <w:bCs/>
                <w:sz w:val="20"/>
              </w:rPr>
            </w:pPr>
            <w:r w:rsidRPr="00866299">
              <w:rPr>
                <w:b/>
                <w:bCs/>
                <w:color w:val="000000"/>
                <w:sz w:val="20"/>
              </w:rPr>
              <w:t>December 31,</w:t>
            </w:r>
          </w:p>
          <w:p w14:paraId="3D25A5D1" w14:textId="70B60564" w:rsidR="007F0858" w:rsidRPr="00866299" w:rsidRDefault="00AD1E41" w:rsidP="00C52BA0">
            <w:pPr>
              <w:pBdr>
                <w:bottom w:val="single" w:sz="4" w:space="0" w:color="000000"/>
              </w:pBdr>
              <w:spacing w:before="40"/>
              <w:ind w:left="57"/>
              <w:jc w:val="center"/>
              <w:rPr>
                <w:b/>
                <w:bCs/>
                <w:sz w:val="20"/>
              </w:rPr>
            </w:pPr>
            <w:r>
              <w:rPr>
                <w:b/>
                <w:bCs/>
                <w:color w:val="000000"/>
                <w:sz w:val="20"/>
              </w:rPr>
              <w:t>20</w:t>
            </w:r>
            <w:r w:rsidR="00C52BA0">
              <w:rPr>
                <w:b/>
                <w:bCs/>
                <w:color w:val="000000"/>
                <w:sz w:val="20"/>
              </w:rPr>
              <w:t>23</w:t>
            </w:r>
          </w:p>
        </w:tc>
      </w:tr>
      <w:bookmarkEnd w:id="127"/>
      <w:tr w:rsidR="00C52BA0" w:rsidRPr="002B1FE4" w14:paraId="03F21FC2" w14:textId="77777777" w:rsidTr="006909F2">
        <w:trPr>
          <w:trHeight w:val="20"/>
        </w:trPr>
        <w:tc>
          <w:tcPr>
            <w:tcW w:w="5490" w:type="dxa"/>
            <w:shd w:val="clear" w:color="auto" w:fill="auto"/>
            <w:noWrap/>
            <w:vAlign w:val="bottom"/>
            <w:hideMark/>
          </w:tcPr>
          <w:p w14:paraId="0343DB64" w14:textId="7466D186" w:rsidR="00C52BA0" w:rsidRPr="002F46EC" w:rsidRDefault="00C52BA0" w:rsidP="00C52BA0">
            <w:pPr>
              <w:spacing w:before="40"/>
              <w:rPr>
                <w:sz w:val="22"/>
                <w:szCs w:val="22"/>
              </w:rPr>
            </w:pPr>
            <w:r w:rsidRPr="00BB06DB">
              <w:rPr>
                <w:color w:val="000000"/>
                <w:sz w:val="22"/>
                <w:szCs w:val="22"/>
              </w:rPr>
              <w:t>Cost of shares</w:t>
            </w:r>
            <w:r w:rsidR="003E3428">
              <w:rPr>
                <w:color w:val="000000"/>
                <w:sz w:val="22"/>
                <w:szCs w:val="22"/>
              </w:rPr>
              <w:t xml:space="preserve"> </w:t>
            </w:r>
          </w:p>
        </w:tc>
        <w:tc>
          <w:tcPr>
            <w:tcW w:w="1714" w:type="dxa"/>
            <w:shd w:val="clear" w:color="auto" w:fill="auto"/>
            <w:noWrap/>
            <w:vAlign w:val="bottom"/>
          </w:tcPr>
          <w:p w14:paraId="5D44367C" w14:textId="3B40937E" w:rsidR="00C52BA0" w:rsidRPr="00502C08" w:rsidRDefault="00676994" w:rsidP="00676994">
            <w:pPr>
              <w:spacing w:before="40"/>
              <w:jc w:val="right"/>
              <w:rPr>
                <w:sz w:val="22"/>
                <w:szCs w:val="22"/>
              </w:rPr>
            </w:pPr>
            <w:r w:rsidRPr="00502C08">
              <w:rPr>
                <w:color w:val="000000"/>
                <w:sz w:val="22"/>
                <w:szCs w:val="22"/>
              </w:rPr>
              <w:t>96,175</w:t>
            </w:r>
            <w:r w:rsidR="00502C08" w:rsidRPr="00502C08">
              <w:rPr>
                <w:color w:val="000000"/>
                <w:sz w:val="22"/>
                <w:szCs w:val="22"/>
              </w:rPr>
              <w:t xml:space="preserve"> </w:t>
            </w:r>
          </w:p>
        </w:tc>
        <w:tc>
          <w:tcPr>
            <w:tcW w:w="1714" w:type="dxa"/>
            <w:shd w:val="clear" w:color="auto" w:fill="auto"/>
            <w:noWrap/>
            <w:vAlign w:val="bottom"/>
          </w:tcPr>
          <w:p w14:paraId="1CEB24DE" w14:textId="7A82D010" w:rsidR="00C52BA0" w:rsidRPr="006F68FD" w:rsidRDefault="00C52BA0" w:rsidP="00C52BA0">
            <w:pPr>
              <w:spacing w:before="40"/>
              <w:jc w:val="right"/>
              <w:rPr>
                <w:sz w:val="22"/>
                <w:szCs w:val="22"/>
              </w:rPr>
            </w:pPr>
            <w:r w:rsidRPr="0095659A">
              <w:rPr>
                <w:sz w:val="22"/>
                <w:szCs w:val="22"/>
              </w:rPr>
              <w:t>106,049</w:t>
            </w:r>
          </w:p>
        </w:tc>
      </w:tr>
      <w:tr w:rsidR="00676994" w:rsidRPr="00BF42ED" w14:paraId="18705F60" w14:textId="77777777" w:rsidTr="006909F2">
        <w:trPr>
          <w:trHeight w:val="20"/>
        </w:trPr>
        <w:tc>
          <w:tcPr>
            <w:tcW w:w="5490" w:type="dxa"/>
            <w:shd w:val="clear" w:color="auto" w:fill="auto"/>
            <w:noWrap/>
            <w:vAlign w:val="bottom"/>
            <w:hideMark/>
          </w:tcPr>
          <w:p w14:paraId="7AB91769" w14:textId="77777777" w:rsidR="00676994" w:rsidRPr="00BF42ED" w:rsidRDefault="00676994" w:rsidP="00676994">
            <w:pPr>
              <w:spacing w:before="40"/>
              <w:rPr>
                <w:sz w:val="22"/>
                <w:szCs w:val="22"/>
              </w:rPr>
            </w:pPr>
            <w:r w:rsidRPr="00BF42ED">
              <w:rPr>
                <w:color w:val="000000"/>
                <w:sz w:val="22"/>
                <w:szCs w:val="22"/>
              </w:rPr>
              <w:t>Company’s share in reserves and retained earnings, net</w:t>
            </w:r>
          </w:p>
        </w:tc>
        <w:tc>
          <w:tcPr>
            <w:tcW w:w="1714" w:type="dxa"/>
            <w:shd w:val="clear" w:color="auto" w:fill="auto"/>
            <w:noWrap/>
            <w:vAlign w:val="bottom"/>
          </w:tcPr>
          <w:p w14:paraId="29C4115B" w14:textId="2BB558B3" w:rsidR="00676994" w:rsidRPr="00676994" w:rsidRDefault="00676994" w:rsidP="00676994">
            <w:pPr>
              <w:pBdr>
                <w:bottom w:val="single" w:sz="4" w:space="0" w:color="000000"/>
              </w:pBdr>
              <w:spacing w:before="40"/>
              <w:jc w:val="right"/>
              <w:rPr>
                <w:sz w:val="22"/>
                <w:szCs w:val="22"/>
                <w:lang w:bidi="he-IL"/>
              </w:rPr>
            </w:pPr>
            <w:r w:rsidRPr="00676994">
              <w:rPr>
                <w:sz w:val="22"/>
                <w:szCs w:val="22"/>
              </w:rPr>
              <w:t>29,797</w:t>
            </w:r>
          </w:p>
        </w:tc>
        <w:tc>
          <w:tcPr>
            <w:tcW w:w="1714" w:type="dxa"/>
            <w:shd w:val="clear" w:color="auto" w:fill="auto"/>
            <w:noWrap/>
            <w:vAlign w:val="bottom"/>
          </w:tcPr>
          <w:p w14:paraId="61DA8D6C" w14:textId="29827212" w:rsidR="00676994" w:rsidRPr="006F68FD" w:rsidRDefault="00676994" w:rsidP="00676994">
            <w:pPr>
              <w:pBdr>
                <w:bottom w:val="single" w:sz="4" w:space="0" w:color="000000"/>
              </w:pBdr>
              <w:spacing w:before="40"/>
              <w:jc w:val="right"/>
              <w:rPr>
                <w:sz w:val="22"/>
                <w:szCs w:val="22"/>
              </w:rPr>
            </w:pPr>
            <w:r w:rsidRPr="0095659A">
              <w:rPr>
                <w:sz w:val="22"/>
                <w:szCs w:val="22"/>
              </w:rPr>
              <w:t>4,731</w:t>
            </w:r>
          </w:p>
        </w:tc>
      </w:tr>
      <w:tr w:rsidR="00676994" w:rsidRPr="00BF42ED" w14:paraId="7218D68F" w14:textId="77777777" w:rsidTr="006909F2">
        <w:trPr>
          <w:trHeight w:val="20"/>
        </w:trPr>
        <w:tc>
          <w:tcPr>
            <w:tcW w:w="5490" w:type="dxa"/>
            <w:shd w:val="clear" w:color="auto" w:fill="auto"/>
            <w:noWrap/>
            <w:vAlign w:val="bottom"/>
            <w:hideMark/>
          </w:tcPr>
          <w:p w14:paraId="2A079202" w14:textId="77777777" w:rsidR="00676994" w:rsidRPr="00BF42ED" w:rsidRDefault="00676994" w:rsidP="00676994">
            <w:pPr>
              <w:spacing w:before="40"/>
              <w:rPr>
                <w:sz w:val="22"/>
                <w:szCs w:val="22"/>
              </w:rPr>
            </w:pPr>
            <w:r w:rsidRPr="00BF42ED">
              <w:rPr>
                <w:color w:val="000000"/>
                <w:sz w:val="22"/>
                <w:szCs w:val="22"/>
              </w:rPr>
              <w:t>Carrying value</w:t>
            </w:r>
          </w:p>
        </w:tc>
        <w:tc>
          <w:tcPr>
            <w:tcW w:w="1714" w:type="dxa"/>
            <w:shd w:val="clear" w:color="auto" w:fill="auto"/>
            <w:noWrap/>
            <w:vAlign w:val="bottom"/>
          </w:tcPr>
          <w:p w14:paraId="7F79300A" w14:textId="36BBF2DB" w:rsidR="00676994" w:rsidRPr="00676994" w:rsidRDefault="00676994" w:rsidP="00676994">
            <w:pPr>
              <w:spacing w:before="40"/>
              <w:jc w:val="right"/>
              <w:rPr>
                <w:sz w:val="22"/>
                <w:szCs w:val="22"/>
                <w:lang w:bidi="he-IL"/>
              </w:rPr>
            </w:pPr>
            <w:r w:rsidRPr="00676994">
              <w:rPr>
                <w:sz w:val="22"/>
                <w:szCs w:val="22"/>
              </w:rPr>
              <w:t>125,972</w:t>
            </w:r>
          </w:p>
        </w:tc>
        <w:tc>
          <w:tcPr>
            <w:tcW w:w="1714" w:type="dxa"/>
            <w:shd w:val="clear" w:color="auto" w:fill="auto"/>
            <w:noWrap/>
            <w:vAlign w:val="bottom"/>
          </w:tcPr>
          <w:p w14:paraId="6734DD40" w14:textId="2D08937F" w:rsidR="00676994" w:rsidRPr="006F68FD" w:rsidRDefault="00676994" w:rsidP="00676994">
            <w:pPr>
              <w:spacing w:before="40"/>
              <w:jc w:val="right"/>
              <w:rPr>
                <w:sz w:val="22"/>
                <w:szCs w:val="22"/>
              </w:rPr>
            </w:pPr>
            <w:r w:rsidRPr="0095659A">
              <w:rPr>
                <w:sz w:val="22"/>
                <w:szCs w:val="22"/>
              </w:rPr>
              <w:t>110,781</w:t>
            </w:r>
          </w:p>
        </w:tc>
      </w:tr>
      <w:tr w:rsidR="00676994" w:rsidRPr="00BF42ED" w14:paraId="63100079" w14:textId="77777777" w:rsidTr="006909F2">
        <w:trPr>
          <w:trHeight w:val="20"/>
        </w:trPr>
        <w:tc>
          <w:tcPr>
            <w:tcW w:w="5490" w:type="dxa"/>
            <w:shd w:val="clear" w:color="auto" w:fill="auto"/>
            <w:noWrap/>
            <w:vAlign w:val="bottom"/>
            <w:hideMark/>
          </w:tcPr>
          <w:p w14:paraId="3DEC24E2" w14:textId="0DD49A9D" w:rsidR="00676994" w:rsidRPr="00BF42ED" w:rsidRDefault="00676994" w:rsidP="00676994">
            <w:pPr>
              <w:spacing w:before="40"/>
              <w:rPr>
                <w:sz w:val="22"/>
                <w:szCs w:val="22"/>
              </w:rPr>
            </w:pPr>
            <w:r w:rsidRPr="00BF42ED">
              <w:rPr>
                <w:color w:val="000000"/>
                <w:sz w:val="22"/>
                <w:szCs w:val="22"/>
              </w:rPr>
              <w:t>Loans (</w:t>
            </w:r>
            <w:r>
              <w:rPr>
                <w:rFonts w:hint="cs"/>
                <w:color w:val="000000"/>
                <w:sz w:val="22"/>
                <w:szCs w:val="22"/>
                <w:rtl/>
                <w:lang w:bidi="he-IL"/>
              </w:rPr>
              <w:t>1</w:t>
            </w:r>
            <w:r w:rsidRPr="00BF42ED">
              <w:rPr>
                <w:color w:val="000000"/>
                <w:sz w:val="22"/>
                <w:szCs w:val="22"/>
              </w:rPr>
              <w:t>)</w:t>
            </w:r>
          </w:p>
        </w:tc>
        <w:tc>
          <w:tcPr>
            <w:tcW w:w="1714" w:type="dxa"/>
            <w:shd w:val="clear" w:color="auto" w:fill="auto"/>
            <w:noWrap/>
            <w:vAlign w:val="bottom"/>
          </w:tcPr>
          <w:p w14:paraId="274FD289" w14:textId="0BC3368F" w:rsidR="00676994" w:rsidRPr="00676994" w:rsidRDefault="00676994" w:rsidP="00676994">
            <w:pPr>
              <w:pBdr>
                <w:bottom w:val="single" w:sz="4" w:space="0" w:color="000000"/>
              </w:pBdr>
              <w:spacing w:before="40"/>
              <w:jc w:val="right"/>
              <w:rPr>
                <w:sz w:val="22"/>
                <w:szCs w:val="22"/>
                <w:lang w:bidi="he-IL"/>
              </w:rPr>
            </w:pPr>
            <w:r w:rsidRPr="00676994">
              <w:rPr>
                <w:sz w:val="22"/>
                <w:szCs w:val="22"/>
              </w:rPr>
              <w:t>16,213</w:t>
            </w:r>
          </w:p>
        </w:tc>
        <w:tc>
          <w:tcPr>
            <w:tcW w:w="1714" w:type="dxa"/>
            <w:shd w:val="clear" w:color="auto" w:fill="auto"/>
            <w:noWrap/>
            <w:vAlign w:val="bottom"/>
          </w:tcPr>
          <w:p w14:paraId="3C4CA2D8" w14:textId="0C6CE7A5" w:rsidR="00676994" w:rsidRPr="006F68FD" w:rsidRDefault="00676994" w:rsidP="00676994">
            <w:pPr>
              <w:pBdr>
                <w:bottom w:val="single" w:sz="4" w:space="0" w:color="000000"/>
              </w:pBdr>
              <w:spacing w:before="40"/>
              <w:jc w:val="right"/>
              <w:rPr>
                <w:sz w:val="22"/>
                <w:szCs w:val="22"/>
              </w:rPr>
            </w:pPr>
            <w:r w:rsidRPr="0095659A">
              <w:rPr>
                <w:sz w:val="22"/>
                <w:szCs w:val="22"/>
              </w:rPr>
              <w:t>11,998</w:t>
            </w:r>
          </w:p>
        </w:tc>
      </w:tr>
      <w:tr w:rsidR="00676994" w14:paraId="27ABB03F" w14:textId="77777777" w:rsidTr="006909F2">
        <w:trPr>
          <w:trHeight w:val="20"/>
        </w:trPr>
        <w:tc>
          <w:tcPr>
            <w:tcW w:w="5490" w:type="dxa"/>
            <w:shd w:val="clear" w:color="auto" w:fill="auto"/>
            <w:noWrap/>
            <w:vAlign w:val="bottom"/>
            <w:hideMark/>
          </w:tcPr>
          <w:p w14:paraId="77EF1126" w14:textId="77777777" w:rsidR="00676994" w:rsidRPr="00BF42ED" w:rsidRDefault="00676994" w:rsidP="00676994">
            <w:pPr>
              <w:spacing w:before="40"/>
              <w:rPr>
                <w:rFonts w:ascii="Arial" w:eastAsia="Arial" w:hAnsi="Arial" w:cs="Arial"/>
                <w:sz w:val="22"/>
                <w:szCs w:val="22"/>
              </w:rPr>
            </w:pPr>
          </w:p>
        </w:tc>
        <w:tc>
          <w:tcPr>
            <w:tcW w:w="1714" w:type="dxa"/>
            <w:shd w:val="clear" w:color="auto" w:fill="auto"/>
            <w:noWrap/>
            <w:vAlign w:val="bottom"/>
          </w:tcPr>
          <w:p w14:paraId="2971CDED" w14:textId="2AC65EB4" w:rsidR="00676994" w:rsidRPr="00676994" w:rsidRDefault="00676994" w:rsidP="00676994">
            <w:pPr>
              <w:pBdr>
                <w:bottom w:val="double" w:sz="4" w:space="0" w:color="000000"/>
              </w:pBdr>
              <w:spacing w:before="40"/>
              <w:jc w:val="right"/>
              <w:rPr>
                <w:sz w:val="22"/>
                <w:szCs w:val="22"/>
                <w:lang w:bidi="he-IL"/>
              </w:rPr>
            </w:pPr>
            <w:r w:rsidRPr="00676994">
              <w:rPr>
                <w:sz w:val="22"/>
                <w:szCs w:val="22"/>
              </w:rPr>
              <w:t>142,185</w:t>
            </w:r>
          </w:p>
        </w:tc>
        <w:tc>
          <w:tcPr>
            <w:tcW w:w="1714" w:type="dxa"/>
            <w:shd w:val="clear" w:color="auto" w:fill="auto"/>
            <w:noWrap/>
            <w:vAlign w:val="bottom"/>
          </w:tcPr>
          <w:p w14:paraId="0DF5BEF7" w14:textId="082EE431" w:rsidR="00676994" w:rsidRPr="006F68FD" w:rsidRDefault="00676994" w:rsidP="00676994">
            <w:pPr>
              <w:pBdr>
                <w:bottom w:val="double" w:sz="4" w:space="0" w:color="000000"/>
              </w:pBdr>
              <w:spacing w:before="40"/>
              <w:jc w:val="right"/>
              <w:rPr>
                <w:sz w:val="22"/>
                <w:szCs w:val="22"/>
              </w:rPr>
            </w:pPr>
            <w:r w:rsidRPr="0095659A">
              <w:rPr>
                <w:sz w:val="22"/>
                <w:szCs w:val="22"/>
              </w:rPr>
              <w:t>122,779</w:t>
            </w:r>
          </w:p>
        </w:tc>
      </w:tr>
    </w:tbl>
    <w:p w14:paraId="38A943A4" w14:textId="77777777" w:rsidR="009A76A7" w:rsidRDefault="009A76A7" w:rsidP="009A76A7">
      <w:pPr>
        <w:rPr>
          <w:sz w:val="16"/>
          <w:szCs w:val="16"/>
        </w:rPr>
      </w:pPr>
    </w:p>
    <w:p w14:paraId="574C55A6" w14:textId="77777777" w:rsidR="009A76A7" w:rsidRPr="00164266" w:rsidRDefault="009A76A7" w:rsidP="00F33FDE">
      <w:pPr>
        <w:ind w:left="720"/>
        <w:rPr>
          <w:sz w:val="16"/>
          <w:szCs w:val="16"/>
        </w:rPr>
      </w:pPr>
    </w:p>
    <w:tbl>
      <w:tblPr>
        <w:tblW w:w="8919" w:type="dxa"/>
        <w:tblInd w:w="720" w:type="dxa"/>
        <w:tblLook w:val="06A0" w:firstRow="1" w:lastRow="0" w:firstColumn="1" w:lastColumn="0" w:noHBand="1" w:noVBand="1"/>
        <w:tblCaption w:val="AHR01"/>
        <w:tblDescription w:val="Composition of the investments"/>
      </w:tblPr>
      <w:tblGrid>
        <w:gridCol w:w="3108"/>
        <w:gridCol w:w="2409"/>
        <w:gridCol w:w="1701"/>
        <w:gridCol w:w="1701"/>
      </w:tblGrid>
      <w:tr w:rsidR="00C52BA0" w:rsidRPr="0060689B" w14:paraId="357BB4A0" w14:textId="77777777" w:rsidTr="006909F2">
        <w:trPr>
          <w:cantSplit/>
          <w:trHeight w:val="566"/>
          <w:tblHeader/>
        </w:trPr>
        <w:tc>
          <w:tcPr>
            <w:tcW w:w="3108" w:type="dxa"/>
            <w:shd w:val="clear" w:color="auto" w:fill="auto"/>
            <w:noWrap/>
            <w:vAlign w:val="bottom"/>
            <w:hideMark/>
          </w:tcPr>
          <w:p w14:paraId="7451AD66" w14:textId="64FEE677" w:rsidR="00C52BA0" w:rsidRPr="00866299" w:rsidRDefault="00C52BA0" w:rsidP="00C52BA0">
            <w:pPr>
              <w:spacing w:before="40"/>
              <w:rPr>
                <w:rFonts w:ascii="Arial" w:eastAsia="Arial" w:hAnsi="Arial" w:cs="Arial"/>
                <w:sz w:val="20"/>
              </w:rPr>
            </w:pPr>
            <w:bookmarkStart w:id="128" w:name="Title_18" w:colFirst="0" w:colLast="0"/>
            <w:r w:rsidRPr="00237FC5">
              <w:rPr>
                <w:color w:val="000000"/>
                <w:sz w:val="20"/>
                <w:u w:val="single"/>
              </w:rPr>
              <w:t>(</w:t>
            </w:r>
            <w:r>
              <w:rPr>
                <w:color w:val="000000"/>
                <w:sz w:val="20"/>
                <w:u w:val="single"/>
              </w:rPr>
              <w:t>1</w:t>
            </w:r>
            <w:r w:rsidRPr="00237FC5">
              <w:rPr>
                <w:color w:val="000000"/>
                <w:sz w:val="20"/>
                <w:u w:val="single"/>
              </w:rPr>
              <w:t>) Loans:</w:t>
            </w:r>
          </w:p>
        </w:tc>
        <w:tc>
          <w:tcPr>
            <w:tcW w:w="2409" w:type="dxa"/>
            <w:shd w:val="clear" w:color="auto" w:fill="auto"/>
            <w:noWrap/>
            <w:vAlign w:val="bottom"/>
            <w:hideMark/>
          </w:tcPr>
          <w:p w14:paraId="7C76228E" w14:textId="70C9B8E5" w:rsidR="00C52BA0" w:rsidRPr="00866299" w:rsidRDefault="00C52BA0" w:rsidP="00C52BA0">
            <w:pPr>
              <w:spacing w:before="40"/>
              <w:rPr>
                <w:rFonts w:ascii="Arial" w:eastAsia="Arial" w:hAnsi="Arial" w:cs="Arial"/>
                <w:sz w:val="20"/>
              </w:rPr>
            </w:pPr>
            <w:r w:rsidRPr="00237FC5">
              <w:rPr>
                <w:color w:val="000000"/>
                <w:sz w:val="20"/>
                <w:u w:val="single"/>
              </w:rPr>
              <w:t>Rate</w:t>
            </w:r>
          </w:p>
        </w:tc>
        <w:tc>
          <w:tcPr>
            <w:tcW w:w="1701" w:type="dxa"/>
            <w:shd w:val="clear" w:color="auto" w:fill="auto"/>
            <w:vAlign w:val="bottom"/>
            <w:hideMark/>
          </w:tcPr>
          <w:p w14:paraId="1D5FC9C0" w14:textId="77777777" w:rsidR="00C52BA0" w:rsidRPr="00866299" w:rsidRDefault="00C52BA0" w:rsidP="00C52BA0">
            <w:pPr>
              <w:spacing w:before="40"/>
              <w:jc w:val="center"/>
              <w:rPr>
                <w:b/>
                <w:bCs/>
                <w:sz w:val="20"/>
              </w:rPr>
            </w:pPr>
            <w:r w:rsidRPr="00866299">
              <w:rPr>
                <w:b/>
                <w:bCs/>
                <w:color w:val="000000"/>
                <w:sz w:val="20"/>
              </w:rPr>
              <w:t>December 31,</w:t>
            </w:r>
          </w:p>
          <w:p w14:paraId="5B189ABE" w14:textId="7ECB9D18" w:rsidR="00C52BA0" w:rsidRPr="006F68FD" w:rsidRDefault="00C52BA0" w:rsidP="00C52BA0">
            <w:pPr>
              <w:pBdr>
                <w:bottom w:val="single" w:sz="4" w:space="0" w:color="000000"/>
              </w:pBdr>
              <w:bidi/>
              <w:spacing w:before="40"/>
              <w:ind w:left="57"/>
              <w:jc w:val="center"/>
              <w:rPr>
                <w:b/>
                <w:bCs/>
                <w:color w:val="000000"/>
                <w:sz w:val="20"/>
              </w:rPr>
            </w:pPr>
            <w:r>
              <w:rPr>
                <w:b/>
                <w:bCs/>
                <w:color w:val="000000"/>
                <w:sz w:val="20"/>
              </w:rPr>
              <w:t>202</w:t>
            </w:r>
            <w:r>
              <w:rPr>
                <w:b/>
                <w:bCs/>
                <w:sz w:val="20"/>
              </w:rPr>
              <w:t>4</w:t>
            </w:r>
          </w:p>
        </w:tc>
        <w:tc>
          <w:tcPr>
            <w:tcW w:w="1701" w:type="dxa"/>
            <w:shd w:val="clear" w:color="auto" w:fill="auto"/>
            <w:vAlign w:val="bottom"/>
            <w:hideMark/>
          </w:tcPr>
          <w:p w14:paraId="6863E584" w14:textId="77777777" w:rsidR="00C52BA0" w:rsidRPr="00866299" w:rsidRDefault="00C52BA0" w:rsidP="00C52BA0">
            <w:pPr>
              <w:spacing w:before="40"/>
              <w:jc w:val="center"/>
              <w:rPr>
                <w:b/>
                <w:bCs/>
                <w:sz w:val="20"/>
              </w:rPr>
            </w:pPr>
            <w:r w:rsidRPr="00866299">
              <w:rPr>
                <w:b/>
                <w:bCs/>
                <w:color w:val="000000"/>
                <w:sz w:val="20"/>
              </w:rPr>
              <w:t>December 31,</w:t>
            </w:r>
          </w:p>
          <w:p w14:paraId="59F56049" w14:textId="5B68D603" w:rsidR="00C52BA0" w:rsidRPr="006F68FD" w:rsidRDefault="00C52BA0" w:rsidP="00C52BA0">
            <w:pPr>
              <w:pBdr>
                <w:bottom w:val="single" w:sz="4" w:space="0" w:color="000000"/>
              </w:pBdr>
              <w:bidi/>
              <w:spacing w:before="40"/>
              <w:ind w:left="57"/>
              <w:jc w:val="center"/>
              <w:rPr>
                <w:b/>
                <w:bCs/>
                <w:color w:val="000000"/>
                <w:sz w:val="20"/>
              </w:rPr>
            </w:pPr>
            <w:r>
              <w:rPr>
                <w:b/>
                <w:bCs/>
                <w:color w:val="000000"/>
                <w:sz w:val="20"/>
              </w:rPr>
              <w:t>2023</w:t>
            </w:r>
          </w:p>
        </w:tc>
      </w:tr>
      <w:bookmarkEnd w:id="128"/>
      <w:tr w:rsidR="00C52BA0" w:rsidRPr="0060689B" w14:paraId="2BD89465" w14:textId="77777777" w:rsidTr="006909F2">
        <w:trPr>
          <w:trHeight w:val="283"/>
        </w:trPr>
        <w:tc>
          <w:tcPr>
            <w:tcW w:w="3108" w:type="dxa"/>
            <w:shd w:val="clear" w:color="auto" w:fill="auto"/>
            <w:noWrap/>
            <w:vAlign w:val="bottom"/>
            <w:hideMark/>
          </w:tcPr>
          <w:p w14:paraId="7BE44B43" w14:textId="77777777" w:rsidR="00C52BA0" w:rsidRPr="0060689B" w:rsidRDefault="00C52BA0" w:rsidP="00C52BA0">
            <w:pPr>
              <w:spacing w:before="40"/>
              <w:rPr>
                <w:sz w:val="22"/>
                <w:szCs w:val="22"/>
              </w:rPr>
            </w:pPr>
            <w:r w:rsidRPr="0060689B">
              <w:rPr>
                <w:color w:val="000000"/>
                <w:sz w:val="22"/>
                <w:szCs w:val="22"/>
              </w:rPr>
              <w:t>Variable rate loans</w:t>
            </w:r>
          </w:p>
        </w:tc>
        <w:tc>
          <w:tcPr>
            <w:tcW w:w="2409" w:type="dxa"/>
            <w:shd w:val="clear" w:color="auto" w:fill="auto"/>
            <w:noWrap/>
            <w:vAlign w:val="bottom"/>
            <w:hideMark/>
          </w:tcPr>
          <w:p w14:paraId="0028317F" w14:textId="175DB970" w:rsidR="00C52BA0" w:rsidRPr="007F692C" w:rsidRDefault="00C52BA0" w:rsidP="00C52BA0">
            <w:pPr>
              <w:rPr>
                <w:sz w:val="22"/>
                <w:szCs w:val="22"/>
                <w:lang w:bidi="he-IL"/>
              </w:rPr>
            </w:pPr>
            <w:r>
              <w:rPr>
                <w:sz w:val="22"/>
                <w:szCs w:val="22"/>
              </w:rPr>
              <w:t xml:space="preserve">3M </w:t>
            </w:r>
            <w:proofErr w:type="spellStart"/>
            <w:r>
              <w:rPr>
                <w:sz w:val="22"/>
                <w:szCs w:val="22"/>
              </w:rPr>
              <w:t>Wibor</w:t>
            </w:r>
            <w:proofErr w:type="spellEnd"/>
            <w:r>
              <w:rPr>
                <w:sz w:val="22"/>
                <w:szCs w:val="22"/>
              </w:rPr>
              <w:t xml:space="preserve"> + 3.2%</w:t>
            </w:r>
          </w:p>
        </w:tc>
        <w:tc>
          <w:tcPr>
            <w:tcW w:w="1701" w:type="dxa"/>
            <w:shd w:val="clear" w:color="auto" w:fill="auto"/>
            <w:noWrap/>
            <w:vAlign w:val="bottom"/>
          </w:tcPr>
          <w:p w14:paraId="20FF74D5" w14:textId="2E37BA98" w:rsidR="00C52BA0" w:rsidRPr="0020502A" w:rsidRDefault="00676994" w:rsidP="00C52BA0">
            <w:pPr>
              <w:pBdr>
                <w:bottom w:val="double" w:sz="4" w:space="1" w:color="auto"/>
              </w:pBdr>
              <w:spacing w:before="40"/>
              <w:jc w:val="right"/>
              <w:rPr>
                <w:sz w:val="22"/>
                <w:szCs w:val="18"/>
                <w:lang w:bidi="he-IL"/>
              </w:rPr>
            </w:pPr>
            <w:r w:rsidRPr="00676994">
              <w:rPr>
                <w:sz w:val="22"/>
                <w:szCs w:val="18"/>
                <w:lang w:bidi="he-IL"/>
              </w:rPr>
              <w:t>16,213</w:t>
            </w:r>
          </w:p>
        </w:tc>
        <w:tc>
          <w:tcPr>
            <w:tcW w:w="1701" w:type="dxa"/>
            <w:shd w:val="clear" w:color="auto" w:fill="auto"/>
            <w:noWrap/>
            <w:vAlign w:val="bottom"/>
          </w:tcPr>
          <w:p w14:paraId="0331E2DB" w14:textId="53C4BA45" w:rsidR="00C52BA0" w:rsidRPr="006F68FD" w:rsidRDefault="00C52BA0" w:rsidP="00C52BA0">
            <w:pPr>
              <w:pBdr>
                <w:bottom w:val="double" w:sz="4" w:space="1" w:color="auto"/>
              </w:pBdr>
              <w:spacing w:before="40"/>
              <w:jc w:val="right"/>
              <w:rPr>
                <w:sz w:val="22"/>
                <w:szCs w:val="22"/>
              </w:rPr>
            </w:pPr>
            <w:r w:rsidRPr="0020502A">
              <w:rPr>
                <w:sz w:val="22"/>
                <w:szCs w:val="18"/>
                <w:lang w:bidi="he-IL"/>
              </w:rPr>
              <w:t>11,998</w:t>
            </w:r>
          </w:p>
        </w:tc>
      </w:tr>
    </w:tbl>
    <w:p w14:paraId="537F9EFC" w14:textId="77777777" w:rsidR="002A7852" w:rsidRDefault="002A7852" w:rsidP="00C52BA0">
      <w:pPr>
        <w:bidi/>
        <w:spacing w:line="120" w:lineRule="auto"/>
        <w:jc w:val="both"/>
        <w:rPr>
          <w:b/>
          <w:bCs/>
          <w:sz w:val="22"/>
          <w:szCs w:val="22"/>
        </w:rPr>
      </w:pPr>
      <w:bookmarkStart w:id="129" w:name="H5_BThe_movement_in_investments_was_as_f"/>
    </w:p>
    <w:p w14:paraId="71395157" w14:textId="28DA230E" w:rsidR="00C35D07" w:rsidRPr="00F02921" w:rsidRDefault="00C35D07" w:rsidP="000B59AD">
      <w:pPr>
        <w:ind w:left="720"/>
        <w:jc w:val="both"/>
        <w:outlineLvl w:val="4"/>
        <w:rPr>
          <w:b/>
          <w:bCs/>
          <w:sz w:val="22"/>
          <w:szCs w:val="22"/>
        </w:rPr>
      </w:pPr>
      <w:r w:rsidRPr="00F02921">
        <w:rPr>
          <w:b/>
          <w:bCs/>
          <w:sz w:val="22"/>
          <w:szCs w:val="22"/>
        </w:rPr>
        <w:t>B.</w:t>
      </w:r>
      <w:r w:rsidRPr="00F02921">
        <w:rPr>
          <w:b/>
          <w:bCs/>
          <w:sz w:val="22"/>
          <w:szCs w:val="22"/>
        </w:rPr>
        <w:tab/>
        <w:t>The movement in investments was as follows:</w:t>
      </w:r>
    </w:p>
    <w:bookmarkEnd w:id="129"/>
    <w:p w14:paraId="3EF25949" w14:textId="77777777" w:rsidR="00C35D07" w:rsidRPr="00164266" w:rsidRDefault="00C35D07" w:rsidP="00C52BA0">
      <w:pPr>
        <w:spacing w:line="120" w:lineRule="auto"/>
        <w:jc w:val="both"/>
        <w:rPr>
          <w:rStyle w:val="Koteret"/>
          <w:sz w:val="16"/>
          <w:szCs w:val="16"/>
          <w:rtl/>
          <w:lang w:bidi="he-IL"/>
        </w:rPr>
      </w:pPr>
    </w:p>
    <w:p w14:paraId="725827E6" w14:textId="77777777" w:rsidR="00C35D07" w:rsidRPr="00F02921" w:rsidRDefault="00C35D07" w:rsidP="004A3C21">
      <w:pPr>
        <w:ind w:left="720"/>
        <w:jc w:val="both"/>
        <w:rPr>
          <w:rStyle w:val="Koteret"/>
          <w:b w:val="0"/>
          <w:bCs/>
          <w:i/>
          <w:iCs/>
        </w:rPr>
      </w:pPr>
      <w:r w:rsidRPr="00F02921">
        <w:rPr>
          <w:rStyle w:val="Koteret"/>
          <w:b w:val="0"/>
          <w:bCs/>
          <w:i/>
          <w:iCs/>
        </w:rPr>
        <w:t>In thousands of Euros</w:t>
      </w:r>
    </w:p>
    <w:tbl>
      <w:tblPr>
        <w:tblW w:w="0" w:type="auto"/>
        <w:tblInd w:w="720" w:type="dxa"/>
        <w:tblLayout w:type="fixed"/>
        <w:tblCellMar>
          <w:left w:w="0" w:type="dxa"/>
          <w:right w:w="0" w:type="dxa"/>
        </w:tblCellMar>
        <w:tblLook w:val="06A0" w:firstRow="1" w:lastRow="0" w:firstColumn="1" w:lastColumn="0" w:noHBand="1" w:noVBand="1"/>
        <w:tblCaption w:val="AHR01"/>
        <w:tblDescription w:val="The movement in investments was as follows"/>
      </w:tblPr>
      <w:tblGrid>
        <w:gridCol w:w="5838"/>
        <w:gridCol w:w="1540"/>
        <w:gridCol w:w="1540"/>
      </w:tblGrid>
      <w:tr w:rsidR="007F0858" w14:paraId="1C03D506" w14:textId="77777777" w:rsidTr="006909F2">
        <w:trPr>
          <w:trHeight w:val="20"/>
          <w:tblHeader/>
        </w:trPr>
        <w:tc>
          <w:tcPr>
            <w:tcW w:w="5838" w:type="dxa"/>
            <w:shd w:val="clear" w:color="auto" w:fill="auto"/>
            <w:noWrap/>
            <w:vAlign w:val="bottom"/>
            <w:hideMark/>
          </w:tcPr>
          <w:p w14:paraId="3AFF8F5A" w14:textId="77777777" w:rsidR="007F0858" w:rsidRPr="00866299" w:rsidRDefault="007F0858">
            <w:pPr>
              <w:spacing w:before="40"/>
              <w:rPr>
                <w:rFonts w:ascii="Arial" w:eastAsia="Arial" w:hAnsi="Arial" w:cs="Arial"/>
                <w:sz w:val="20"/>
              </w:rPr>
            </w:pPr>
            <w:bookmarkStart w:id="130" w:name="Title_19" w:colFirst="0" w:colLast="0"/>
          </w:p>
        </w:tc>
        <w:tc>
          <w:tcPr>
            <w:tcW w:w="1540" w:type="dxa"/>
            <w:shd w:val="clear" w:color="auto" w:fill="auto"/>
            <w:vAlign w:val="bottom"/>
            <w:hideMark/>
          </w:tcPr>
          <w:p w14:paraId="65ECDB0D" w14:textId="77777777" w:rsidR="007F0858" w:rsidRPr="00866299" w:rsidRDefault="007F0858" w:rsidP="00255533">
            <w:pPr>
              <w:spacing w:before="40"/>
              <w:jc w:val="center"/>
              <w:rPr>
                <w:b/>
                <w:bCs/>
                <w:sz w:val="20"/>
              </w:rPr>
            </w:pPr>
            <w:r w:rsidRPr="00866299">
              <w:rPr>
                <w:b/>
                <w:bCs/>
                <w:color w:val="000000"/>
                <w:sz w:val="20"/>
              </w:rPr>
              <w:t>December 31,</w:t>
            </w:r>
          </w:p>
          <w:p w14:paraId="792B3FA4" w14:textId="2D9AE369" w:rsidR="007F0858" w:rsidRPr="00866299" w:rsidRDefault="00AD1E41" w:rsidP="00255533">
            <w:pPr>
              <w:pBdr>
                <w:bottom w:val="single" w:sz="4" w:space="0" w:color="000000"/>
              </w:pBdr>
              <w:spacing w:before="40"/>
              <w:ind w:left="57"/>
              <w:jc w:val="center"/>
              <w:rPr>
                <w:b/>
                <w:bCs/>
                <w:sz w:val="20"/>
              </w:rPr>
            </w:pPr>
            <w:r>
              <w:rPr>
                <w:b/>
                <w:bCs/>
                <w:color w:val="000000"/>
                <w:sz w:val="20"/>
              </w:rPr>
              <w:t>202</w:t>
            </w:r>
            <w:r w:rsidR="00C52BA0">
              <w:rPr>
                <w:b/>
                <w:bCs/>
                <w:color w:val="000000"/>
                <w:sz w:val="20"/>
              </w:rPr>
              <w:t>4</w:t>
            </w:r>
          </w:p>
        </w:tc>
        <w:tc>
          <w:tcPr>
            <w:tcW w:w="1540" w:type="dxa"/>
            <w:shd w:val="clear" w:color="auto" w:fill="auto"/>
            <w:vAlign w:val="bottom"/>
            <w:hideMark/>
          </w:tcPr>
          <w:p w14:paraId="2F16EEA9" w14:textId="77777777" w:rsidR="007F0858" w:rsidRPr="00866299" w:rsidRDefault="007F0858" w:rsidP="00255533">
            <w:pPr>
              <w:spacing w:before="40"/>
              <w:jc w:val="center"/>
              <w:rPr>
                <w:b/>
                <w:bCs/>
                <w:sz w:val="20"/>
              </w:rPr>
            </w:pPr>
            <w:r w:rsidRPr="00866299">
              <w:rPr>
                <w:b/>
                <w:bCs/>
                <w:color w:val="000000"/>
                <w:sz w:val="20"/>
              </w:rPr>
              <w:t>December 31,</w:t>
            </w:r>
          </w:p>
          <w:p w14:paraId="0B356F84" w14:textId="356AADCD" w:rsidR="007F0858" w:rsidRPr="00866299" w:rsidRDefault="00AD1E41" w:rsidP="00255533">
            <w:pPr>
              <w:pBdr>
                <w:bottom w:val="single" w:sz="4" w:space="0" w:color="000000"/>
              </w:pBdr>
              <w:spacing w:before="40"/>
              <w:ind w:left="57"/>
              <w:jc w:val="center"/>
              <w:rPr>
                <w:b/>
                <w:bCs/>
                <w:sz w:val="20"/>
              </w:rPr>
            </w:pPr>
            <w:r>
              <w:rPr>
                <w:b/>
                <w:bCs/>
                <w:color w:val="000000"/>
                <w:sz w:val="20"/>
              </w:rPr>
              <w:t>202</w:t>
            </w:r>
            <w:r w:rsidR="00C52BA0">
              <w:rPr>
                <w:b/>
                <w:bCs/>
                <w:sz w:val="20"/>
              </w:rPr>
              <w:t>3</w:t>
            </w:r>
          </w:p>
        </w:tc>
      </w:tr>
      <w:bookmarkEnd w:id="130"/>
      <w:tr w:rsidR="00177832" w14:paraId="38C965D0" w14:textId="77777777" w:rsidTr="006909F2">
        <w:trPr>
          <w:trHeight w:val="20"/>
        </w:trPr>
        <w:tc>
          <w:tcPr>
            <w:tcW w:w="5838" w:type="dxa"/>
            <w:shd w:val="clear" w:color="auto" w:fill="auto"/>
            <w:noWrap/>
            <w:vAlign w:val="bottom"/>
            <w:hideMark/>
          </w:tcPr>
          <w:p w14:paraId="3865D89C" w14:textId="77777777" w:rsidR="00177832" w:rsidRPr="0060689B" w:rsidRDefault="00177832" w:rsidP="00177832">
            <w:pPr>
              <w:spacing w:before="40"/>
              <w:rPr>
                <w:sz w:val="22"/>
                <w:szCs w:val="22"/>
              </w:rPr>
            </w:pPr>
            <w:r w:rsidRPr="0060689B">
              <w:rPr>
                <w:color w:val="000000"/>
                <w:sz w:val="22"/>
                <w:szCs w:val="22"/>
              </w:rPr>
              <w:t>Balance as at beginning of the year</w:t>
            </w:r>
          </w:p>
        </w:tc>
        <w:tc>
          <w:tcPr>
            <w:tcW w:w="1540" w:type="dxa"/>
            <w:shd w:val="clear" w:color="auto" w:fill="auto"/>
            <w:noWrap/>
            <w:vAlign w:val="bottom"/>
          </w:tcPr>
          <w:p w14:paraId="36339E95" w14:textId="55730A66" w:rsidR="00177832" w:rsidRPr="002465DD" w:rsidRDefault="00676994" w:rsidP="002465DD">
            <w:pPr>
              <w:tabs>
                <w:tab w:val="decimal" w:pos="1242"/>
              </w:tabs>
              <w:spacing w:before="40"/>
              <w:jc w:val="right"/>
              <w:rPr>
                <w:sz w:val="22"/>
                <w:szCs w:val="22"/>
                <w:lang w:bidi="he-IL"/>
              </w:rPr>
            </w:pPr>
            <w:r w:rsidRPr="002465DD">
              <w:rPr>
                <w:sz w:val="22"/>
                <w:szCs w:val="22"/>
                <w:lang w:bidi="he-IL"/>
              </w:rPr>
              <w:t>122,779</w:t>
            </w:r>
          </w:p>
        </w:tc>
        <w:tc>
          <w:tcPr>
            <w:tcW w:w="1540" w:type="dxa"/>
            <w:shd w:val="clear" w:color="auto" w:fill="auto"/>
            <w:noWrap/>
            <w:vAlign w:val="bottom"/>
          </w:tcPr>
          <w:p w14:paraId="75577FA9" w14:textId="7F39186A" w:rsidR="00177832" w:rsidRPr="002465DD" w:rsidRDefault="002465DD" w:rsidP="002465DD">
            <w:pPr>
              <w:tabs>
                <w:tab w:val="decimal" w:pos="1242"/>
              </w:tabs>
              <w:spacing w:before="40"/>
              <w:jc w:val="right"/>
              <w:rPr>
                <w:sz w:val="22"/>
                <w:szCs w:val="22"/>
              </w:rPr>
            </w:pPr>
            <w:r w:rsidRPr="002465DD">
              <w:rPr>
                <w:sz w:val="22"/>
                <w:szCs w:val="22"/>
                <w:lang w:bidi="he-IL"/>
              </w:rPr>
              <w:t>109,880</w:t>
            </w:r>
          </w:p>
        </w:tc>
      </w:tr>
      <w:tr w:rsidR="00177832" w14:paraId="39B58E28" w14:textId="77777777" w:rsidTr="006909F2">
        <w:trPr>
          <w:trHeight w:val="20"/>
        </w:trPr>
        <w:tc>
          <w:tcPr>
            <w:tcW w:w="5838" w:type="dxa"/>
            <w:shd w:val="clear" w:color="auto" w:fill="auto"/>
            <w:noWrap/>
            <w:vAlign w:val="bottom"/>
            <w:hideMark/>
          </w:tcPr>
          <w:p w14:paraId="2153BA4D" w14:textId="77777777" w:rsidR="00177832" w:rsidRPr="0075219F" w:rsidRDefault="00177832" w:rsidP="00177832">
            <w:pPr>
              <w:spacing w:before="40"/>
              <w:rPr>
                <w:sz w:val="22"/>
                <w:szCs w:val="22"/>
                <w:u w:val="single"/>
              </w:rPr>
            </w:pPr>
            <w:r w:rsidRPr="0075219F">
              <w:rPr>
                <w:color w:val="000000"/>
                <w:sz w:val="22"/>
                <w:szCs w:val="22"/>
                <w:u w:val="single"/>
              </w:rPr>
              <w:t>Movement during the year:</w:t>
            </w:r>
          </w:p>
        </w:tc>
        <w:tc>
          <w:tcPr>
            <w:tcW w:w="1540" w:type="dxa"/>
            <w:shd w:val="clear" w:color="auto" w:fill="auto"/>
            <w:noWrap/>
            <w:vAlign w:val="bottom"/>
          </w:tcPr>
          <w:p w14:paraId="241ED85E" w14:textId="77777777" w:rsidR="00177832" w:rsidRPr="002465DD" w:rsidRDefault="00177832" w:rsidP="002465DD">
            <w:pPr>
              <w:tabs>
                <w:tab w:val="decimal" w:pos="1242"/>
              </w:tabs>
              <w:spacing w:before="40"/>
              <w:jc w:val="right"/>
              <w:rPr>
                <w:rFonts w:ascii="Arial" w:eastAsia="Arial" w:hAnsi="Arial" w:cs="Arial"/>
                <w:sz w:val="22"/>
                <w:szCs w:val="22"/>
              </w:rPr>
            </w:pPr>
          </w:p>
        </w:tc>
        <w:tc>
          <w:tcPr>
            <w:tcW w:w="1540" w:type="dxa"/>
            <w:shd w:val="clear" w:color="auto" w:fill="auto"/>
            <w:noWrap/>
            <w:vAlign w:val="bottom"/>
          </w:tcPr>
          <w:p w14:paraId="4E5F510F" w14:textId="77777777" w:rsidR="00177832" w:rsidRPr="002465DD" w:rsidRDefault="00177832" w:rsidP="002465DD">
            <w:pPr>
              <w:tabs>
                <w:tab w:val="decimal" w:pos="1242"/>
              </w:tabs>
              <w:spacing w:before="40"/>
              <w:jc w:val="right"/>
              <w:rPr>
                <w:rFonts w:ascii="Arial" w:eastAsia="Arial" w:hAnsi="Arial" w:cs="Arial"/>
                <w:sz w:val="22"/>
                <w:szCs w:val="22"/>
              </w:rPr>
            </w:pPr>
          </w:p>
        </w:tc>
      </w:tr>
      <w:tr w:rsidR="002465DD" w14:paraId="5CC70CDB" w14:textId="77777777" w:rsidTr="006909F2">
        <w:trPr>
          <w:trHeight w:val="20"/>
        </w:trPr>
        <w:tc>
          <w:tcPr>
            <w:tcW w:w="5838" w:type="dxa"/>
            <w:shd w:val="clear" w:color="auto" w:fill="auto"/>
            <w:noWrap/>
            <w:vAlign w:val="bottom"/>
            <w:hideMark/>
          </w:tcPr>
          <w:p w14:paraId="051B68FB" w14:textId="25A7D1E3" w:rsidR="002465DD" w:rsidRPr="0060689B" w:rsidRDefault="002465DD" w:rsidP="002465DD">
            <w:pPr>
              <w:spacing w:before="40"/>
              <w:rPr>
                <w:sz w:val="22"/>
                <w:szCs w:val="22"/>
              </w:rPr>
            </w:pPr>
            <w:r w:rsidRPr="007F341A">
              <w:rPr>
                <w:color w:val="000000"/>
                <w:sz w:val="22"/>
                <w:szCs w:val="22"/>
              </w:rPr>
              <w:t>Investment in loans, net</w:t>
            </w:r>
          </w:p>
        </w:tc>
        <w:tc>
          <w:tcPr>
            <w:tcW w:w="1540" w:type="dxa"/>
            <w:shd w:val="clear" w:color="auto" w:fill="auto"/>
            <w:noWrap/>
            <w:vAlign w:val="bottom"/>
          </w:tcPr>
          <w:p w14:paraId="07970D80" w14:textId="7801D0D2" w:rsidR="002465DD" w:rsidRPr="002465DD" w:rsidRDefault="002465DD" w:rsidP="002465DD">
            <w:pPr>
              <w:tabs>
                <w:tab w:val="decimal" w:pos="1242"/>
              </w:tabs>
              <w:spacing w:before="40"/>
              <w:jc w:val="right"/>
              <w:rPr>
                <w:sz w:val="22"/>
                <w:szCs w:val="22"/>
              </w:rPr>
            </w:pPr>
            <w:r w:rsidRPr="002465DD">
              <w:rPr>
                <w:sz w:val="22"/>
                <w:szCs w:val="22"/>
              </w:rPr>
              <w:t>2,680</w:t>
            </w:r>
          </w:p>
        </w:tc>
        <w:tc>
          <w:tcPr>
            <w:tcW w:w="1540" w:type="dxa"/>
            <w:shd w:val="clear" w:color="auto" w:fill="auto"/>
            <w:noWrap/>
            <w:vAlign w:val="bottom"/>
          </w:tcPr>
          <w:p w14:paraId="48ED9056" w14:textId="51113E2E" w:rsidR="002465DD" w:rsidRPr="002465DD" w:rsidRDefault="002465DD" w:rsidP="002465DD">
            <w:pPr>
              <w:tabs>
                <w:tab w:val="decimal" w:pos="1242"/>
              </w:tabs>
              <w:spacing w:before="40"/>
              <w:jc w:val="right"/>
              <w:rPr>
                <w:sz w:val="22"/>
                <w:szCs w:val="22"/>
              </w:rPr>
            </w:pPr>
            <w:r w:rsidRPr="002465DD">
              <w:rPr>
                <w:sz w:val="22"/>
                <w:szCs w:val="22"/>
              </w:rPr>
              <w:t>3,407</w:t>
            </w:r>
          </w:p>
        </w:tc>
      </w:tr>
      <w:tr w:rsidR="002465DD" w14:paraId="0656E9BD" w14:textId="77777777" w:rsidTr="006909F2">
        <w:trPr>
          <w:trHeight w:val="20"/>
        </w:trPr>
        <w:tc>
          <w:tcPr>
            <w:tcW w:w="5838" w:type="dxa"/>
            <w:shd w:val="clear" w:color="auto" w:fill="auto"/>
            <w:noWrap/>
            <w:vAlign w:val="bottom"/>
            <w:hideMark/>
          </w:tcPr>
          <w:p w14:paraId="5B4510B0" w14:textId="0BE0BCF7" w:rsidR="002465DD" w:rsidRPr="0060689B" w:rsidRDefault="002465DD" w:rsidP="002465DD">
            <w:pPr>
              <w:spacing w:before="40"/>
              <w:rPr>
                <w:sz w:val="22"/>
                <w:szCs w:val="22"/>
              </w:rPr>
            </w:pPr>
            <w:r w:rsidRPr="00E163D7">
              <w:rPr>
                <w:color w:val="000000"/>
                <w:sz w:val="22"/>
                <w:szCs w:val="22"/>
              </w:rPr>
              <w:t xml:space="preserve">Share in </w:t>
            </w:r>
            <w:r>
              <w:rPr>
                <w:color w:val="000000"/>
                <w:sz w:val="22"/>
                <w:szCs w:val="22"/>
              </w:rPr>
              <w:t>profit (losses)</w:t>
            </w:r>
            <w:r w:rsidRPr="00E163D7">
              <w:rPr>
                <w:color w:val="000000"/>
                <w:sz w:val="22"/>
                <w:szCs w:val="22"/>
              </w:rPr>
              <w:t>, net</w:t>
            </w:r>
          </w:p>
        </w:tc>
        <w:tc>
          <w:tcPr>
            <w:tcW w:w="1540" w:type="dxa"/>
            <w:shd w:val="clear" w:color="auto" w:fill="auto"/>
            <w:noWrap/>
            <w:vAlign w:val="bottom"/>
          </w:tcPr>
          <w:p w14:paraId="039E15B2" w14:textId="0298297C" w:rsidR="002465DD" w:rsidRPr="002465DD" w:rsidRDefault="002465DD" w:rsidP="002465DD">
            <w:pPr>
              <w:tabs>
                <w:tab w:val="decimal" w:pos="1242"/>
              </w:tabs>
              <w:spacing w:before="40"/>
              <w:jc w:val="right"/>
              <w:rPr>
                <w:sz w:val="22"/>
                <w:szCs w:val="22"/>
              </w:rPr>
            </w:pPr>
            <w:r w:rsidRPr="002465DD">
              <w:rPr>
                <w:sz w:val="22"/>
                <w:szCs w:val="22"/>
              </w:rPr>
              <w:t>23,938</w:t>
            </w:r>
          </w:p>
        </w:tc>
        <w:tc>
          <w:tcPr>
            <w:tcW w:w="1540" w:type="dxa"/>
            <w:shd w:val="clear" w:color="auto" w:fill="auto"/>
            <w:noWrap/>
            <w:vAlign w:val="bottom"/>
          </w:tcPr>
          <w:p w14:paraId="62B2F466" w14:textId="227C32C5" w:rsidR="002465DD" w:rsidRPr="002465DD" w:rsidRDefault="002465DD" w:rsidP="002465DD">
            <w:pPr>
              <w:tabs>
                <w:tab w:val="decimal" w:pos="1242"/>
              </w:tabs>
              <w:spacing w:before="40"/>
              <w:jc w:val="right"/>
              <w:rPr>
                <w:sz w:val="22"/>
                <w:szCs w:val="22"/>
              </w:rPr>
            </w:pPr>
            <w:r w:rsidRPr="002465DD">
              <w:rPr>
                <w:sz w:val="22"/>
                <w:szCs w:val="22"/>
              </w:rPr>
              <w:t>(20)</w:t>
            </w:r>
          </w:p>
        </w:tc>
      </w:tr>
      <w:tr w:rsidR="002465DD" w14:paraId="11E727D7" w14:textId="77777777" w:rsidTr="006909F2">
        <w:trPr>
          <w:trHeight w:val="20"/>
        </w:trPr>
        <w:tc>
          <w:tcPr>
            <w:tcW w:w="5838" w:type="dxa"/>
            <w:shd w:val="clear" w:color="auto" w:fill="auto"/>
            <w:noWrap/>
            <w:vAlign w:val="bottom"/>
          </w:tcPr>
          <w:p w14:paraId="62774DF7" w14:textId="5B060DD7" w:rsidR="002465DD" w:rsidRPr="00E163D7" w:rsidRDefault="002465DD" w:rsidP="002465DD">
            <w:pPr>
              <w:spacing w:before="40"/>
              <w:rPr>
                <w:color w:val="000000"/>
                <w:sz w:val="22"/>
                <w:szCs w:val="22"/>
              </w:rPr>
            </w:pPr>
            <w:r w:rsidRPr="00D8382F">
              <w:rPr>
                <w:color w:val="000000"/>
                <w:sz w:val="22"/>
                <w:szCs w:val="22"/>
              </w:rPr>
              <w:t>Adjustment for translation</w:t>
            </w:r>
          </w:p>
        </w:tc>
        <w:tc>
          <w:tcPr>
            <w:tcW w:w="1540" w:type="dxa"/>
            <w:shd w:val="clear" w:color="auto" w:fill="auto"/>
            <w:noWrap/>
            <w:vAlign w:val="bottom"/>
          </w:tcPr>
          <w:p w14:paraId="15F6F73E" w14:textId="532B446F" w:rsidR="002465DD" w:rsidRPr="002465DD" w:rsidRDefault="002465DD" w:rsidP="002465DD">
            <w:pPr>
              <w:tabs>
                <w:tab w:val="decimal" w:pos="1242"/>
              </w:tabs>
              <w:spacing w:before="40"/>
              <w:jc w:val="right"/>
              <w:rPr>
                <w:sz w:val="22"/>
                <w:szCs w:val="22"/>
              </w:rPr>
            </w:pPr>
            <w:r w:rsidRPr="002465DD">
              <w:rPr>
                <w:sz w:val="22"/>
                <w:szCs w:val="22"/>
              </w:rPr>
              <w:t>1,127</w:t>
            </w:r>
          </w:p>
        </w:tc>
        <w:tc>
          <w:tcPr>
            <w:tcW w:w="1540" w:type="dxa"/>
            <w:shd w:val="clear" w:color="auto" w:fill="auto"/>
            <w:noWrap/>
            <w:vAlign w:val="bottom"/>
          </w:tcPr>
          <w:p w14:paraId="3E77B853" w14:textId="5032435C" w:rsidR="002465DD" w:rsidRPr="002465DD" w:rsidRDefault="002465DD" w:rsidP="002465DD">
            <w:pPr>
              <w:tabs>
                <w:tab w:val="decimal" w:pos="1242"/>
              </w:tabs>
              <w:spacing w:before="40"/>
              <w:jc w:val="right"/>
              <w:rPr>
                <w:sz w:val="22"/>
                <w:szCs w:val="22"/>
              </w:rPr>
            </w:pPr>
            <w:r w:rsidRPr="002465DD">
              <w:rPr>
                <w:sz w:val="22"/>
                <w:szCs w:val="22"/>
              </w:rPr>
              <w:t>8,075</w:t>
            </w:r>
          </w:p>
        </w:tc>
      </w:tr>
      <w:tr w:rsidR="002465DD" w:rsidRPr="00421E24" w14:paraId="3F02B18A" w14:textId="77777777" w:rsidTr="006909F2">
        <w:trPr>
          <w:trHeight w:val="20"/>
        </w:trPr>
        <w:tc>
          <w:tcPr>
            <w:tcW w:w="5838" w:type="dxa"/>
            <w:shd w:val="clear" w:color="auto" w:fill="auto"/>
            <w:noWrap/>
            <w:vAlign w:val="bottom"/>
          </w:tcPr>
          <w:p w14:paraId="0D499D03" w14:textId="2BC41C09" w:rsidR="002465DD" w:rsidRPr="00421E24" w:rsidRDefault="002465DD" w:rsidP="002465DD">
            <w:pPr>
              <w:spacing w:before="40"/>
              <w:rPr>
                <w:color w:val="000000"/>
                <w:sz w:val="22"/>
                <w:szCs w:val="22"/>
              </w:rPr>
            </w:pPr>
            <w:r w:rsidRPr="00421E24">
              <w:rPr>
                <w:color w:val="000000"/>
                <w:sz w:val="22"/>
                <w:szCs w:val="22"/>
              </w:rPr>
              <w:t>Accrued interest of loans</w:t>
            </w:r>
          </w:p>
        </w:tc>
        <w:tc>
          <w:tcPr>
            <w:tcW w:w="1540" w:type="dxa"/>
            <w:shd w:val="clear" w:color="auto" w:fill="auto"/>
            <w:noWrap/>
            <w:vAlign w:val="bottom"/>
          </w:tcPr>
          <w:p w14:paraId="5C1935DC" w14:textId="781D2B6C" w:rsidR="002465DD" w:rsidRPr="00421E24" w:rsidRDefault="002465DD" w:rsidP="002465DD">
            <w:pPr>
              <w:tabs>
                <w:tab w:val="decimal" w:pos="1242"/>
              </w:tabs>
              <w:spacing w:before="40"/>
              <w:jc w:val="right"/>
              <w:rPr>
                <w:sz w:val="22"/>
                <w:szCs w:val="22"/>
              </w:rPr>
            </w:pPr>
            <w:r w:rsidRPr="00421E24">
              <w:rPr>
                <w:sz w:val="22"/>
                <w:szCs w:val="22"/>
              </w:rPr>
              <w:t>1,535</w:t>
            </w:r>
          </w:p>
        </w:tc>
        <w:tc>
          <w:tcPr>
            <w:tcW w:w="1540" w:type="dxa"/>
            <w:shd w:val="clear" w:color="auto" w:fill="auto"/>
            <w:noWrap/>
            <w:vAlign w:val="bottom"/>
          </w:tcPr>
          <w:p w14:paraId="4E34147C" w14:textId="356BBB0A" w:rsidR="002465DD" w:rsidRPr="00421E24" w:rsidRDefault="002465DD" w:rsidP="002465DD">
            <w:pPr>
              <w:tabs>
                <w:tab w:val="decimal" w:pos="1242"/>
              </w:tabs>
              <w:spacing w:before="40"/>
              <w:jc w:val="right"/>
              <w:rPr>
                <w:sz w:val="22"/>
                <w:szCs w:val="22"/>
              </w:rPr>
            </w:pPr>
            <w:r w:rsidRPr="00421E24">
              <w:rPr>
                <w:sz w:val="22"/>
                <w:szCs w:val="22"/>
              </w:rPr>
              <w:t>1,437</w:t>
            </w:r>
          </w:p>
        </w:tc>
      </w:tr>
      <w:tr w:rsidR="002465DD" w:rsidRPr="00421E24" w14:paraId="738C344B" w14:textId="77777777" w:rsidTr="006909F2">
        <w:trPr>
          <w:trHeight w:val="20"/>
        </w:trPr>
        <w:tc>
          <w:tcPr>
            <w:tcW w:w="5838" w:type="dxa"/>
            <w:shd w:val="clear" w:color="auto" w:fill="auto"/>
            <w:noWrap/>
            <w:vAlign w:val="bottom"/>
          </w:tcPr>
          <w:p w14:paraId="07841C36" w14:textId="2A395FE7" w:rsidR="002465DD" w:rsidRPr="00421E24" w:rsidRDefault="00502C08" w:rsidP="002465DD">
            <w:pPr>
              <w:spacing w:before="40"/>
              <w:rPr>
                <w:color w:val="000000"/>
                <w:sz w:val="22"/>
                <w:szCs w:val="22"/>
              </w:rPr>
            </w:pPr>
            <w:r w:rsidRPr="00421E24">
              <w:rPr>
                <w:color w:val="000000"/>
                <w:sz w:val="22"/>
                <w:szCs w:val="22"/>
              </w:rPr>
              <w:t xml:space="preserve">Adjustment in the purchase price </w:t>
            </w:r>
            <w:r w:rsidR="002465DD" w:rsidRPr="00421E24">
              <w:rPr>
                <w:color w:val="000000"/>
                <w:sz w:val="22"/>
                <w:szCs w:val="22"/>
              </w:rPr>
              <w:t>of associate</w:t>
            </w:r>
          </w:p>
        </w:tc>
        <w:tc>
          <w:tcPr>
            <w:tcW w:w="1540" w:type="dxa"/>
            <w:shd w:val="clear" w:color="auto" w:fill="auto"/>
            <w:noWrap/>
            <w:vAlign w:val="bottom"/>
          </w:tcPr>
          <w:p w14:paraId="723AE867" w14:textId="3397FB41" w:rsidR="002465DD" w:rsidRPr="00421E24" w:rsidRDefault="002465DD" w:rsidP="002465DD">
            <w:pPr>
              <w:pBdr>
                <w:bottom w:val="single" w:sz="4" w:space="1" w:color="auto"/>
              </w:pBdr>
              <w:tabs>
                <w:tab w:val="decimal" w:pos="1242"/>
              </w:tabs>
              <w:spacing w:before="40"/>
              <w:jc w:val="right"/>
              <w:rPr>
                <w:sz w:val="22"/>
                <w:szCs w:val="22"/>
                <w:lang w:bidi="he-IL"/>
              </w:rPr>
            </w:pPr>
            <w:r w:rsidRPr="00421E24">
              <w:rPr>
                <w:sz w:val="22"/>
                <w:szCs w:val="22"/>
              </w:rPr>
              <w:t>(9,874)</w:t>
            </w:r>
            <w:r w:rsidR="00502C08" w:rsidRPr="00421E24">
              <w:rPr>
                <w:sz w:val="22"/>
                <w:szCs w:val="22"/>
              </w:rPr>
              <w:t xml:space="preserve"> </w:t>
            </w:r>
            <w:r w:rsidRPr="00421E24">
              <w:rPr>
                <w:sz w:val="22"/>
                <w:szCs w:val="22"/>
              </w:rPr>
              <w:t>(*)</w:t>
            </w:r>
          </w:p>
        </w:tc>
        <w:tc>
          <w:tcPr>
            <w:tcW w:w="1540" w:type="dxa"/>
            <w:shd w:val="clear" w:color="auto" w:fill="auto"/>
            <w:noWrap/>
            <w:vAlign w:val="bottom"/>
          </w:tcPr>
          <w:p w14:paraId="58F2BEBD" w14:textId="6482D563" w:rsidR="002465DD" w:rsidRPr="00421E24" w:rsidRDefault="002465DD" w:rsidP="002465DD">
            <w:pPr>
              <w:pBdr>
                <w:bottom w:val="single" w:sz="4" w:space="1" w:color="auto"/>
              </w:pBdr>
              <w:tabs>
                <w:tab w:val="decimal" w:pos="1242"/>
              </w:tabs>
              <w:spacing w:before="40"/>
              <w:jc w:val="right"/>
              <w:rPr>
                <w:sz w:val="22"/>
                <w:szCs w:val="22"/>
              </w:rPr>
            </w:pPr>
            <w:r w:rsidRPr="00421E24">
              <w:rPr>
                <w:sz w:val="22"/>
                <w:szCs w:val="22"/>
              </w:rPr>
              <w:t>-</w:t>
            </w:r>
          </w:p>
        </w:tc>
      </w:tr>
      <w:tr w:rsidR="00C863F0" w:rsidRPr="00421E24" w14:paraId="11C4FFDE" w14:textId="77777777" w:rsidTr="006909F2">
        <w:trPr>
          <w:trHeight w:val="20"/>
        </w:trPr>
        <w:tc>
          <w:tcPr>
            <w:tcW w:w="5838" w:type="dxa"/>
            <w:shd w:val="clear" w:color="auto" w:fill="auto"/>
            <w:noWrap/>
            <w:vAlign w:val="bottom"/>
          </w:tcPr>
          <w:p w14:paraId="2DFE5B57" w14:textId="77777777" w:rsidR="00C863F0" w:rsidRPr="00421E24" w:rsidRDefault="00C863F0" w:rsidP="00177832">
            <w:pPr>
              <w:spacing w:before="40"/>
              <w:rPr>
                <w:sz w:val="22"/>
                <w:szCs w:val="22"/>
              </w:rPr>
            </w:pPr>
          </w:p>
        </w:tc>
        <w:tc>
          <w:tcPr>
            <w:tcW w:w="1540" w:type="dxa"/>
            <w:shd w:val="clear" w:color="auto" w:fill="auto"/>
            <w:noWrap/>
            <w:vAlign w:val="bottom"/>
          </w:tcPr>
          <w:p w14:paraId="1202D347" w14:textId="77777777" w:rsidR="00C863F0" w:rsidRPr="00421E24" w:rsidRDefault="00C863F0" w:rsidP="002465DD">
            <w:pPr>
              <w:pBdr>
                <w:bottom w:val="double" w:sz="4" w:space="0" w:color="000000"/>
              </w:pBdr>
              <w:tabs>
                <w:tab w:val="decimal" w:pos="1242"/>
              </w:tabs>
              <w:spacing w:before="40"/>
              <w:jc w:val="right"/>
              <w:rPr>
                <w:sz w:val="22"/>
                <w:szCs w:val="22"/>
                <w:lang w:bidi="he-IL"/>
              </w:rPr>
            </w:pPr>
          </w:p>
        </w:tc>
        <w:tc>
          <w:tcPr>
            <w:tcW w:w="1540" w:type="dxa"/>
            <w:shd w:val="clear" w:color="auto" w:fill="auto"/>
            <w:noWrap/>
            <w:vAlign w:val="bottom"/>
          </w:tcPr>
          <w:p w14:paraId="117006E3" w14:textId="77777777" w:rsidR="00C863F0" w:rsidRPr="00421E24" w:rsidRDefault="00C863F0" w:rsidP="00F70D5B">
            <w:pPr>
              <w:pBdr>
                <w:bottom w:val="double" w:sz="4" w:space="0" w:color="000000"/>
              </w:pBdr>
              <w:tabs>
                <w:tab w:val="decimal" w:pos="1242"/>
              </w:tabs>
              <w:spacing w:before="40"/>
              <w:jc w:val="right"/>
              <w:rPr>
                <w:sz w:val="22"/>
                <w:szCs w:val="22"/>
              </w:rPr>
            </w:pPr>
          </w:p>
        </w:tc>
      </w:tr>
      <w:tr w:rsidR="00177832" w:rsidRPr="00421E24" w14:paraId="22BAAF51" w14:textId="77777777" w:rsidTr="006909F2">
        <w:trPr>
          <w:trHeight w:val="20"/>
        </w:trPr>
        <w:tc>
          <w:tcPr>
            <w:tcW w:w="5838" w:type="dxa"/>
            <w:shd w:val="clear" w:color="auto" w:fill="auto"/>
            <w:noWrap/>
            <w:vAlign w:val="bottom"/>
            <w:hideMark/>
          </w:tcPr>
          <w:p w14:paraId="2AF6178E" w14:textId="77777777" w:rsidR="00177832" w:rsidRPr="00421E24" w:rsidRDefault="00177832" w:rsidP="00177832">
            <w:pPr>
              <w:spacing w:before="40"/>
              <w:rPr>
                <w:sz w:val="22"/>
                <w:szCs w:val="22"/>
              </w:rPr>
            </w:pPr>
          </w:p>
        </w:tc>
        <w:tc>
          <w:tcPr>
            <w:tcW w:w="1540" w:type="dxa"/>
            <w:shd w:val="clear" w:color="auto" w:fill="auto"/>
            <w:noWrap/>
            <w:vAlign w:val="bottom"/>
          </w:tcPr>
          <w:p w14:paraId="3DF27B27" w14:textId="054A9C2D" w:rsidR="00177832" w:rsidRPr="00421E24" w:rsidRDefault="002465DD" w:rsidP="002465DD">
            <w:pPr>
              <w:pBdr>
                <w:bottom w:val="double" w:sz="4" w:space="0" w:color="000000"/>
              </w:pBdr>
              <w:tabs>
                <w:tab w:val="decimal" w:pos="1242"/>
              </w:tabs>
              <w:spacing w:before="40"/>
              <w:jc w:val="right"/>
              <w:rPr>
                <w:sz w:val="22"/>
                <w:szCs w:val="22"/>
                <w:lang w:bidi="he-IL"/>
              </w:rPr>
            </w:pPr>
            <w:r w:rsidRPr="00421E24">
              <w:rPr>
                <w:sz w:val="22"/>
                <w:szCs w:val="22"/>
                <w:lang w:bidi="he-IL"/>
              </w:rPr>
              <w:t>142,185</w:t>
            </w:r>
          </w:p>
        </w:tc>
        <w:tc>
          <w:tcPr>
            <w:tcW w:w="1540" w:type="dxa"/>
            <w:shd w:val="clear" w:color="auto" w:fill="auto"/>
            <w:noWrap/>
            <w:vAlign w:val="bottom"/>
          </w:tcPr>
          <w:p w14:paraId="1A6B5578" w14:textId="737B64BE" w:rsidR="00177832" w:rsidRPr="00421E24" w:rsidRDefault="002465DD" w:rsidP="00F70D5B">
            <w:pPr>
              <w:pBdr>
                <w:bottom w:val="double" w:sz="4" w:space="0" w:color="000000"/>
              </w:pBdr>
              <w:tabs>
                <w:tab w:val="decimal" w:pos="1242"/>
              </w:tabs>
              <w:spacing w:before="40"/>
              <w:jc w:val="right"/>
              <w:rPr>
                <w:sz w:val="22"/>
                <w:szCs w:val="22"/>
              </w:rPr>
            </w:pPr>
            <w:r w:rsidRPr="00421E24">
              <w:rPr>
                <w:sz w:val="22"/>
                <w:szCs w:val="22"/>
              </w:rPr>
              <w:t>122,779</w:t>
            </w:r>
          </w:p>
        </w:tc>
      </w:tr>
    </w:tbl>
    <w:p w14:paraId="63B15897" w14:textId="0AECAF9B" w:rsidR="003E3428" w:rsidRDefault="003E3428" w:rsidP="0000197C">
      <w:pPr>
        <w:ind w:left="720"/>
        <w:rPr>
          <w:color w:val="000000"/>
          <w:sz w:val="20"/>
        </w:rPr>
      </w:pPr>
      <w:bookmarkStart w:id="131" w:name="H3_Note_5__Investment_Property"/>
      <w:r w:rsidRPr="00421E24">
        <w:rPr>
          <w:color w:val="000000"/>
          <w:sz w:val="20"/>
        </w:rPr>
        <w:t>(*)</w:t>
      </w:r>
      <w:r w:rsidR="00EB5E70">
        <w:rPr>
          <w:color w:val="000000"/>
          <w:sz w:val="20"/>
        </w:rPr>
        <w:t xml:space="preserve"> </w:t>
      </w:r>
      <w:r w:rsidRPr="00421E24">
        <w:rPr>
          <w:color w:val="000000"/>
          <w:sz w:val="20"/>
        </w:rPr>
        <w:t>For further information see note 4(1)(E).</w:t>
      </w:r>
    </w:p>
    <w:p w14:paraId="7C32523F" w14:textId="77777777" w:rsidR="00FF0EEB" w:rsidRDefault="00FF0EEB" w:rsidP="0020502A">
      <w:pPr>
        <w:rPr>
          <w:rFonts w:asciiTheme="majorBidi" w:hAnsiTheme="majorBidi" w:cstheme="majorBidi"/>
          <w:bCs/>
          <w:color w:val="000000"/>
          <w:sz w:val="20"/>
        </w:rPr>
      </w:pPr>
    </w:p>
    <w:p w14:paraId="6FB8350B" w14:textId="77777777" w:rsidR="00EB5E70" w:rsidRDefault="00EB5E70" w:rsidP="0020502A">
      <w:pPr>
        <w:rPr>
          <w:rFonts w:asciiTheme="majorBidi" w:hAnsiTheme="majorBidi" w:cstheme="majorBidi"/>
          <w:bCs/>
          <w:color w:val="000000"/>
          <w:sz w:val="20"/>
        </w:rPr>
      </w:pPr>
    </w:p>
    <w:p w14:paraId="16621D37" w14:textId="77777777" w:rsidR="00EB5E70" w:rsidRDefault="00EB5E70" w:rsidP="0020502A">
      <w:pPr>
        <w:rPr>
          <w:rFonts w:asciiTheme="majorBidi" w:hAnsiTheme="majorBidi" w:cstheme="majorBidi"/>
          <w:bCs/>
          <w:color w:val="000000"/>
          <w:sz w:val="20"/>
        </w:rPr>
      </w:pPr>
    </w:p>
    <w:p w14:paraId="34789A97" w14:textId="77777777" w:rsidR="00EB5E70" w:rsidRDefault="00EB5E70" w:rsidP="0020502A">
      <w:pPr>
        <w:rPr>
          <w:rFonts w:asciiTheme="majorBidi" w:hAnsiTheme="majorBidi" w:cstheme="majorBidi"/>
          <w:bCs/>
          <w:color w:val="000000"/>
          <w:sz w:val="20"/>
        </w:rPr>
      </w:pPr>
    </w:p>
    <w:p w14:paraId="59F7A376" w14:textId="77777777" w:rsidR="00EB5E70" w:rsidRDefault="00EB5E70" w:rsidP="0020502A">
      <w:pPr>
        <w:rPr>
          <w:rFonts w:asciiTheme="majorBidi" w:hAnsiTheme="majorBidi" w:cstheme="majorBidi"/>
          <w:bCs/>
          <w:color w:val="000000"/>
          <w:sz w:val="20"/>
        </w:rPr>
      </w:pPr>
    </w:p>
    <w:p w14:paraId="607A6D3C" w14:textId="77777777" w:rsidR="00EB5E70" w:rsidRDefault="00EB5E70" w:rsidP="0020502A">
      <w:pPr>
        <w:rPr>
          <w:rFonts w:asciiTheme="majorBidi" w:hAnsiTheme="majorBidi" w:cstheme="majorBidi"/>
          <w:bCs/>
          <w:color w:val="000000"/>
          <w:sz w:val="20"/>
        </w:rPr>
      </w:pPr>
    </w:p>
    <w:p w14:paraId="2A70B705" w14:textId="77777777" w:rsidR="00EB5E70" w:rsidRDefault="00EB5E70" w:rsidP="0020502A">
      <w:pPr>
        <w:rPr>
          <w:rFonts w:asciiTheme="majorBidi" w:hAnsiTheme="majorBidi" w:cstheme="majorBidi"/>
          <w:bCs/>
          <w:color w:val="000000"/>
          <w:sz w:val="20"/>
        </w:rPr>
      </w:pPr>
    </w:p>
    <w:p w14:paraId="04001E62" w14:textId="77777777" w:rsidR="00EB5E70" w:rsidRDefault="00EB5E70" w:rsidP="0020502A">
      <w:pPr>
        <w:rPr>
          <w:rFonts w:asciiTheme="majorBidi" w:hAnsiTheme="majorBidi" w:cstheme="majorBidi"/>
          <w:bCs/>
          <w:color w:val="000000"/>
          <w:sz w:val="20"/>
        </w:rPr>
      </w:pPr>
    </w:p>
    <w:p w14:paraId="79C51E2F" w14:textId="77777777" w:rsidR="00EB5E70" w:rsidRDefault="00EB5E70" w:rsidP="0020502A">
      <w:pPr>
        <w:rPr>
          <w:rFonts w:asciiTheme="majorBidi" w:hAnsiTheme="majorBidi" w:cstheme="majorBidi"/>
          <w:bCs/>
          <w:color w:val="000000"/>
          <w:sz w:val="20"/>
        </w:rPr>
      </w:pPr>
    </w:p>
    <w:p w14:paraId="7FD2C2B4" w14:textId="77777777" w:rsidR="00C863F0" w:rsidRDefault="00C863F0" w:rsidP="00C863F0">
      <w:pPr>
        <w:rPr>
          <w:b/>
          <w:bCs/>
          <w:sz w:val="22"/>
          <w:szCs w:val="22"/>
          <w:lang w:bidi="he-IL"/>
        </w:rPr>
      </w:pPr>
      <w:r w:rsidRPr="00986ACA">
        <w:rPr>
          <w:b/>
          <w:bCs/>
          <w:sz w:val="22"/>
          <w:szCs w:val="22"/>
          <w:lang w:bidi="he-IL"/>
        </w:rPr>
        <w:t>Note 4 – Subsidiaries and Investment in (and loans to) companies accounted for at equity</w:t>
      </w:r>
      <w:r>
        <w:rPr>
          <w:b/>
          <w:bCs/>
          <w:sz w:val="22"/>
          <w:szCs w:val="22"/>
          <w:lang w:bidi="he-IL"/>
        </w:rPr>
        <w:t xml:space="preserve"> (cont’d)</w:t>
      </w:r>
    </w:p>
    <w:p w14:paraId="6BBD6316" w14:textId="77777777" w:rsidR="001B5908" w:rsidRDefault="001B5908" w:rsidP="00C863F0">
      <w:pPr>
        <w:rPr>
          <w:b/>
          <w:bCs/>
          <w:sz w:val="22"/>
          <w:szCs w:val="22"/>
          <w:lang w:bidi="he-IL"/>
        </w:rPr>
      </w:pPr>
    </w:p>
    <w:p w14:paraId="02094082" w14:textId="5664B6F7" w:rsidR="001B5908" w:rsidRPr="00986ACA" w:rsidRDefault="001B5908" w:rsidP="001B5908">
      <w:pPr>
        <w:pStyle w:val="af2"/>
        <w:rPr>
          <w:b/>
          <w:bCs/>
          <w:sz w:val="22"/>
          <w:szCs w:val="22"/>
          <w:lang w:bidi="he-IL"/>
        </w:rPr>
      </w:pPr>
      <w:r w:rsidRPr="00986ACA">
        <w:rPr>
          <w:b/>
          <w:bCs/>
          <w:sz w:val="22"/>
          <w:szCs w:val="22"/>
          <w:lang w:bidi="he-IL"/>
        </w:rPr>
        <w:t>(</w:t>
      </w:r>
      <w:r>
        <w:rPr>
          <w:b/>
          <w:bCs/>
          <w:sz w:val="22"/>
          <w:szCs w:val="22"/>
          <w:lang w:bidi="he-IL"/>
        </w:rPr>
        <w:t>2</w:t>
      </w:r>
      <w:r w:rsidRPr="00986ACA">
        <w:rPr>
          <w:b/>
          <w:bCs/>
          <w:sz w:val="22"/>
          <w:szCs w:val="22"/>
          <w:lang w:bidi="he-IL"/>
        </w:rPr>
        <w:t>)</w:t>
      </w:r>
      <w:r w:rsidRPr="00986ACA">
        <w:rPr>
          <w:b/>
          <w:bCs/>
          <w:sz w:val="22"/>
          <w:szCs w:val="22"/>
          <w:lang w:bidi="he-IL"/>
        </w:rPr>
        <w:tab/>
      </w:r>
      <w:r w:rsidRPr="001B5908">
        <w:rPr>
          <w:b/>
          <w:bCs/>
          <w:sz w:val="22"/>
          <w:szCs w:val="22"/>
          <w:lang w:bidi="he-IL"/>
        </w:rPr>
        <w:t>Investment in (and loans to) companies accounted for at equity</w:t>
      </w:r>
      <w:r>
        <w:rPr>
          <w:b/>
          <w:bCs/>
          <w:sz w:val="22"/>
          <w:szCs w:val="22"/>
          <w:lang w:bidi="he-IL"/>
        </w:rPr>
        <w:t xml:space="preserve"> (cont’d)</w:t>
      </w:r>
    </w:p>
    <w:p w14:paraId="5C51CF37" w14:textId="77777777" w:rsidR="00C863F0" w:rsidRPr="00986ACA" w:rsidRDefault="00C863F0" w:rsidP="00C863F0">
      <w:pPr>
        <w:rPr>
          <w:b/>
          <w:bCs/>
          <w:sz w:val="22"/>
          <w:szCs w:val="22"/>
          <w:lang w:bidi="he-IL"/>
        </w:rPr>
      </w:pPr>
    </w:p>
    <w:p w14:paraId="6525DB01" w14:textId="66F7FB45" w:rsidR="00C863F0" w:rsidRPr="00E43187" w:rsidRDefault="00C863F0" w:rsidP="00E43187">
      <w:pPr>
        <w:ind w:left="720"/>
        <w:jc w:val="both"/>
        <w:outlineLvl w:val="4"/>
        <w:rPr>
          <w:b/>
          <w:bCs/>
          <w:sz w:val="22"/>
          <w:szCs w:val="22"/>
        </w:rPr>
      </w:pPr>
      <w:r>
        <w:rPr>
          <w:b/>
          <w:bCs/>
          <w:sz w:val="22"/>
          <w:szCs w:val="22"/>
        </w:rPr>
        <w:t>C</w:t>
      </w:r>
      <w:r w:rsidRPr="00E43187">
        <w:rPr>
          <w:b/>
          <w:bCs/>
          <w:sz w:val="22"/>
          <w:szCs w:val="22"/>
        </w:rPr>
        <w:t xml:space="preserve">. Summary information on material </w:t>
      </w:r>
      <w:proofErr w:type="gramStart"/>
      <w:r w:rsidRPr="00E43187">
        <w:rPr>
          <w:b/>
          <w:bCs/>
          <w:sz w:val="22"/>
          <w:szCs w:val="22"/>
        </w:rPr>
        <w:t>associate</w:t>
      </w:r>
      <w:proofErr w:type="gramEnd"/>
    </w:p>
    <w:p w14:paraId="784F91BF" w14:textId="77777777" w:rsidR="00C863F0" w:rsidRPr="00E43187" w:rsidRDefault="00C863F0" w:rsidP="00C863F0">
      <w:pPr>
        <w:rPr>
          <w:sz w:val="22"/>
          <w:szCs w:val="22"/>
          <w:lang w:bidi="he-IL"/>
        </w:rPr>
      </w:pPr>
    </w:p>
    <w:p w14:paraId="1F974B2B" w14:textId="626BC67D" w:rsidR="00C863F0" w:rsidRPr="00550EBD" w:rsidRDefault="00C863F0" w:rsidP="00E43187">
      <w:pPr>
        <w:ind w:left="720"/>
        <w:jc w:val="both"/>
        <w:rPr>
          <w:sz w:val="22"/>
          <w:szCs w:val="22"/>
          <w:lang w:bidi="he-IL"/>
        </w:rPr>
      </w:pPr>
      <w:r w:rsidRPr="00550EBD">
        <w:rPr>
          <w:sz w:val="22"/>
          <w:szCs w:val="22"/>
          <w:lang w:bidi="he-IL"/>
        </w:rPr>
        <w:t>Below is a summary of financial information on the financial position and operating results of</w:t>
      </w:r>
      <w:r w:rsidR="001B5908">
        <w:rPr>
          <w:sz w:val="22"/>
          <w:szCs w:val="22"/>
          <w:lang w:bidi="he-IL"/>
        </w:rPr>
        <w:t xml:space="preserve"> </w:t>
      </w:r>
      <w:r w:rsidRPr="00550EBD">
        <w:rPr>
          <w:sz w:val="22"/>
          <w:szCs w:val="22"/>
          <w:lang w:bidi="he-IL"/>
        </w:rPr>
        <w:t>Towarowa 22, a Polish company held under joint venture (company's share 70%).</w:t>
      </w:r>
    </w:p>
    <w:p w14:paraId="0A2B70FD" w14:textId="77777777" w:rsidR="00C863F0" w:rsidRPr="00550EBD" w:rsidRDefault="00C863F0" w:rsidP="00E43187">
      <w:pPr>
        <w:ind w:left="153" w:firstLine="567"/>
        <w:jc w:val="both"/>
        <w:rPr>
          <w:sz w:val="22"/>
          <w:szCs w:val="22"/>
          <w:lang w:bidi="he-IL"/>
        </w:rPr>
      </w:pPr>
      <w:r w:rsidRPr="00550EBD">
        <w:rPr>
          <w:sz w:val="22"/>
          <w:szCs w:val="22"/>
          <w:lang w:bidi="he-IL"/>
        </w:rPr>
        <w:t>For further information see Note 4(1)(E).</w:t>
      </w:r>
    </w:p>
    <w:p w14:paraId="3F9A4E83" w14:textId="77777777" w:rsidR="00C863F0" w:rsidRPr="00E43187" w:rsidRDefault="00C863F0" w:rsidP="00C863F0">
      <w:pPr>
        <w:rPr>
          <w:sz w:val="22"/>
          <w:szCs w:val="22"/>
          <w:lang w:bidi="he-IL"/>
        </w:rPr>
      </w:pPr>
    </w:p>
    <w:tbl>
      <w:tblPr>
        <w:tblW w:w="8630" w:type="dxa"/>
        <w:tblInd w:w="709" w:type="dxa"/>
        <w:tblLayout w:type="fixed"/>
        <w:tblCellMar>
          <w:left w:w="0" w:type="dxa"/>
          <w:right w:w="0" w:type="dxa"/>
        </w:tblCellMar>
        <w:tblLook w:val="06A0" w:firstRow="1" w:lastRow="0" w:firstColumn="1" w:lastColumn="0" w:noHBand="1" w:noVBand="1"/>
        <w:tblCaption w:val="AHR01"/>
        <w:tblDescription w:val="Composition of the investments"/>
      </w:tblPr>
      <w:tblGrid>
        <w:gridCol w:w="5669"/>
        <w:gridCol w:w="1543"/>
        <w:gridCol w:w="142"/>
        <w:gridCol w:w="1276"/>
      </w:tblGrid>
      <w:tr w:rsidR="00D01678" w14:paraId="21E53560" w14:textId="77777777" w:rsidTr="006909F2">
        <w:trPr>
          <w:trHeight w:val="993"/>
          <w:tblHeader/>
        </w:trPr>
        <w:tc>
          <w:tcPr>
            <w:tcW w:w="5669" w:type="dxa"/>
            <w:shd w:val="clear" w:color="auto" w:fill="auto"/>
            <w:noWrap/>
            <w:vAlign w:val="bottom"/>
            <w:hideMark/>
          </w:tcPr>
          <w:p w14:paraId="1DC2BEB3" w14:textId="77777777" w:rsidR="00C863F0" w:rsidRPr="00866299" w:rsidRDefault="00C863F0" w:rsidP="00CA3ADF">
            <w:pPr>
              <w:spacing w:before="40"/>
              <w:rPr>
                <w:rFonts w:ascii="Arial" w:eastAsia="Arial" w:hAnsi="Arial" w:cs="Arial"/>
                <w:sz w:val="20"/>
              </w:rPr>
            </w:pPr>
          </w:p>
        </w:tc>
        <w:tc>
          <w:tcPr>
            <w:tcW w:w="1543" w:type="dxa"/>
            <w:shd w:val="clear" w:color="auto" w:fill="auto"/>
            <w:vAlign w:val="bottom"/>
            <w:hideMark/>
          </w:tcPr>
          <w:p w14:paraId="531A9AF7" w14:textId="77777777" w:rsidR="00C863F0" w:rsidRPr="00866299" w:rsidRDefault="00C863F0" w:rsidP="00CA3ADF">
            <w:pPr>
              <w:spacing w:before="40"/>
              <w:jc w:val="center"/>
              <w:rPr>
                <w:b/>
                <w:bCs/>
                <w:sz w:val="20"/>
              </w:rPr>
            </w:pPr>
            <w:r w:rsidRPr="00866299">
              <w:rPr>
                <w:b/>
                <w:bCs/>
                <w:color w:val="000000"/>
                <w:sz w:val="20"/>
              </w:rPr>
              <w:t>December 31,</w:t>
            </w:r>
          </w:p>
          <w:p w14:paraId="3EB7C993" w14:textId="77777777" w:rsidR="00C863F0" w:rsidRPr="00866299" w:rsidRDefault="00C863F0" w:rsidP="00CA3ADF">
            <w:pPr>
              <w:pBdr>
                <w:bottom w:val="single" w:sz="4" w:space="0" w:color="000000"/>
              </w:pBdr>
              <w:spacing w:before="40"/>
              <w:ind w:left="57"/>
              <w:jc w:val="center"/>
              <w:rPr>
                <w:b/>
                <w:bCs/>
                <w:sz w:val="20"/>
              </w:rPr>
            </w:pPr>
            <w:r>
              <w:rPr>
                <w:b/>
                <w:bCs/>
                <w:color w:val="000000"/>
                <w:sz w:val="20"/>
              </w:rPr>
              <w:t>202</w:t>
            </w:r>
            <w:r>
              <w:rPr>
                <w:b/>
                <w:bCs/>
                <w:sz w:val="20"/>
              </w:rPr>
              <w:t>4</w:t>
            </w:r>
          </w:p>
        </w:tc>
        <w:tc>
          <w:tcPr>
            <w:tcW w:w="142" w:type="dxa"/>
          </w:tcPr>
          <w:p w14:paraId="2BBCF00F" w14:textId="77777777" w:rsidR="00C863F0" w:rsidRPr="00866299" w:rsidRDefault="00C863F0" w:rsidP="00CA3ADF">
            <w:pPr>
              <w:spacing w:before="40"/>
              <w:jc w:val="center"/>
              <w:rPr>
                <w:b/>
                <w:bCs/>
                <w:color w:val="000000"/>
                <w:sz w:val="20"/>
              </w:rPr>
            </w:pPr>
          </w:p>
        </w:tc>
        <w:tc>
          <w:tcPr>
            <w:tcW w:w="1276" w:type="dxa"/>
            <w:shd w:val="clear" w:color="auto" w:fill="auto"/>
            <w:vAlign w:val="bottom"/>
            <w:hideMark/>
          </w:tcPr>
          <w:p w14:paraId="0A523942" w14:textId="77777777" w:rsidR="00C863F0" w:rsidRPr="00866299" w:rsidRDefault="00C863F0" w:rsidP="00CA3ADF">
            <w:pPr>
              <w:spacing w:before="40"/>
              <w:jc w:val="center"/>
              <w:rPr>
                <w:b/>
                <w:bCs/>
                <w:sz w:val="20"/>
              </w:rPr>
            </w:pPr>
            <w:r w:rsidRPr="00866299">
              <w:rPr>
                <w:b/>
                <w:bCs/>
                <w:color w:val="000000"/>
                <w:sz w:val="20"/>
              </w:rPr>
              <w:t>December 31,</w:t>
            </w:r>
          </w:p>
          <w:p w14:paraId="0F6B493C" w14:textId="77777777" w:rsidR="00C863F0" w:rsidRPr="00866299" w:rsidRDefault="00C863F0" w:rsidP="00CA3ADF">
            <w:pPr>
              <w:pBdr>
                <w:bottom w:val="single" w:sz="4" w:space="0" w:color="000000"/>
              </w:pBdr>
              <w:spacing w:before="40"/>
              <w:ind w:left="57"/>
              <w:jc w:val="center"/>
              <w:rPr>
                <w:b/>
                <w:bCs/>
                <w:sz w:val="20"/>
              </w:rPr>
            </w:pPr>
            <w:r>
              <w:rPr>
                <w:b/>
                <w:bCs/>
                <w:color w:val="000000"/>
                <w:sz w:val="20"/>
              </w:rPr>
              <w:t>2023</w:t>
            </w:r>
          </w:p>
        </w:tc>
      </w:tr>
      <w:tr w:rsidR="00D01678" w:rsidRPr="002B1FE4" w14:paraId="4579E2D3" w14:textId="77777777" w:rsidTr="006909F2">
        <w:trPr>
          <w:trHeight w:val="20"/>
        </w:trPr>
        <w:tc>
          <w:tcPr>
            <w:tcW w:w="5669" w:type="dxa"/>
            <w:shd w:val="clear" w:color="auto" w:fill="auto"/>
            <w:noWrap/>
            <w:vAlign w:val="bottom"/>
            <w:hideMark/>
          </w:tcPr>
          <w:p w14:paraId="713D6EA7" w14:textId="77777777" w:rsidR="00C863F0" w:rsidRPr="009B158F" w:rsidRDefault="00C863F0" w:rsidP="00CA3ADF">
            <w:pPr>
              <w:spacing w:before="40"/>
              <w:rPr>
                <w:color w:val="000000"/>
                <w:sz w:val="22"/>
                <w:szCs w:val="22"/>
              </w:rPr>
            </w:pPr>
            <w:r w:rsidRPr="009B158F">
              <w:rPr>
                <w:color w:val="000000"/>
                <w:sz w:val="22"/>
                <w:szCs w:val="22"/>
              </w:rPr>
              <w:t>Current assets</w:t>
            </w:r>
          </w:p>
        </w:tc>
        <w:tc>
          <w:tcPr>
            <w:tcW w:w="1543" w:type="dxa"/>
            <w:shd w:val="clear" w:color="auto" w:fill="auto"/>
            <w:noWrap/>
          </w:tcPr>
          <w:p w14:paraId="5CCAE125" w14:textId="77777777" w:rsidR="00C863F0" w:rsidRPr="00EC481C" w:rsidRDefault="00C863F0" w:rsidP="00CA3ADF">
            <w:pPr>
              <w:spacing w:before="40"/>
              <w:jc w:val="right"/>
              <w:rPr>
                <w:sz w:val="22"/>
                <w:szCs w:val="22"/>
              </w:rPr>
            </w:pPr>
            <w:r w:rsidRPr="00EC481C">
              <w:rPr>
                <w:sz w:val="22"/>
                <w:szCs w:val="22"/>
              </w:rPr>
              <w:t xml:space="preserve"> 7,945 </w:t>
            </w:r>
          </w:p>
        </w:tc>
        <w:tc>
          <w:tcPr>
            <w:tcW w:w="142" w:type="dxa"/>
          </w:tcPr>
          <w:p w14:paraId="6E2C389B" w14:textId="77777777" w:rsidR="00C863F0" w:rsidRPr="00EC481C" w:rsidRDefault="00C863F0" w:rsidP="00CA3ADF">
            <w:pPr>
              <w:spacing w:before="40"/>
              <w:jc w:val="right"/>
              <w:rPr>
                <w:sz w:val="22"/>
                <w:szCs w:val="22"/>
              </w:rPr>
            </w:pPr>
          </w:p>
        </w:tc>
        <w:tc>
          <w:tcPr>
            <w:tcW w:w="1276" w:type="dxa"/>
            <w:shd w:val="clear" w:color="auto" w:fill="auto"/>
            <w:noWrap/>
          </w:tcPr>
          <w:p w14:paraId="31848F4A" w14:textId="77777777" w:rsidR="00C863F0" w:rsidRPr="00EC481C" w:rsidRDefault="00C863F0" w:rsidP="00CA3ADF">
            <w:pPr>
              <w:spacing w:before="40"/>
              <w:jc w:val="right"/>
              <w:rPr>
                <w:sz w:val="22"/>
                <w:szCs w:val="22"/>
              </w:rPr>
            </w:pPr>
            <w:r w:rsidRPr="00EC481C">
              <w:rPr>
                <w:sz w:val="22"/>
                <w:szCs w:val="22"/>
              </w:rPr>
              <w:t xml:space="preserve"> 5,773 </w:t>
            </w:r>
          </w:p>
        </w:tc>
      </w:tr>
      <w:tr w:rsidR="00D01678" w:rsidRPr="00BF42ED" w14:paraId="7CA8EA49" w14:textId="77777777" w:rsidTr="006909F2">
        <w:trPr>
          <w:trHeight w:val="20"/>
        </w:trPr>
        <w:tc>
          <w:tcPr>
            <w:tcW w:w="5669" w:type="dxa"/>
            <w:shd w:val="clear" w:color="auto" w:fill="auto"/>
            <w:noWrap/>
            <w:vAlign w:val="bottom"/>
            <w:hideMark/>
          </w:tcPr>
          <w:p w14:paraId="6FFF836E" w14:textId="77777777" w:rsidR="00C863F0" w:rsidRPr="009B158F" w:rsidRDefault="00C863F0" w:rsidP="00CA3ADF">
            <w:pPr>
              <w:spacing w:before="40"/>
              <w:rPr>
                <w:color w:val="000000"/>
                <w:sz w:val="22"/>
                <w:szCs w:val="22"/>
              </w:rPr>
            </w:pPr>
            <w:r w:rsidRPr="009B158F">
              <w:rPr>
                <w:color w:val="000000"/>
                <w:sz w:val="22"/>
                <w:szCs w:val="22"/>
              </w:rPr>
              <w:t>Non-current assets</w:t>
            </w:r>
          </w:p>
        </w:tc>
        <w:tc>
          <w:tcPr>
            <w:tcW w:w="1543" w:type="dxa"/>
            <w:shd w:val="clear" w:color="auto" w:fill="auto"/>
            <w:noWrap/>
          </w:tcPr>
          <w:p w14:paraId="3861F771" w14:textId="77777777" w:rsidR="00C863F0" w:rsidRPr="00EC481C" w:rsidRDefault="00C863F0" w:rsidP="00CA3ADF">
            <w:pPr>
              <w:spacing w:before="40"/>
              <w:jc w:val="right"/>
              <w:rPr>
                <w:sz w:val="22"/>
                <w:szCs w:val="22"/>
                <w:lang w:bidi="he-IL"/>
              </w:rPr>
            </w:pPr>
            <w:r w:rsidRPr="00EC481C">
              <w:rPr>
                <w:sz w:val="22"/>
                <w:szCs w:val="22"/>
              </w:rPr>
              <w:t xml:space="preserve"> 231,569 </w:t>
            </w:r>
          </w:p>
        </w:tc>
        <w:tc>
          <w:tcPr>
            <w:tcW w:w="142" w:type="dxa"/>
          </w:tcPr>
          <w:p w14:paraId="215E73DB" w14:textId="77777777" w:rsidR="00C863F0" w:rsidRPr="00EC481C" w:rsidRDefault="00C863F0" w:rsidP="00CA3ADF">
            <w:pPr>
              <w:spacing w:before="40"/>
              <w:jc w:val="right"/>
              <w:rPr>
                <w:sz w:val="22"/>
                <w:szCs w:val="22"/>
              </w:rPr>
            </w:pPr>
          </w:p>
        </w:tc>
        <w:tc>
          <w:tcPr>
            <w:tcW w:w="1276" w:type="dxa"/>
            <w:shd w:val="clear" w:color="auto" w:fill="auto"/>
            <w:noWrap/>
          </w:tcPr>
          <w:p w14:paraId="3F8F6F2D" w14:textId="77777777" w:rsidR="00C863F0" w:rsidRPr="00EC481C" w:rsidRDefault="00C863F0" w:rsidP="00CA3ADF">
            <w:pPr>
              <w:spacing w:before="40"/>
              <w:jc w:val="right"/>
              <w:rPr>
                <w:sz w:val="22"/>
                <w:szCs w:val="22"/>
              </w:rPr>
            </w:pPr>
            <w:r w:rsidRPr="00EC481C">
              <w:rPr>
                <w:sz w:val="22"/>
                <w:szCs w:val="22"/>
              </w:rPr>
              <w:t xml:space="preserve"> 196,888 </w:t>
            </w:r>
          </w:p>
        </w:tc>
      </w:tr>
      <w:tr w:rsidR="00D01678" w:rsidRPr="00BF42ED" w14:paraId="6D28D7DC" w14:textId="77777777" w:rsidTr="006909F2">
        <w:trPr>
          <w:trHeight w:val="20"/>
        </w:trPr>
        <w:tc>
          <w:tcPr>
            <w:tcW w:w="5669" w:type="dxa"/>
            <w:shd w:val="clear" w:color="auto" w:fill="auto"/>
            <w:noWrap/>
            <w:vAlign w:val="bottom"/>
            <w:hideMark/>
          </w:tcPr>
          <w:p w14:paraId="7730E3A9" w14:textId="77777777" w:rsidR="00C863F0" w:rsidRPr="009B158F" w:rsidRDefault="00C863F0" w:rsidP="00CA3ADF">
            <w:pPr>
              <w:spacing w:before="40"/>
              <w:rPr>
                <w:color w:val="000000"/>
                <w:sz w:val="22"/>
                <w:szCs w:val="22"/>
              </w:rPr>
            </w:pPr>
          </w:p>
        </w:tc>
        <w:tc>
          <w:tcPr>
            <w:tcW w:w="1543" w:type="dxa"/>
            <w:shd w:val="clear" w:color="auto" w:fill="auto"/>
            <w:noWrap/>
          </w:tcPr>
          <w:p w14:paraId="299AAF06" w14:textId="77777777" w:rsidR="00C863F0" w:rsidRPr="00EC481C" w:rsidRDefault="00C863F0" w:rsidP="00CA3ADF">
            <w:pPr>
              <w:spacing w:before="40"/>
              <w:jc w:val="right"/>
              <w:rPr>
                <w:sz w:val="22"/>
                <w:szCs w:val="22"/>
                <w:lang w:bidi="he-IL"/>
              </w:rPr>
            </w:pPr>
          </w:p>
        </w:tc>
        <w:tc>
          <w:tcPr>
            <w:tcW w:w="142" w:type="dxa"/>
          </w:tcPr>
          <w:p w14:paraId="2E3950EC" w14:textId="77777777" w:rsidR="00C863F0" w:rsidRPr="00EC481C" w:rsidRDefault="00C863F0" w:rsidP="00CA3ADF">
            <w:pPr>
              <w:spacing w:before="40"/>
              <w:jc w:val="right"/>
              <w:rPr>
                <w:sz w:val="22"/>
                <w:szCs w:val="22"/>
              </w:rPr>
            </w:pPr>
          </w:p>
        </w:tc>
        <w:tc>
          <w:tcPr>
            <w:tcW w:w="1276" w:type="dxa"/>
            <w:shd w:val="clear" w:color="auto" w:fill="auto"/>
            <w:noWrap/>
          </w:tcPr>
          <w:p w14:paraId="67E23C1B" w14:textId="77777777" w:rsidR="00C863F0" w:rsidRPr="00EC481C" w:rsidRDefault="00C863F0" w:rsidP="00CA3ADF">
            <w:pPr>
              <w:spacing w:before="40"/>
              <w:jc w:val="right"/>
              <w:rPr>
                <w:sz w:val="22"/>
                <w:szCs w:val="22"/>
              </w:rPr>
            </w:pPr>
          </w:p>
        </w:tc>
      </w:tr>
      <w:tr w:rsidR="00D01678" w:rsidRPr="00BF42ED" w14:paraId="6F0B9DF7" w14:textId="77777777" w:rsidTr="006909F2">
        <w:trPr>
          <w:trHeight w:val="20"/>
        </w:trPr>
        <w:tc>
          <w:tcPr>
            <w:tcW w:w="5669" w:type="dxa"/>
            <w:shd w:val="clear" w:color="auto" w:fill="auto"/>
            <w:noWrap/>
            <w:vAlign w:val="bottom"/>
            <w:hideMark/>
          </w:tcPr>
          <w:p w14:paraId="52EDFD05" w14:textId="77777777" w:rsidR="00C863F0" w:rsidRPr="009B158F" w:rsidRDefault="00C863F0" w:rsidP="00CA3ADF">
            <w:pPr>
              <w:spacing w:before="40"/>
              <w:rPr>
                <w:color w:val="000000"/>
                <w:sz w:val="22"/>
                <w:szCs w:val="22"/>
              </w:rPr>
            </w:pPr>
            <w:r w:rsidRPr="009B158F">
              <w:rPr>
                <w:color w:val="000000"/>
                <w:sz w:val="22"/>
                <w:szCs w:val="22"/>
              </w:rPr>
              <w:t>Current liabilities</w:t>
            </w:r>
          </w:p>
        </w:tc>
        <w:tc>
          <w:tcPr>
            <w:tcW w:w="1543" w:type="dxa"/>
            <w:shd w:val="clear" w:color="auto" w:fill="auto"/>
            <w:noWrap/>
          </w:tcPr>
          <w:p w14:paraId="0F108A74" w14:textId="77777777" w:rsidR="00C863F0" w:rsidRPr="00EC481C" w:rsidRDefault="00C863F0" w:rsidP="00CA3ADF">
            <w:pPr>
              <w:spacing w:before="40"/>
              <w:jc w:val="right"/>
              <w:rPr>
                <w:sz w:val="22"/>
                <w:szCs w:val="22"/>
                <w:lang w:bidi="he-IL"/>
              </w:rPr>
            </w:pPr>
            <w:r w:rsidRPr="00EC481C">
              <w:rPr>
                <w:sz w:val="22"/>
                <w:szCs w:val="22"/>
              </w:rPr>
              <w:t xml:space="preserve"> 12,518 </w:t>
            </w:r>
          </w:p>
        </w:tc>
        <w:tc>
          <w:tcPr>
            <w:tcW w:w="142" w:type="dxa"/>
          </w:tcPr>
          <w:p w14:paraId="089C2B42" w14:textId="77777777" w:rsidR="00C863F0" w:rsidRPr="00EC481C" w:rsidRDefault="00C863F0" w:rsidP="00CA3ADF">
            <w:pPr>
              <w:spacing w:before="40"/>
              <w:jc w:val="right"/>
              <w:rPr>
                <w:sz w:val="22"/>
                <w:szCs w:val="22"/>
              </w:rPr>
            </w:pPr>
          </w:p>
        </w:tc>
        <w:tc>
          <w:tcPr>
            <w:tcW w:w="1276" w:type="dxa"/>
            <w:shd w:val="clear" w:color="auto" w:fill="auto"/>
            <w:noWrap/>
          </w:tcPr>
          <w:p w14:paraId="6A342F68" w14:textId="77777777" w:rsidR="00C863F0" w:rsidRPr="00EC481C" w:rsidRDefault="00C863F0" w:rsidP="00CA3ADF">
            <w:pPr>
              <w:spacing w:before="40"/>
              <w:jc w:val="right"/>
              <w:rPr>
                <w:sz w:val="22"/>
                <w:szCs w:val="22"/>
              </w:rPr>
            </w:pPr>
            <w:r w:rsidRPr="00EC481C">
              <w:rPr>
                <w:sz w:val="22"/>
                <w:szCs w:val="22"/>
              </w:rPr>
              <w:t xml:space="preserve"> 26,704 </w:t>
            </w:r>
          </w:p>
        </w:tc>
      </w:tr>
      <w:tr w:rsidR="00D01678" w14:paraId="031C5B43" w14:textId="77777777" w:rsidTr="006909F2">
        <w:trPr>
          <w:trHeight w:val="20"/>
        </w:trPr>
        <w:tc>
          <w:tcPr>
            <w:tcW w:w="5669" w:type="dxa"/>
            <w:shd w:val="clear" w:color="auto" w:fill="auto"/>
            <w:noWrap/>
            <w:vAlign w:val="bottom"/>
            <w:hideMark/>
          </w:tcPr>
          <w:p w14:paraId="2BB8103B" w14:textId="77777777" w:rsidR="00C863F0" w:rsidRPr="009B158F" w:rsidRDefault="00C863F0" w:rsidP="00CA3ADF">
            <w:pPr>
              <w:spacing w:before="40"/>
              <w:rPr>
                <w:color w:val="000000"/>
                <w:sz w:val="22"/>
                <w:szCs w:val="22"/>
              </w:rPr>
            </w:pPr>
            <w:r w:rsidRPr="009B158F">
              <w:rPr>
                <w:color w:val="000000"/>
                <w:sz w:val="22"/>
                <w:szCs w:val="22"/>
              </w:rPr>
              <w:t>Non-current liabilities</w:t>
            </w:r>
          </w:p>
        </w:tc>
        <w:tc>
          <w:tcPr>
            <w:tcW w:w="1543" w:type="dxa"/>
            <w:tcBorders>
              <w:bottom w:val="single" w:sz="4" w:space="0" w:color="auto"/>
            </w:tcBorders>
            <w:shd w:val="clear" w:color="auto" w:fill="auto"/>
            <w:noWrap/>
          </w:tcPr>
          <w:p w14:paraId="4F5378E1" w14:textId="77777777" w:rsidR="00C863F0" w:rsidRPr="00EC481C" w:rsidRDefault="00C863F0" w:rsidP="00CA3ADF">
            <w:pPr>
              <w:spacing w:before="40"/>
              <w:jc w:val="right"/>
              <w:rPr>
                <w:sz w:val="22"/>
                <w:szCs w:val="22"/>
                <w:lang w:bidi="he-IL"/>
              </w:rPr>
            </w:pPr>
            <w:r w:rsidRPr="00EC481C">
              <w:rPr>
                <w:sz w:val="22"/>
                <w:szCs w:val="22"/>
              </w:rPr>
              <w:t xml:space="preserve"> 47,025 </w:t>
            </w:r>
          </w:p>
        </w:tc>
        <w:tc>
          <w:tcPr>
            <w:tcW w:w="142" w:type="dxa"/>
          </w:tcPr>
          <w:p w14:paraId="50513A96" w14:textId="77777777" w:rsidR="00C863F0" w:rsidRPr="00EC481C" w:rsidRDefault="00C863F0" w:rsidP="00CA3ADF">
            <w:pPr>
              <w:spacing w:before="40"/>
              <w:jc w:val="right"/>
              <w:rPr>
                <w:sz w:val="22"/>
                <w:szCs w:val="22"/>
              </w:rPr>
            </w:pPr>
          </w:p>
        </w:tc>
        <w:tc>
          <w:tcPr>
            <w:tcW w:w="1276" w:type="dxa"/>
            <w:tcBorders>
              <w:bottom w:val="single" w:sz="4" w:space="0" w:color="auto"/>
            </w:tcBorders>
            <w:shd w:val="clear" w:color="auto" w:fill="auto"/>
            <w:noWrap/>
          </w:tcPr>
          <w:p w14:paraId="57416714" w14:textId="77777777" w:rsidR="00C863F0" w:rsidRPr="00EC481C" w:rsidRDefault="00C863F0" w:rsidP="00CA3ADF">
            <w:pPr>
              <w:spacing w:before="40"/>
              <w:jc w:val="right"/>
              <w:rPr>
                <w:sz w:val="22"/>
                <w:szCs w:val="22"/>
              </w:rPr>
            </w:pPr>
            <w:r w:rsidRPr="00EC481C">
              <w:rPr>
                <w:sz w:val="22"/>
                <w:szCs w:val="22"/>
              </w:rPr>
              <w:t xml:space="preserve"> 17,740 </w:t>
            </w:r>
          </w:p>
        </w:tc>
      </w:tr>
      <w:tr w:rsidR="00D01678" w14:paraId="360AFE6B" w14:textId="77777777" w:rsidTr="006909F2">
        <w:trPr>
          <w:trHeight w:val="20"/>
        </w:trPr>
        <w:tc>
          <w:tcPr>
            <w:tcW w:w="5669" w:type="dxa"/>
            <w:shd w:val="clear" w:color="auto" w:fill="auto"/>
            <w:noWrap/>
            <w:vAlign w:val="bottom"/>
          </w:tcPr>
          <w:p w14:paraId="71E5C984" w14:textId="77777777" w:rsidR="00C863F0" w:rsidRPr="009B158F" w:rsidRDefault="00C863F0" w:rsidP="00CA3ADF">
            <w:pPr>
              <w:spacing w:before="40"/>
              <w:rPr>
                <w:color w:val="000000"/>
                <w:sz w:val="22"/>
                <w:szCs w:val="22"/>
              </w:rPr>
            </w:pPr>
          </w:p>
        </w:tc>
        <w:tc>
          <w:tcPr>
            <w:tcW w:w="1543" w:type="dxa"/>
            <w:tcBorders>
              <w:top w:val="single" w:sz="4" w:space="0" w:color="auto"/>
            </w:tcBorders>
            <w:shd w:val="clear" w:color="auto" w:fill="auto"/>
            <w:noWrap/>
          </w:tcPr>
          <w:p w14:paraId="1770C54B" w14:textId="77777777" w:rsidR="00C863F0" w:rsidRPr="00EC481C" w:rsidRDefault="00C863F0" w:rsidP="00CA3ADF">
            <w:pPr>
              <w:spacing w:before="40"/>
              <w:jc w:val="right"/>
              <w:rPr>
                <w:sz w:val="22"/>
                <w:szCs w:val="22"/>
                <w:lang w:bidi="he-IL"/>
              </w:rPr>
            </w:pPr>
          </w:p>
        </w:tc>
        <w:tc>
          <w:tcPr>
            <w:tcW w:w="142" w:type="dxa"/>
          </w:tcPr>
          <w:p w14:paraId="5C4D8DDC" w14:textId="77777777" w:rsidR="00C863F0" w:rsidRPr="00EC481C" w:rsidRDefault="00C863F0" w:rsidP="00CA3ADF">
            <w:pPr>
              <w:spacing w:before="40"/>
              <w:jc w:val="right"/>
              <w:rPr>
                <w:sz w:val="22"/>
                <w:szCs w:val="22"/>
              </w:rPr>
            </w:pPr>
          </w:p>
        </w:tc>
        <w:tc>
          <w:tcPr>
            <w:tcW w:w="1276" w:type="dxa"/>
            <w:tcBorders>
              <w:top w:val="single" w:sz="4" w:space="0" w:color="auto"/>
            </w:tcBorders>
            <w:shd w:val="clear" w:color="auto" w:fill="auto"/>
            <w:noWrap/>
          </w:tcPr>
          <w:p w14:paraId="264812EE" w14:textId="77777777" w:rsidR="00C863F0" w:rsidRPr="00EC481C" w:rsidRDefault="00C863F0" w:rsidP="00CA3ADF">
            <w:pPr>
              <w:spacing w:before="40"/>
              <w:jc w:val="right"/>
              <w:rPr>
                <w:sz w:val="22"/>
                <w:szCs w:val="22"/>
              </w:rPr>
            </w:pPr>
          </w:p>
        </w:tc>
      </w:tr>
      <w:tr w:rsidR="00D01678" w14:paraId="54BF5620" w14:textId="77777777" w:rsidTr="006909F2">
        <w:trPr>
          <w:trHeight w:val="20"/>
        </w:trPr>
        <w:tc>
          <w:tcPr>
            <w:tcW w:w="5669" w:type="dxa"/>
            <w:shd w:val="clear" w:color="auto" w:fill="auto"/>
            <w:noWrap/>
            <w:vAlign w:val="bottom"/>
          </w:tcPr>
          <w:p w14:paraId="5ECF0D0F" w14:textId="77777777" w:rsidR="00C863F0" w:rsidRPr="009B158F" w:rsidRDefault="00C863F0" w:rsidP="00CA3ADF">
            <w:pPr>
              <w:spacing w:before="40"/>
              <w:rPr>
                <w:color w:val="000000"/>
                <w:sz w:val="22"/>
                <w:szCs w:val="22"/>
              </w:rPr>
            </w:pPr>
            <w:r w:rsidRPr="009B158F">
              <w:rPr>
                <w:color w:val="000000"/>
                <w:sz w:val="22"/>
                <w:szCs w:val="22"/>
              </w:rPr>
              <w:t>Total equity</w:t>
            </w:r>
          </w:p>
        </w:tc>
        <w:tc>
          <w:tcPr>
            <w:tcW w:w="1543" w:type="dxa"/>
            <w:tcBorders>
              <w:bottom w:val="double" w:sz="4" w:space="0" w:color="auto"/>
            </w:tcBorders>
            <w:shd w:val="clear" w:color="auto" w:fill="auto"/>
            <w:noWrap/>
          </w:tcPr>
          <w:p w14:paraId="4834EF83" w14:textId="77777777" w:rsidR="00C863F0" w:rsidRPr="00EC481C" w:rsidRDefault="00C863F0" w:rsidP="00CA3ADF">
            <w:pPr>
              <w:spacing w:before="40"/>
              <w:jc w:val="right"/>
              <w:rPr>
                <w:sz w:val="22"/>
                <w:szCs w:val="22"/>
                <w:rtl/>
                <w:lang w:bidi="he-IL"/>
              </w:rPr>
            </w:pPr>
            <w:r w:rsidRPr="00EC481C">
              <w:rPr>
                <w:sz w:val="22"/>
                <w:szCs w:val="22"/>
              </w:rPr>
              <w:t xml:space="preserve"> 179,972 </w:t>
            </w:r>
          </w:p>
        </w:tc>
        <w:tc>
          <w:tcPr>
            <w:tcW w:w="142" w:type="dxa"/>
          </w:tcPr>
          <w:p w14:paraId="31D5401E" w14:textId="77777777" w:rsidR="00C863F0" w:rsidRPr="00EC481C" w:rsidRDefault="00C863F0" w:rsidP="00CA3ADF">
            <w:pPr>
              <w:spacing w:before="40"/>
              <w:jc w:val="right"/>
              <w:rPr>
                <w:sz w:val="22"/>
                <w:szCs w:val="22"/>
              </w:rPr>
            </w:pPr>
          </w:p>
        </w:tc>
        <w:tc>
          <w:tcPr>
            <w:tcW w:w="1276" w:type="dxa"/>
            <w:tcBorders>
              <w:bottom w:val="double" w:sz="4" w:space="0" w:color="auto"/>
            </w:tcBorders>
            <w:shd w:val="clear" w:color="auto" w:fill="auto"/>
            <w:noWrap/>
          </w:tcPr>
          <w:p w14:paraId="5D099C55" w14:textId="77777777" w:rsidR="00C863F0" w:rsidRPr="00EC481C" w:rsidRDefault="00C863F0" w:rsidP="00CA3ADF">
            <w:pPr>
              <w:spacing w:before="40"/>
              <w:jc w:val="right"/>
              <w:rPr>
                <w:sz w:val="22"/>
                <w:szCs w:val="22"/>
              </w:rPr>
            </w:pPr>
            <w:r w:rsidRPr="00EC481C">
              <w:rPr>
                <w:sz w:val="22"/>
                <w:szCs w:val="22"/>
              </w:rPr>
              <w:t xml:space="preserve"> 158,217 </w:t>
            </w:r>
          </w:p>
        </w:tc>
      </w:tr>
      <w:tr w:rsidR="00D01678" w14:paraId="17F18A1F" w14:textId="77777777" w:rsidTr="006909F2">
        <w:trPr>
          <w:trHeight w:val="20"/>
        </w:trPr>
        <w:tc>
          <w:tcPr>
            <w:tcW w:w="5669" w:type="dxa"/>
            <w:shd w:val="clear" w:color="auto" w:fill="auto"/>
            <w:noWrap/>
            <w:vAlign w:val="bottom"/>
          </w:tcPr>
          <w:p w14:paraId="4B57DD05" w14:textId="77777777" w:rsidR="00C863F0" w:rsidRPr="009B158F" w:rsidRDefault="00C863F0" w:rsidP="00CA3ADF">
            <w:pPr>
              <w:spacing w:before="40"/>
              <w:rPr>
                <w:color w:val="000000"/>
                <w:sz w:val="22"/>
                <w:szCs w:val="22"/>
              </w:rPr>
            </w:pPr>
            <w:r w:rsidRPr="009B158F">
              <w:rPr>
                <w:color w:val="000000"/>
                <w:sz w:val="22"/>
                <w:szCs w:val="22"/>
              </w:rPr>
              <w:t>Share of equity in the associate</w:t>
            </w:r>
          </w:p>
        </w:tc>
        <w:tc>
          <w:tcPr>
            <w:tcW w:w="1543" w:type="dxa"/>
            <w:tcBorders>
              <w:top w:val="double" w:sz="4" w:space="0" w:color="auto"/>
              <w:bottom w:val="double" w:sz="4" w:space="0" w:color="auto"/>
            </w:tcBorders>
            <w:shd w:val="clear" w:color="auto" w:fill="auto"/>
            <w:noWrap/>
          </w:tcPr>
          <w:p w14:paraId="04C6E907" w14:textId="77777777" w:rsidR="00C863F0" w:rsidRPr="00EC481C" w:rsidRDefault="00C863F0" w:rsidP="00CA3ADF">
            <w:pPr>
              <w:spacing w:before="40"/>
              <w:jc w:val="right"/>
              <w:rPr>
                <w:sz w:val="22"/>
                <w:szCs w:val="22"/>
                <w:lang w:bidi="he-IL"/>
              </w:rPr>
            </w:pPr>
            <w:r w:rsidRPr="00EC481C">
              <w:rPr>
                <w:sz w:val="22"/>
                <w:szCs w:val="22"/>
              </w:rPr>
              <w:t xml:space="preserve"> 125,980 </w:t>
            </w:r>
          </w:p>
        </w:tc>
        <w:tc>
          <w:tcPr>
            <w:tcW w:w="142" w:type="dxa"/>
          </w:tcPr>
          <w:p w14:paraId="5DE66DB5" w14:textId="77777777" w:rsidR="00C863F0" w:rsidRPr="00EC481C" w:rsidRDefault="00C863F0" w:rsidP="00CA3ADF">
            <w:pPr>
              <w:spacing w:before="40"/>
              <w:jc w:val="right"/>
              <w:rPr>
                <w:sz w:val="22"/>
                <w:szCs w:val="22"/>
              </w:rPr>
            </w:pPr>
          </w:p>
        </w:tc>
        <w:tc>
          <w:tcPr>
            <w:tcW w:w="1276" w:type="dxa"/>
            <w:tcBorders>
              <w:top w:val="double" w:sz="4" w:space="0" w:color="auto"/>
              <w:bottom w:val="double" w:sz="4" w:space="0" w:color="auto"/>
            </w:tcBorders>
            <w:shd w:val="clear" w:color="auto" w:fill="auto"/>
            <w:noWrap/>
          </w:tcPr>
          <w:p w14:paraId="6C0BB37C" w14:textId="77777777" w:rsidR="00C863F0" w:rsidRPr="00EC481C" w:rsidRDefault="00C863F0" w:rsidP="00CA3ADF">
            <w:pPr>
              <w:spacing w:before="40"/>
              <w:jc w:val="right"/>
              <w:rPr>
                <w:sz w:val="22"/>
                <w:szCs w:val="22"/>
              </w:rPr>
            </w:pPr>
            <w:r w:rsidRPr="00EC481C">
              <w:rPr>
                <w:sz w:val="22"/>
                <w:szCs w:val="22"/>
              </w:rPr>
              <w:t xml:space="preserve"> 110,752 </w:t>
            </w:r>
          </w:p>
        </w:tc>
      </w:tr>
      <w:tr w:rsidR="00D01678" w:rsidRPr="00EC481C" w14:paraId="003E3445" w14:textId="77777777" w:rsidTr="006909F2">
        <w:trPr>
          <w:trHeight w:val="20"/>
        </w:trPr>
        <w:tc>
          <w:tcPr>
            <w:tcW w:w="5669" w:type="dxa"/>
            <w:shd w:val="clear" w:color="auto" w:fill="auto"/>
            <w:noWrap/>
            <w:vAlign w:val="bottom"/>
          </w:tcPr>
          <w:p w14:paraId="284C744C" w14:textId="77777777" w:rsidR="00C863F0" w:rsidRPr="00EC481C" w:rsidRDefault="00C863F0" w:rsidP="00CA3ADF">
            <w:pPr>
              <w:spacing w:before="40"/>
              <w:rPr>
                <w:color w:val="000000"/>
                <w:sz w:val="22"/>
                <w:szCs w:val="22"/>
              </w:rPr>
            </w:pPr>
            <w:r w:rsidRPr="00EC481C">
              <w:rPr>
                <w:color w:val="000000"/>
                <w:sz w:val="22"/>
                <w:szCs w:val="22"/>
              </w:rPr>
              <w:t>Percentage of ownership</w:t>
            </w:r>
          </w:p>
        </w:tc>
        <w:tc>
          <w:tcPr>
            <w:tcW w:w="1543" w:type="dxa"/>
            <w:tcBorders>
              <w:top w:val="double" w:sz="4" w:space="0" w:color="auto"/>
            </w:tcBorders>
            <w:shd w:val="clear" w:color="auto" w:fill="auto"/>
            <w:noWrap/>
            <w:vAlign w:val="bottom"/>
          </w:tcPr>
          <w:p w14:paraId="18164175" w14:textId="77777777" w:rsidR="00C863F0" w:rsidRPr="00EC481C" w:rsidRDefault="00C863F0" w:rsidP="00CA3ADF">
            <w:pPr>
              <w:spacing w:before="40"/>
              <w:jc w:val="right"/>
              <w:rPr>
                <w:color w:val="000000"/>
                <w:sz w:val="22"/>
                <w:szCs w:val="22"/>
              </w:rPr>
            </w:pPr>
            <w:r w:rsidRPr="00EC481C">
              <w:rPr>
                <w:color w:val="000000"/>
                <w:sz w:val="22"/>
                <w:szCs w:val="22"/>
              </w:rPr>
              <w:t>70%</w:t>
            </w:r>
          </w:p>
        </w:tc>
        <w:tc>
          <w:tcPr>
            <w:tcW w:w="142" w:type="dxa"/>
          </w:tcPr>
          <w:p w14:paraId="28D9E1AC" w14:textId="77777777" w:rsidR="00C863F0" w:rsidRPr="00EC481C" w:rsidRDefault="00C863F0" w:rsidP="00CA3ADF">
            <w:pPr>
              <w:spacing w:before="40"/>
              <w:jc w:val="right"/>
              <w:rPr>
                <w:color w:val="000000"/>
                <w:sz w:val="22"/>
                <w:szCs w:val="22"/>
              </w:rPr>
            </w:pPr>
          </w:p>
        </w:tc>
        <w:tc>
          <w:tcPr>
            <w:tcW w:w="1276" w:type="dxa"/>
            <w:tcBorders>
              <w:top w:val="double" w:sz="4" w:space="0" w:color="auto"/>
            </w:tcBorders>
            <w:shd w:val="clear" w:color="auto" w:fill="auto"/>
            <w:noWrap/>
            <w:vAlign w:val="bottom"/>
          </w:tcPr>
          <w:p w14:paraId="49B357DA" w14:textId="77777777" w:rsidR="00C863F0" w:rsidRPr="00EC481C" w:rsidRDefault="00C863F0" w:rsidP="00CA3ADF">
            <w:pPr>
              <w:spacing w:before="40"/>
              <w:jc w:val="right"/>
              <w:rPr>
                <w:color w:val="000000"/>
                <w:sz w:val="22"/>
                <w:szCs w:val="22"/>
              </w:rPr>
            </w:pPr>
            <w:r w:rsidRPr="00EC481C">
              <w:rPr>
                <w:color w:val="000000"/>
                <w:sz w:val="22"/>
                <w:szCs w:val="22"/>
              </w:rPr>
              <w:t>70%</w:t>
            </w:r>
          </w:p>
        </w:tc>
      </w:tr>
    </w:tbl>
    <w:p w14:paraId="6D67E805" w14:textId="77777777" w:rsidR="00C863F0" w:rsidRDefault="00C863F0" w:rsidP="00C863F0"/>
    <w:p w14:paraId="463D076C" w14:textId="77777777" w:rsidR="00C863F0" w:rsidRDefault="00C863F0" w:rsidP="00C863F0"/>
    <w:tbl>
      <w:tblPr>
        <w:tblW w:w="8647" w:type="dxa"/>
        <w:tblInd w:w="709" w:type="dxa"/>
        <w:tblLayout w:type="fixed"/>
        <w:tblLook w:val="06A0" w:firstRow="1" w:lastRow="0" w:firstColumn="1" w:lastColumn="0" w:noHBand="1" w:noVBand="1"/>
      </w:tblPr>
      <w:tblGrid>
        <w:gridCol w:w="4066"/>
        <w:gridCol w:w="1547"/>
        <w:gridCol w:w="1548"/>
        <w:gridCol w:w="1486"/>
      </w:tblGrid>
      <w:tr w:rsidR="00C863F0" w:rsidRPr="006B6686" w14:paraId="44749EF9" w14:textId="77777777" w:rsidTr="006909F2">
        <w:trPr>
          <w:cantSplit/>
          <w:trHeight w:val="283"/>
          <w:tblHeader/>
        </w:trPr>
        <w:tc>
          <w:tcPr>
            <w:tcW w:w="4066" w:type="dxa"/>
            <w:shd w:val="clear" w:color="auto" w:fill="auto"/>
            <w:vAlign w:val="bottom"/>
            <w:hideMark/>
          </w:tcPr>
          <w:p w14:paraId="2E5288FC" w14:textId="77777777" w:rsidR="00C863F0" w:rsidRPr="002B51C1" w:rsidRDefault="00C863F0" w:rsidP="00CA3ADF">
            <w:pPr>
              <w:spacing w:before="40"/>
              <w:rPr>
                <w:rFonts w:ascii="Arial" w:eastAsia="Arial" w:hAnsi="Arial" w:cs="Arial"/>
                <w:sz w:val="20"/>
              </w:rPr>
            </w:pPr>
          </w:p>
        </w:tc>
        <w:tc>
          <w:tcPr>
            <w:tcW w:w="4581" w:type="dxa"/>
            <w:gridSpan w:val="3"/>
            <w:shd w:val="clear" w:color="auto" w:fill="auto"/>
            <w:noWrap/>
            <w:vAlign w:val="bottom"/>
            <w:hideMark/>
          </w:tcPr>
          <w:p w14:paraId="2F5E01B7" w14:textId="77777777" w:rsidR="00C863F0" w:rsidRPr="006B6686" w:rsidRDefault="00C863F0" w:rsidP="00CA3ADF">
            <w:pPr>
              <w:pBdr>
                <w:bottom w:val="single" w:sz="4" w:space="0" w:color="000000"/>
              </w:pBdr>
              <w:jc w:val="center"/>
              <w:rPr>
                <w:rStyle w:val="Koteret"/>
                <w:rFonts w:cs="Miriam"/>
                <w:bCs/>
                <w:sz w:val="20"/>
              </w:rPr>
            </w:pPr>
            <w:r w:rsidRPr="006B6686">
              <w:rPr>
                <w:rStyle w:val="Koteret"/>
                <w:rFonts w:cs="Miriam"/>
                <w:bCs/>
                <w:sz w:val="20"/>
              </w:rPr>
              <w:t>For the year ended December 31,</w:t>
            </w:r>
          </w:p>
        </w:tc>
      </w:tr>
      <w:tr w:rsidR="00C863F0" w:rsidRPr="006B6686" w14:paraId="51D83758" w14:textId="77777777" w:rsidTr="006909F2">
        <w:trPr>
          <w:cantSplit/>
          <w:trHeight w:val="283"/>
          <w:tblHeader/>
        </w:trPr>
        <w:tc>
          <w:tcPr>
            <w:tcW w:w="4066" w:type="dxa"/>
            <w:shd w:val="clear" w:color="auto" w:fill="auto"/>
            <w:vAlign w:val="bottom"/>
            <w:hideMark/>
          </w:tcPr>
          <w:p w14:paraId="490399F6" w14:textId="77777777" w:rsidR="00C863F0" w:rsidRPr="002B51C1" w:rsidRDefault="00C863F0" w:rsidP="00CA3ADF">
            <w:pPr>
              <w:spacing w:before="40"/>
              <w:rPr>
                <w:rFonts w:ascii="Arial" w:eastAsia="Arial" w:hAnsi="Arial" w:cs="Arial"/>
                <w:sz w:val="20"/>
              </w:rPr>
            </w:pPr>
          </w:p>
        </w:tc>
        <w:tc>
          <w:tcPr>
            <w:tcW w:w="1547" w:type="dxa"/>
            <w:shd w:val="clear" w:color="auto" w:fill="auto"/>
            <w:vAlign w:val="bottom"/>
            <w:hideMark/>
          </w:tcPr>
          <w:p w14:paraId="2A36549A" w14:textId="77777777" w:rsidR="00C863F0" w:rsidRPr="006B6686" w:rsidRDefault="00C863F0" w:rsidP="00CA3ADF">
            <w:pPr>
              <w:pBdr>
                <w:bottom w:val="single" w:sz="4" w:space="0" w:color="000000"/>
              </w:pBdr>
              <w:jc w:val="center"/>
              <w:rPr>
                <w:rStyle w:val="Koteret"/>
                <w:rFonts w:cs="Miriam"/>
                <w:bCs/>
                <w:sz w:val="20"/>
              </w:rPr>
            </w:pPr>
            <w:r w:rsidRPr="006B6686">
              <w:rPr>
                <w:rStyle w:val="Koteret"/>
                <w:rFonts w:cs="Miriam"/>
                <w:bCs/>
                <w:sz w:val="20"/>
              </w:rPr>
              <w:t>202</w:t>
            </w:r>
            <w:r>
              <w:rPr>
                <w:rStyle w:val="Koteret"/>
                <w:rFonts w:cs="Miriam"/>
                <w:bCs/>
                <w:sz w:val="20"/>
              </w:rPr>
              <w:t>4</w:t>
            </w:r>
          </w:p>
        </w:tc>
        <w:tc>
          <w:tcPr>
            <w:tcW w:w="1548" w:type="dxa"/>
            <w:shd w:val="clear" w:color="auto" w:fill="auto"/>
            <w:vAlign w:val="bottom"/>
            <w:hideMark/>
          </w:tcPr>
          <w:p w14:paraId="01585072" w14:textId="77777777" w:rsidR="00C863F0" w:rsidRPr="006B6686" w:rsidRDefault="00C863F0" w:rsidP="00CA3ADF">
            <w:pPr>
              <w:pBdr>
                <w:bottom w:val="single" w:sz="4" w:space="0" w:color="000000"/>
              </w:pBdr>
              <w:jc w:val="center"/>
              <w:rPr>
                <w:rStyle w:val="Koteret"/>
                <w:rFonts w:cs="Miriam"/>
                <w:bCs/>
                <w:sz w:val="20"/>
              </w:rPr>
            </w:pPr>
            <w:r>
              <w:rPr>
                <w:rStyle w:val="Koteret"/>
                <w:rFonts w:cs="Miriam"/>
                <w:bCs/>
                <w:sz w:val="20"/>
              </w:rPr>
              <w:t>2023</w:t>
            </w:r>
          </w:p>
        </w:tc>
        <w:tc>
          <w:tcPr>
            <w:tcW w:w="1486" w:type="dxa"/>
            <w:shd w:val="clear" w:color="auto" w:fill="auto"/>
            <w:vAlign w:val="bottom"/>
            <w:hideMark/>
          </w:tcPr>
          <w:p w14:paraId="3412D73E" w14:textId="77777777" w:rsidR="00C863F0" w:rsidRPr="006B6686" w:rsidRDefault="00C863F0" w:rsidP="00CA3ADF">
            <w:pPr>
              <w:pBdr>
                <w:bottom w:val="single" w:sz="4" w:space="0" w:color="000000"/>
              </w:pBdr>
              <w:jc w:val="center"/>
              <w:rPr>
                <w:rStyle w:val="Koteret"/>
                <w:rFonts w:cs="Miriam"/>
                <w:bCs/>
                <w:sz w:val="20"/>
              </w:rPr>
            </w:pPr>
            <w:r>
              <w:rPr>
                <w:rStyle w:val="Koteret"/>
                <w:rFonts w:cs="Miriam"/>
                <w:bCs/>
                <w:sz w:val="20"/>
              </w:rPr>
              <w:t>2022</w:t>
            </w:r>
          </w:p>
        </w:tc>
      </w:tr>
      <w:tr w:rsidR="00C863F0" w:rsidRPr="002B51C1" w14:paraId="74331222" w14:textId="77777777" w:rsidTr="006909F2">
        <w:trPr>
          <w:trHeight w:val="283"/>
        </w:trPr>
        <w:tc>
          <w:tcPr>
            <w:tcW w:w="4066" w:type="dxa"/>
            <w:shd w:val="clear" w:color="auto" w:fill="auto"/>
            <w:vAlign w:val="bottom"/>
          </w:tcPr>
          <w:p w14:paraId="6ED01DCB" w14:textId="77777777" w:rsidR="00C863F0" w:rsidRPr="008E01C5" w:rsidRDefault="00C863F0" w:rsidP="00CA3ADF">
            <w:pPr>
              <w:spacing w:before="40"/>
              <w:rPr>
                <w:color w:val="000000"/>
                <w:sz w:val="22"/>
                <w:szCs w:val="22"/>
              </w:rPr>
            </w:pPr>
          </w:p>
        </w:tc>
        <w:tc>
          <w:tcPr>
            <w:tcW w:w="1547" w:type="dxa"/>
            <w:shd w:val="clear" w:color="auto" w:fill="auto"/>
            <w:noWrap/>
            <w:vAlign w:val="bottom"/>
          </w:tcPr>
          <w:p w14:paraId="4113EFC7" w14:textId="77777777" w:rsidR="00C863F0" w:rsidRPr="00F17AF6" w:rsidRDefault="00C863F0" w:rsidP="00CA3ADF">
            <w:pPr>
              <w:spacing w:before="40"/>
              <w:jc w:val="right"/>
              <w:rPr>
                <w:sz w:val="22"/>
                <w:szCs w:val="22"/>
              </w:rPr>
            </w:pPr>
          </w:p>
        </w:tc>
        <w:tc>
          <w:tcPr>
            <w:tcW w:w="1548" w:type="dxa"/>
            <w:shd w:val="clear" w:color="auto" w:fill="auto"/>
            <w:noWrap/>
            <w:vAlign w:val="bottom"/>
          </w:tcPr>
          <w:p w14:paraId="34E28906" w14:textId="77777777" w:rsidR="00C863F0" w:rsidRDefault="00C863F0" w:rsidP="00CA3ADF">
            <w:pPr>
              <w:spacing w:before="40"/>
              <w:jc w:val="right"/>
              <w:rPr>
                <w:sz w:val="22"/>
                <w:szCs w:val="22"/>
              </w:rPr>
            </w:pPr>
          </w:p>
        </w:tc>
        <w:tc>
          <w:tcPr>
            <w:tcW w:w="1486" w:type="dxa"/>
            <w:shd w:val="clear" w:color="auto" w:fill="auto"/>
            <w:noWrap/>
            <w:vAlign w:val="bottom"/>
          </w:tcPr>
          <w:p w14:paraId="71AF7BF3" w14:textId="77777777" w:rsidR="00C863F0" w:rsidRPr="006B6686" w:rsidRDefault="00C863F0" w:rsidP="00CA3ADF">
            <w:pPr>
              <w:spacing w:before="40"/>
              <w:jc w:val="right"/>
              <w:rPr>
                <w:sz w:val="22"/>
                <w:szCs w:val="22"/>
              </w:rPr>
            </w:pPr>
          </w:p>
        </w:tc>
      </w:tr>
      <w:tr w:rsidR="00C863F0" w:rsidRPr="002B51C1" w14:paraId="6CEDD55D" w14:textId="77777777" w:rsidTr="006909F2">
        <w:trPr>
          <w:trHeight w:val="283"/>
        </w:trPr>
        <w:tc>
          <w:tcPr>
            <w:tcW w:w="4066" w:type="dxa"/>
            <w:shd w:val="clear" w:color="auto" w:fill="auto"/>
            <w:vAlign w:val="bottom"/>
            <w:hideMark/>
          </w:tcPr>
          <w:p w14:paraId="5A4E87E0" w14:textId="77777777" w:rsidR="00C863F0" w:rsidRPr="00D01678" w:rsidRDefault="00C863F0" w:rsidP="00CA3ADF">
            <w:pPr>
              <w:spacing w:before="40"/>
              <w:rPr>
                <w:sz w:val="22"/>
                <w:szCs w:val="22"/>
              </w:rPr>
            </w:pPr>
            <w:r w:rsidRPr="00D01678">
              <w:rPr>
                <w:color w:val="000000"/>
                <w:sz w:val="22"/>
                <w:szCs w:val="22"/>
              </w:rPr>
              <w:t xml:space="preserve">Net valuation gains </w:t>
            </w:r>
          </w:p>
        </w:tc>
        <w:tc>
          <w:tcPr>
            <w:tcW w:w="1547" w:type="dxa"/>
            <w:shd w:val="clear" w:color="auto" w:fill="auto"/>
            <w:noWrap/>
            <w:vAlign w:val="bottom"/>
          </w:tcPr>
          <w:p w14:paraId="11BF7146" w14:textId="77777777" w:rsidR="00C863F0" w:rsidRPr="00D01678" w:rsidRDefault="00C863F0" w:rsidP="00CA3ADF">
            <w:pPr>
              <w:pBdr>
                <w:bottom w:val="double" w:sz="4" w:space="1" w:color="auto"/>
              </w:pBdr>
              <w:spacing w:before="40"/>
              <w:jc w:val="right"/>
              <w:rPr>
                <w:sz w:val="22"/>
                <w:szCs w:val="22"/>
                <w:highlight w:val="yellow"/>
              </w:rPr>
            </w:pPr>
            <w:r w:rsidRPr="00D01678">
              <w:rPr>
                <w:sz w:val="22"/>
                <w:szCs w:val="22"/>
              </w:rPr>
              <w:t>39,133</w:t>
            </w:r>
          </w:p>
        </w:tc>
        <w:tc>
          <w:tcPr>
            <w:tcW w:w="1548" w:type="dxa"/>
            <w:shd w:val="clear" w:color="auto" w:fill="auto"/>
            <w:noWrap/>
            <w:vAlign w:val="bottom"/>
          </w:tcPr>
          <w:p w14:paraId="7869362F" w14:textId="77777777" w:rsidR="00C863F0" w:rsidRPr="00D01678" w:rsidRDefault="00C863F0" w:rsidP="00CA3ADF">
            <w:pPr>
              <w:pBdr>
                <w:bottom w:val="double" w:sz="4" w:space="1" w:color="auto"/>
              </w:pBdr>
              <w:spacing w:before="40"/>
              <w:jc w:val="right"/>
              <w:rPr>
                <w:sz w:val="22"/>
                <w:szCs w:val="22"/>
              </w:rPr>
            </w:pPr>
            <w:r w:rsidRPr="00D01678">
              <w:rPr>
                <w:sz w:val="22"/>
                <w:szCs w:val="22"/>
              </w:rPr>
              <w:t>2,311</w:t>
            </w:r>
          </w:p>
        </w:tc>
        <w:tc>
          <w:tcPr>
            <w:tcW w:w="1486" w:type="dxa"/>
            <w:shd w:val="clear" w:color="auto" w:fill="auto"/>
            <w:noWrap/>
            <w:vAlign w:val="bottom"/>
          </w:tcPr>
          <w:p w14:paraId="7750AC45" w14:textId="77777777" w:rsidR="00C863F0" w:rsidRPr="00D01678" w:rsidRDefault="00C863F0" w:rsidP="00CA3ADF">
            <w:pPr>
              <w:pBdr>
                <w:bottom w:val="double" w:sz="4" w:space="1" w:color="auto"/>
              </w:pBdr>
              <w:spacing w:before="40"/>
              <w:jc w:val="right"/>
              <w:rPr>
                <w:sz w:val="22"/>
                <w:szCs w:val="22"/>
              </w:rPr>
            </w:pPr>
            <w:r w:rsidRPr="00D01678">
              <w:rPr>
                <w:sz w:val="22"/>
                <w:szCs w:val="22"/>
              </w:rPr>
              <w:t>-</w:t>
            </w:r>
          </w:p>
        </w:tc>
      </w:tr>
      <w:tr w:rsidR="00C863F0" w:rsidRPr="002B51C1" w14:paraId="5DFAFAAC" w14:textId="77777777" w:rsidTr="006909F2">
        <w:trPr>
          <w:trHeight w:val="283"/>
        </w:trPr>
        <w:tc>
          <w:tcPr>
            <w:tcW w:w="4066" w:type="dxa"/>
            <w:shd w:val="clear" w:color="auto" w:fill="auto"/>
            <w:vAlign w:val="bottom"/>
          </w:tcPr>
          <w:p w14:paraId="7B1F4C30" w14:textId="77777777" w:rsidR="00C863F0" w:rsidRPr="00D01678" w:rsidRDefault="00C863F0" w:rsidP="00CA3ADF">
            <w:pPr>
              <w:spacing w:before="40"/>
              <w:rPr>
                <w:sz w:val="22"/>
                <w:szCs w:val="22"/>
              </w:rPr>
            </w:pPr>
          </w:p>
        </w:tc>
        <w:tc>
          <w:tcPr>
            <w:tcW w:w="1547" w:type="dxa"/>
            <w:shd w:val="clear" w:color="auto" w:fill="auto"/>
            <w:noWrap/>
            <w:vAlign w:val="bottom"/>
          </w:tcPr>
          <w:p w14:paraId="7ABAD3EE" w14:textId="77777777" w:rsidR="00C863F0" w:rsidRPr="00D01678" w:rsidRDefault="00C863F0" w:rsidP="00CA3ADF">
            <w:pPr>
              <w:spacing w:before="40"/>
              <w:jc w:val="right"/>
              <w:rPr>
                <w:sz w:val="22"/>
                <w:szCs w:val="22"/>
                <w:highlight w:val="yellow"/>
              </w:rPr>
            </w:pPr>
          </w:p>
        </w:tc>
        <w:tc>
          <w:tcPr>
            <w:tcW w:w="1548" w:type="dxa"/>
            <w:shd w:val="clear" w:color="auto" w:fill="auto"/>
            <w:noWrap/>
            <w:vAlign w:val="bottom"/>
          </w:tcPr>
          <w:p w14:paraId="6C615376" w14:textId="77777777" w:rsidR="00C863F0" w:rsidRPr="00D01678" w:rsidRDefault="00C863F0" w:rsidP="00CA3ADF">
            <w:pPr>
              <w:spacing w:before="40"/>
              <w:jc w:val="right"/>
              <w:rPr>
                <w:sz w:val="22"/>
                <w:szCs w:val="22"/>
              </w:rPr>
            </w:pPr>
          </w:p>
        </w:tc>
        <w:tc>
          <w:tcPr>
            <w:tcW w:w="1486" w:type="dxa"/>
            <w:shd w:val="clear" w:color="auto" w:fill="auto"/>
            <w:noWrap/>
            <w:vAlign w:val="bottom"/>
          </w:tcPr>
          <w:p w14:paraId="6CCBB566" w14:textId="77777777" w:rsidR="00C863F0" w:rsidRPr="00D01678" w:rsidRDefault="00C863F0" w:rsidP="00CA3ADF">
            <w:pPr>
              <w:spacing w:before="40"/>
              <w:jc w:val="right"/>
              <w:rPr>
                <w:sz w:val="22"/>
                <w:szCs w:val="22"/>
              </w:rPr>
            </w:pPr>
          </w:p>
        </w:tc>
      </w:tr>
      <w:tr w:rsidR="00C863F0" w:rsidRPr="002B51C1" w14:paraId="2A6B3326" w14:textId="77777777" w:rsidTr="006909F2">
        <w:trPr>
          <w:trHeight w:val="283"/>
        </w:trPr>
        <w:tc>
          <w:tcPr>
            <w:tcW w:w="4066" w:type="dxa"/>
            <w:shd w:val="clear" w:color="auto" w:fill="auto"/>
            <w:vAlign w:val="bottom"/>
            <w:hideMark/>
          </w:tcPr>
          <w:p w14:paraId="006F72A1" w14:textId="046A1E94" w:rsidR="00C863F0" w:rsidRPr="00D01678" w:rsidRDefault="00C863F0" w:rsidP="00CA3ADF">
            <w:pPr>
              <w:spacing w:before="40"/>
              <w:rPr>
                <w:sz w:val="22"/>
                <w:szCs w:val="22"/>
              </w:rPr>
            </w:pPr>
            <w:r w:rsidRPr="00D01678">
              <w:rPr>
                <w:color w:val="000000"/>
                <w:sz w:val="22"/>
                <w:szCs w:val="22"/>
              </w:rPr>
              <w:t xml:space="preserve">Net profit </w:t>
            </w:r>
            <w:r w:rsidR="00D01678" w:rsidRPr="00D01678">
              <w:rPr>
                <w:color w:val="000000"/>
                <w:sz w:val="22"/>
                <w:szCs w:val="22"/>
              </w:rPr>
              <w:t xml:space="preserve">(loss) </w:t>
            </w:r>
            <w:r w:rsidRPr="00D01678">
              <w:rPr>
                <w:color w:val="000000"/>
                <w:sz w:val="22"/>
                <w:szCs w:val="22"/>
              </w:rPr>
              <w:t xml:space="preserve">for the year </w:t>
            </w:r>
          </w:p>
        </w:tc>
        <w:tc>
          <w:tcPr>
            <w:tcW w:w="1547" w:type="dxa"/>
            <w:shd w:val="clear" w:color="auto" w:fill="auto"/>
            <w:noWrap/>
            <w:vAlign w:val="bottom"/>
          </w:tcPr>
          <w:p w14:paraId="4E8D2B4E" w14:textId="77777777" w:rsidR="00C863F0" w:rsidRPr="00D01678" w:rsidRDefault="00C863F0" w:rsidP="00CA3ADF">
            <w:pPr>
              <w:pBdr>
                <w:bottom w:val="double" w:sz="4" w:space="1" w:color="auto"/>
              </w:pBdr>
              <w:spacing w:before="40"/>
              <w:jc w:val="right"/>
              <w:rPr>
                <w:sz w:val="22"/>
                <w:szCs w:val="22"/>
                <w:highlight w:val="yellow"/>
              </w:rPr>
            </w:pPr>
            <w:r w:rsidRPr="00D01678">
              <w:rPr>
                <w:sz w:val="22"/>
                <w:szCs w:val="22"/>
              </w:rPr>
              <w:t>34,197</w:t>
            </w:r>
          </w:p>
        </w:tc>
        <w:tc>
          <w:tcPr>
            <w:tcW w:w="1548" w:type="dxa"/>
            <w:shd w:val="clear" w:color="auto" w:fill="auto"/>
            <w:noWrap/>
            <w:vAlign w:val="bottom"/>
          </w:tcPr>
          <w:p w14:paraId="18C33E9C" w14:textId="77777777" w:rsidR="00C863F0" w:rsidRPr="00D01678" w:rsidRDefault="00C863F0" w:rsidP="00CA3ADF">
            <w:pPr>
              <w:pBdr>
                <w:bottom w:val="double" w:sz="4" w:space="1" w:color="auto"/>
              </w:pBdr>
              <w:spacing w:before="40"/>
              <w:jc w:val="right"/>
              <w:rPr>
                <w:sz w:val="22"/>
                <w:szCs w:val="22"/>
              </w:rPr>
            </w:pPr>
            <w:r w:rsidRPr="00D01678">
              <w:rPr>
                <w:sz w:val="22"/>
                <w:szCs w:val="22"/>
              </w:rPr>
              <w:t>(29)</w:t>
            </w:r>
          </w:p>
        </w:tc>
        <w:tc>
          <w:tcPr>
            <w:tcW w:w="1486" w:type="dxa"/>
            <w:shd w:val="clear" w:color="auto" w:fill="auto"/>
            <w:noWrap/>
            <w:vAlign w:val="bottom"/>
          </w:tcPr>
          <w:p w14:paraId="15459B80" w14:textId="77777777" w:rsidR="00C863F0" w:rsidRPr="00D01678" w:rsidRDefault="00C863F0" w:rsidP="00CA3ADF">
            <w:pPr>
              <w:pBdr>
                <w:bottom w:val="double" w:sz="4" w:space="1" w:color="auto"/>
              </w:pBdr>
              <w:spacing w:before="40"/>
              <w:jc w:val="right"/>
              <w:rPr>
                <w:sz w:val="22"/>
                <w:szCs w:val="22"/>
              </w:rPr>
            </w:pPr>
            <w:r w:rsidRPr="00D01678">
              <w:rPr>
                <w:sz w:val="22"/>
                <w:szCs w:val="22"/>
              </w:rPr>
              <w:t>(1,714)</w:t>
            </w:r>
          </w:p>
        </w:tc>
      </w:tr>
      <w:tr w:rsidR="00C863F0" w:rsidRPr="002B51C1" w14:paraId="2E9E4C85" w14:textId="77777777" w:rsidTr="006909F2">
        <w:trPr>
          <w:trHeight w:val="283"/>
        </w:trPr>
        <w:tc>
          <w:tcPr>
            <w:tcW w:w="4066" w:type="dxa"/>
            <w:shd w:val="clear" w:color="auto" w:fill="auto"/>
            <w:vAlign w:val="bottom"/>
          </w:tcPr>
          <w:p w14:paraId="6D9614BD" w14:textId="77777777" w:rsidR="00C863F0" w:rsidRPr="00D01678" w:rsidRDefault="00C863F0" w:rsidP="00CA3ADF">
            <w:pPr>
              <w:spacing w:before="40"/>
              <w:rPr>
                <w:sz w:val="22"/>
                <w:szCs w:val="22"/>
              </w:rPr>
            </w:pPr>
          </w:p>
        </w:tc>
        <w:tc>
          <w:tcPr>
            <w:tcW w:w="1547" w:type="dxa"/>
            <w:shd w:val="clear" w:color="auto" w:fill="auto"/>
            <w:noWrap/>
            <w:vAlign w:val="bottom"/>
          </w:tcPr>
          <w:p w14:paraId="31A691FE" w14:textId="77777777" w:rsidR="00C863F0" w:rsidRPr="00D01678" w:rsidRDefault="00C863F0" w:rsidP="00CA3ADF">
            <w:pPr>
              <w:spacing w:before="40"/>
              <w:jc w:val="right"/>
              <w:rPr>
                <w:sz w:val="22"/>
                <w:szCs w:val="22"/>
                <w:highlight w:val="yellow"/>
              </w:rPr>
            </w:pPr>
          </w:p>
        </w:tc>
        <w:tc>
          <w:tcPr>
            <w:tcW w:w="1548" w:type="dxa"/>
            <w:shd w:val="clear" w:color="auto" w:fill="auto"/>
            <w:noWrap/>
            <w:vAlign w:val="bottom"/>
          </w:tcPr>
          <w:p w14:paraId="5E3B9683" w14:textId="77777777" w:rsidR="00C863F0" w:rsidRPr="00D01678" w:rsidRDefault="00C863F0" w:rsidP="00CA3ADF">
            <w:pPr>
              <w:spacing w:before="40"/>
              <w:jc w:val="right"/>
              <w:rPr>
                <w:sz w:val="22"/>
                <w:szCs w:val="22"/>
              </w:rPr>
            </w:pPr>
          </w:p>
        </w:tc>
        <w:tc>
          <w:tcPr>
            <w:tcW w:w="1486" w:type="dxa"/>
            <w:shd w:val="clear" w:color="auto" w:fill="auto"/>
            <w:noWrap/>
            <w:vAlign w:val="bottom"/>
          </w:tcPr>
          <w:p w14:paraId="2F0A063E" w14:textId="77777777" w:rsidR="00C863F0" w:rsidRPr="00D01678" w:rsidRDefault="00C863F0" w:rsidP="00CA3ADF">
            <w:pPr>
              <w:spacing w:before="40"/>
              <w:jc w:val="right"/>
              <w:rPr>
                <w:sz w:val="22"/>
                <w:szCs w:val="22"/>
              </w:rPr>
            </w:pPr>
          </w:p>
        </w:tc>
      </w:tr>
      <w:tr w:rsidR="00C863F0" w:rsidRPr="002B51C1" w14:paraId="537DDE24" w14:textId="77777777" w:rsidTr="006909F2">
        <w:trPr>
          <w:trHeight w:val="283"/>
        </w:trPr>
        <w:tc>
          <w:tcPr>
            <w:tcW w:w="4066" w:type="dxa"/>
            <w:shd w:val="clear" w:color="auto" w:fill="auto"/>
            <w:vAlign w:val="bottom"/>
          </w:tcPr>
          <w:p w14:paraId="09EA558C" w14:textId="77777777" w:rsidR="00C863F0" w:rsidRPr="00D01678" w:rsidRDefault="00C863F0" w:rsidP="00CA3ADF">
            <w:pPr>
              <w:spacing w:before="40"/>
              <w:rPr>
                <w:sz w:val="22"/>
                <w:szCs w:val="22"/>
              </w:rPr>
            </w:pPr>
            <w:r w:rsidRPr="00D01678">
              <w:rPr>
                <w:sz w:val="22"/>
                <w:szCs w:val="22"/>
              </w:rPr>
              <w:t>Percentage of ownership</w:t>
            </w:r>
          </w:p>
        </w:tc>
        <w:tc>
          <w:tcPr>
            <w:tcW w:w="1547" w:type="dxa"/>
            <w:shd w:val="clear" w:color="auto" w:fill="auto"/>
            <w:noWrap/>
            <w:vAlign w:val="bottom"/>
          </w:tcPr>
          <w:p w14:paraId="7DE09D6B" w14:textId="77777777" w:rsidR="00C863F0" w:rsidRPr="00D01678" w:rsidRDefault="00C863F0" w:rsidP="00CA3ADF">
            <w:pPr>
              <w:pBdr>
                <w:bottom w:val="double" w:sz="4" w:space="1" w:color="auto"/>
              </w:pBdr>
              <w:spacing w:before="40"/>
              <w:jc w:val="right"/>
              <w:rPr>
                <w:sz w:val="22"/>
                <w:szCs w:val="22"/>
              </w:rPr>
            </w:pPr>
            <w:r w:rsidRPr="00D01678">
              <w:rPr>
                <w:sz w:val="22"/>
                <w:szCs w:val="22"/>
              </w:rPr>
              <w:t>70%</w:t>
            </w:r>
          </w:p>
        </w:tc>
        <w:tc>
          <w:tcPr>
            <w:tcW w:w="1548" w:type="dxa"/>
            <w:shd w:val="clear" w:color="auto" w:fill="auto"/>
            <w:noWrap/>
            <w:vAlign w:val="bottom"/>
          </w:tcPr>
          <w:p w14:paraId="2D040F9A" w14:textId="77777777" w:rsidR="00C863F0" w:rsidRPr="00D01678" w:rsidRDefault="00C863F0" w:rsidP="00CA3ADF">
            <w:pPr>
              <w:pBdr>
                <w:bottom w:val="double" w:sz="4" w:space="1" w:color="auto"/>
              </w:pBdr>
              <w:spacing w:before="40"/>
              <w:jc w:val="right"/>
              <w:rPr>
                <w:sz w:val="22"/>
                <w:szCs w:val="22"/>
              </w:rPr>
            </w:pPr>
            <w:r w:rsidRPr="00D01678">
              <w:rPr>
                <w:sz w:val="22"/>
                <w:szCs w:val="22"/>
              </w:rPr>
              <w:t>70%</w:t>
            </w:r>
          </w:p>
        </w:tc>
        <w:tc>
          <w:tcPr>
            <w:tcW w:w="1486" w:type="dxa"/>
            <w:shd w:val="clear" w:color="auto" w:fill="auto"/>
            <w:noWrap/>
            <w:vAlign w:val="bottom"/>
          </w:tcPr>
          <w:p w14:paraId="0FD758FF" w14:textId="77777777" w:rsidR="00C863F0" w:rsidRPr="00D01678" w:rsidRDefault="00C863F0" w:rsidP="00CA3ADF">
            <w:pPr>
              <w:pBdr>
                <w:bottom w:val="double" w:sz="4" w:space="1" w:color="auto"/>
              </w:pBdr>
              <w:spacing w:before="40"/>
              <w:jc w:val="right"/>
              <w:rPr>
                <w:sz w:val="22"/>
                <w:szCs w:val="22"/>
              </w:rPr>
            </w:pPr>
            <w:r w:rsidRPr="00D01678">
              <w:rPr>
                <w:sz w:val="22"/>
                <w:szCs w:val="22"/>
              </w:rPr>
              <w:t>70%</w:t>
            </w:r>
          </w:p>
        </w:tc>
      </w:tr>
      <w:tr w:rsidR="00C863F0" w:rsidRPr="002B51C1" w14:paraId="2A7DBBD0" w14:textId="77777777" w:rsidTr="006909F2">
        <w:trPr>
          <w:trHeight w:val="283"/>
        </w:trPr>
        <w:tc>
          <w:tcPr>
            <w:tcW w:w="4066" w:type="dxa"/>
            <w:shd w:val="clear" w:color="auto" w:fill="auto"/>
            <w:vAlign w:val="bottom"/>
            <w:hideMark/>
          </w:tcPr>
          <w:p w14:paraId="1EBFEB10" w14:textId="77777777" w:rsidR="00C863F0" w:rsidRPr="00D01678" w:rsidRDefault="00C863F0" w:rsidP="00CA3ADF">
            <w:pPr>
              <w:spacing w:before="40"/>
              <w:rPr>
                <w:sz w:val="22"/>
                <w:szCs w:val="22"/>
              </w:rPr>
            </w:pPr>
            <w:r w:rsidRPr="00E43187">
              <w:rPr>
                <w:rFonts w:cs="Narkisim"/>
                <w:bCs/>
                <w:sz w:val="22"/>
                <w:szCs w:val="22"/>
              </w:rPr>
              <w:t>Company's share of earnings (losses) of associate</w:t>
            </w:r>
          </w:p>
        </w:tc>
        <w:tc>
          <w:tcPr>
            <w:tcW w:w="1547" w:type="dxa"/>
            <w:shd w:val="clear" w:color="auto" w:fill="auto"/>
            <w:noWrap/>
            <w:vAlign w:val="bottom"/>
          </w:tcPr>
          <w:p w14:paraId="43A99270" w14:textId="77777777" w:rsidR="00C863F0" w:rsidRPr="00D01678" w:rsidRDefault="00C863F0" w:rsidP="00CA3ADF">
            <w:pPr>
              <w:pBdr>
                <w:bottom w:val="double" w:sz="4" w:space="0" w:color="000000"/>
              </w:pBdr>
              <w:spacing w:before="40"/>
              <w:jc w:val="right"/>
              <w:rPr>
                <w:sz w:val="22"/>
                <w:szCs w:val="22"/>
                <w:highlight w:val="yellow"/>
              </w:rPr>
            </w:pPr>
            <w:r w:rsidRPr="00D01678">
              <w:rPr>
                <w:sz w:val="22"/>
                <w:szCs w:val="22"/>
              </w:rPr>
              <w:t>23,938</w:t>
            </w:r>
          </w:p>
        </w:tc>
        <w:tc>
          <w:tcPr>
            <w:tcW w:w="1548" w:type="dxa"/>
            <w:shd w:val="clear" w:color="auto" w:fill="auto"/>
            <w:noWrap/>
            <w:vAlign w:val="bottom"/>
          </w:tcPr>
          <w:p w14:paraId="5B63B36B" w14:textId="77777777" w:rsidR="00C863F0" w:rsidRPr="00D01678" w:rsidRDefault="00C863F0" w:rsidP="00CA3ADF">
            <w:pPr>
              <w:pBdr>
                <w:bottom w:val="double" w:sz="4" w:space="0" w:color="000000"/>
              </w:pBdr>
              <w:spacing w:before="40"/>
              <w:jc w:val="right"/>
              <w:rPr>
                <w:sz w:val="22"/>
                <w:szCs w:val="22"/>
              </w:rPr>
            </w:pPr>
            <w:r w:rsidRPr="00D01678">
              <w:rPr>
                <w:sz w:val="22"/>
                <w:szCs w:val="22"/>
              </w:rPr>
              <w:t>(20)</w:t>
            </w:r>
          </w:p>
        </w:tc>
        <w:tc>
          <w:tcPr>
            <w:tcW w:w="1486" w:type="dxa"/>
            <w:shd w:val="clear" w:color="auto" w:fill="auto"/>
            <w:noWrap/>
            <w:vAlign w:val="bottom"/>
          </w:tcPr>
          <w:p w14:paraId="1AE6FCD2" w14:textId="77777777" w:rsidR="00C863F0" w:rsidRPr="00D01678" w:rsidRDefault="00C863F0" w:rsidP="00CA3ADF">
            <w:pPr>
              <w:pBdr>
                <w:bottom w:val="double" w:sz="4" w:space="0" w:color="000000"/>
              </w:pBdr>
              <w:spacing w:before="40"/>
              <w:jc w:val="right"/>
              <w:rPr>
                <w:sz w:val="22"/>
                <w:szCs w:val="22"/>
              </w:rPr>
            </w:pPr>
            <w:r w:rsidRPr="00D01678">
              <w:rPr>
                <w:sz w:val="22"/>
                <w:szCs w:val="22"/>
              </w:rPr>
              <w:t>(1,200)</w:t>
            </w:r>
          </w:p>
        </w:tc>
      </w:tr>
    </w:tbl>
    <w:p w14:paraId="1A820C48" w14:textId="77777777" w:rsidR="00EB5E70" w:rsidRDefault="00EB5E70" w:rsidP="0020502A">
      <w:pPr>
        <w:rPr>
          <w:rFonts w:asciiTheme="majorBidi" w:hAnsiTheme="majorBidi" w:cstheme="majorBidi"/>
          <w:bCs/>
          <w:color w:val="000000"/>
          <w:sz w:val="20"/>
        </w:rPr>
      </w:pPr>
    </w:p>
    <w:p w14:paraId="4B75F3D6" w14:textId="77777777" w:rsidR="00C863F0" w:rsidRDefault="00C863F0" w:rsidP="0020502A">
      <w:pPr>
        <w:rPr>
          <w:rFonts w:asciiTheme="majorBidi" w:hAnsiTheme="majorBidi" w:cstheme="majorBidi"/>
          <w:bCs/>
          <w:color w:val="000000"/>
          <w:sz w:val="20"/>
        </w:rPr>
      </w:pPr>
    </w:p>
    <w:p w14:paraId="1696F39D" w14:textId="77777777" w:rsidR="00C863F0" w:rsidRDefault="00C863F0" w:rsidP="0020502A">
      <w:pPr>
        <w:rPr>
          <w:rFonts w:asciiTheme="majorBidi" w:hAnsiTheme="majorBidi" w:cstheme="majorBidi"/>
          <w:bCs/>
          <w:color w:val="000000"/>
          <w:sz w:val="20"/>
        </w:rPr>
      </w:pPr>
    </w:p>
    <w:p w14:paraId="5BEFCAAB" w14:textId="77777777" w:rsidR="001A02CA" w:rsidRDefault="001A02CA" w:rsidP="0020502A">
      <w:pPr>
        <w:rPr>
          <w:rFonts w:asciiTheme="majorBidi" w:hAnsiTheme="majorBidi" w:cstheme="majorBidi"/>
          <w:bCs/>
          <w:color w:val="000000"/>
          <w:sz w:val="20"/>
        </w:rPr>
      </w:pPr>
    </w:p>
    <w:p w14:paraId="1F105574" w14:textId="77777777" w:rsidR="001A02CA" w:rsidRDefault="001A02CA" w:rsidP="0020502A">
      <w:pPr>
        <w:rPr>
          <w:rFonts w:asciiTheme="majorBidi" w:hAnsiTheme="majorBidi" w:cstheme="majorBidi"/>
          <w:bCs/>
          <w:color w:val="000000"/>
          <w:sz w:val="20"/>
        </w:rPr>
      </w:pPr>
    </w:p>
    <w:p w14:paraId="4507D13A" w14:textId="77777777" w:rsidR="001A02CA" w:rsidRDefault="001A02CA" w:rsidP="0020502A">
      <w:pPr>
        <w:rPr>
          <w:rFonts w:asciiTheme="majorBidi" w:hAnsiTheme="majorBidi" w:cstheme="majorBidi"/>
          <w:bCs/>
          <w:color w:val="000000"/>
          <w:sz w:val="20"/>
        </w:rPr>
      </w:pPr>
    </w:p>
    <w:p w14:paraId="44023788" w14:textId="77777777" w:rsidR="001A02CA" w:rsidRDefault="001A02CA" w:rsidP="0020502A">
      <w:pPr>
        <w:rPr>
          <w:rFonts w:asciiTheme="majorBidi" w:hAnsiTheme="majorBidi" w:cstheme="majorBidi"/>
          <w:bCs/>
          <w:color w:val="000000"/>
          <w:sz w:val="20"/>
        </w:rPr>
      </w:pPr>
    </w:p>
    <w:p w14:paraId="6DB01DBC" w14:textId="77777777" w:rsidR="001A02CA" w:rsidRDefault="001A02CA" w:rsidP="0020502A">
      <w:pPr>
        <w:rPr>
          <w:rFonts w:asciiTheme="majorBidi" w:hAnsiTheme="majorBidi" w:cstheme="majorBidi"/>
          <w:bCs/>
          <w:color w:val="000000"/>
          <w:sz w:val="20"/>
        </w:rPr>
      </w:pPr>
    </w:p>
    <w:p w14:paraId="4C05882D" w14:textId="77777777" w:rsidR="001A02CA" w:rsidRDefault="001A02CA" w:rsidP="0020502A">
      <w:pPr>
        <w:rPr>
          <w:rFonts w:asciiTheme="majorBidi" w:hAnsiTheme="majorBidi" w:cstheme="majorBidi"/>
          <w:bCs/>
          <w:color w:val="000000"/>
          <w:sz w:val="20"/>
        </w:rPr>
      </w:pPr>
    </w:p>
    <w:p w14:paraId="13D7D03E" w14:textId="77777777" w:rsidR="001A02CA" w:rsidRDefault="001A02CA" w:rsidP="0020502A">
      <w:pPr>
        <w:rPr>
          <w:rFonts w:asciiTheme="majorBidi" w:hAnsiTheme="majorBidi" w:cstheme="majorBidi"/>
          <w:bCs/>
          <w:color w:val="000000"/>
          <w:sz w:val="20"/>
        </w:rPr>
      </w:pPr>
    </w:p>
    <w:p w14:paraId="5644E324" w14:textId="77777777" w:rsidR="001A02CA" w:rsidRDefault="001A02CA" w:rsidP="0020502A">
      <w:pPr>
        <w:rPr>
          <w:rFonts w:asciiTheme="majorBidi" w:hAnsiTheme="majorBidi" w:cstheme="majorBidi"/>
          <w:bCs/>
          <w:color w:val="000000"/>
          <w:sz w:val="20"/>
        </w:rPr>
      </w:pPr>
    </w:p>
    <w:p w14:paraId="22C77028" w14:textId="77777777" w:rsidR="001A02CA" w:rsidRDefault="001A02CA" w:rsidP="0020502A">
      <w:pPr>
        <w:rPr>
          <w:rFonts w:asciiTheme="majorBidi" w:hAnsiTheme="majorBidi" w:cstheme="majorBidi"/>
          <w:bCs/>
          <w:color w:val="000000"/>
          <w:sz w:val="20"/>
        </w:rPr>
      </w:pPr>
    </w:p>
    <w:p w14:paraId="56F29C15" w14:textId="77777777" w:rsidR="001A02CA" w:rsidRDefault="001A02CA" w:rsidP="0020502A">
      <w:pPr>
        <w:rPr>
          <w:rFonts w:asciiTheme="majorBidi" w:hAnsiTheme="majorBidi" w:cstheme="majorBidi"/>
          <w:bCs/>
          <w:color w:val="000000"/>
          <w:sz w:val="20"/>
        </w:rPr>
      </w:pPr>
    </w:p>
    <w:p w14:paraId="5D436DFF" w14:textId="77777777" w:rsidR="001A02CA" w:rsidRDefault="001A02CA" w:rsidP="0020502A">
      <w:pPr>
        <w:rPr>
          <w:rFonts w:asciiTheme="majorBidi" w:hAnsiTheme="majorBidi" w:cstheme="majorBidi"/>
          <w:bCs/>
          <w:color w:val="000000"/>
          <w:sz w:val="20"/>
        </w:rPr>
      </w:pPr>
    </w:p>
    <w:p w14:paraId="069EF8B7" w14:textId="77777777" w:rsidR="001A02CA" w:rsidRDefault="001A02CA" w:rsidP="0020502A">
      <w:pPr>
        <w:rPr>
          <w:rFonts w:asciiTheme="majorBidi" w:hAnsiTheme="majorBidi" w:cstheme="majorBidi"/>
          <w:bCs/>
          <w:color w:val="000000"/>
          <w:sz w:val="20"/>
        </w:rPr>
      </w:pPr>
    </w:p>
    <w:p w14:paraId="5E7858AD" w14:textId="77777777" w:rsidR="00D01678" w:rsidRDefault="00D01678" w:rsidP="0020502A">
      <w:pPr>
        <w:rPr>
          <w:rFonts w:asciiTheme="majorBidi" w:hAnsiTheme="majorBidi" w:cstheme="majorBidi"/>
          <w:bCs/>
          <w:color w:val="000000"/>
          <w:sz w:val="20"/>
        </w:rPr>
      </w:pPr>
    </w:p>
    <w:p w14:paraId="77473A1B" w14:textId="77777777" w:rsidR="00D01678" w:rsidRDefault="00D01678" w:rsidP="0020502A">
      <w:pPr>
        <w:rPr>
          <w:rFonts w:asciiTheme="majorBidi" w:hAnsiTheme="majorBidi" w:cstheme="majorBidi"/>
          <w:bCs/>
          <w:color w:val="000000"/>
          <w:sz w:val="20"/>
        </w:rPr>
      </w:pPr>
    </w:p>
    <w:p w14:paraId="13BEF4FD" w14:textId="77777777" w:rsidR="001A02CA" w:rsidRDefault="001A02CA" w:rsidP="0020502A">
      <w:pPr>
        <w:rPr>
          <w:rFonts w:asciiTheme="majorBidi" w:hAnsiTheme="majorBidi" w:cstheme="majorBidi"/>
          <w:bCs/>
          <w:color w:val="000000"/>
          <w:sz w:val="20"/>
        </w:rPr>
      </w:pPr>
    </w:p>
    <w:p w14:paraId="1F85CC32" w14:textId="77777777" w:rsidR="001A02CA" w:rsidRDefault="001A02CA" w:rsidP="0020502A">
      <w:pPr>
        <w:rPr>
          <w:rFonts w:asciiTheme="majorBidi" w:hAnsiTheme="majorBidi" w:cstheme="majorBidi"/>
          <w:bCs/>
          <w:color w:val="000000"/>
          <w:sz w:val="20"/>
        </w:rPr>
      </w:pPr>
    </w:p>
    <w:p w14:paraId="27C560E4" w14:textId="77777777" w:rsidR="001A02CA" w:rsidRDefault="001A02CA" w:rsidP="0020502A">
      <w:pPr>
        <w:rPr>
          <w:rFonts w:asciiTheme="majorBidi" w:hAnsiTheme="majorBidi" w:cstheme="majorBidi"/>
          <w:bCs/>
          <w:color w:val="000000"/>
          <w:sz w:val="20"/>
          <w:rtl/>
        </w:rPr>
      </w:pPr>
    </w:p>
    <w:p w14:paraId="4F3C5D6F" w14:textId="5D80CCF7" w:rsidR="00C35D07" w:rsidRPr="001D55D7" w:rsidRDefault="00E23F46" w:rsidP="000B59AD">
      <w:pPr>
        <w:outlineLvl w:val="2"/>
        <w:rPr>
          <w:bCs/>
          <w:sz w:val="22"/>
          <w:szCs w:val="22"/>
          <w:rtl/>
          <w:lang w:bidi="he-IL"/>
        </w:rPr>
      </w:pPr>
      <w:r w:rsidRPr="001D55D7">
        <w:rPr>
          <w:b/>
          <w:bCs/>
          <w:sz w:val="22"/>
          <w:szCs w:val="22"/>
        </w:rPr>
        <w:t>No</w:t>
      </w:r>
      <w:r w:rsidR="00C35D07" w:rsidRPr="001D55D7">
        <w:rPr>
          <w:b/>
          <w:bCs/>
          <w:sz w:val="22"/>
          <w:szCs w:val="22"/>
        </w:rPr>
        <w:t xml:space="preserve">te </w:t>
      </w:r>
      <w:r w:rsidR="00030CEF" w:rsidRPr="001D55D7">
        <w:rPr>
          <w:b/>
          <w:bCs/>
          <w:sz w:val="22"/>
          <w:szCs w:val="22"/>
        </w:rPr>
        <w:t>5</w:t>
      </w:r>
      <w:r w:rsidR="00C35D07" w:rsidRPr="001D55D7">
        <w:rPr>
          <w:b/>
          <w:bCs/>
          <w:sz w:val="22"/>
          <w:szCs w:val="22"/>
        </w:rPr>
        <w:t xml:space="preserve"> - Investment Propert</w:t>
      </w:r>
      <w:r w:rsidR="005A593E" w:rsidRPr="001D55D7">
        <w:rPr>
          <w:b/>
          <w:bCs/>
          <w:sz w:val="22"/>
          <w:szCs w:val="22"/>
        </w:rPr>
        <w:t>y</w:t>
      </w:r>
    </w:p>
    <w:bookmarkEnd w:id="131"/>
    <w:p w14:paraId="59D95AD1" w14:textId="77777777" w:rsidR="00C35D07" w:rsidRPr="00F02921" w:rsidRDefault="00C35D07" w:rsidP="004A3C21">
      <w:pPr>
        <w:ind w:left="720"/>
        <w:jc w:val="both"/>
        <w:rPr>
          <w:rStyle w:val="Koteret"/>
          <w:b w:val="0"/>
          <w:bCs/>
          <w:sz w:val="22"/>
          <w:szCs w:val="22"/>
        </w:rPr>
      </w:pPr>
    </w:p>
    <w:p w14:paraId="027DE88F" w14:textId="77777777" w:rsidR="00C35D07" w:rsidRPr="00F02921" w:rsidRDefault="00C35D07" w:rsidP="000B59AD">
      <w:pPr>
        <w:ind w:left="567" w:hanging="567"/>
        <w:jc w:val="both"/>
        <w:outlineLvl w:val="3"/>
        <w:rPr>
          <w:b/>
          <w:bCs/>
          <w:sz w:val="22"/>
          <w:szCs w:val="22"/>
        </w:rPr>
      </w:pPr>
      <w:bookmarkStart w:id="132" w:name="H4_AReconciliation_of_carrying_amount"/>
      <w:r w:rsidRPr="00F02921">
        <w:rPr>
          <w:b/>
          <w:bCs/>
          <w:sz w:val="22"/>
          <w:szCs w:val="22"/>
        </w:rPr>
        <w:t>A.</w:t>
      </w:r>
      <w:r w:rsidRPr="00F02921">
        <w:rPr>
          <w:b/>
          <w:bCs/>
          <w:sz w:val="22"/>
          <w:szCs w:val="22"/>
        </w:rPr>
        <w:tab/>
        <w:t>Reconciliation of carrying amount</w:t>
      </w:r>
    </w:p>
    <w:bookmarkEnd w:id="132"/>
    <w:p w14:paraId="334F6741" w14:textId="77777777" w:rsidR="008D5D38" w:rsidRDefault="008D5D38" w:rsidP="008D5D38">
      <w:pPr>
        <w:ind w:left="720"/>
        <w:jc w:val="both"/>
        <w:rPr>
          <w:rStyle w:val="Koteret"/>
          <w:b w:val="0"/>
          <w:bCs/>
          <w:i/>
          <w:iCs/>
        </w:rPr>
      </w:pPr>
    </w:p>
    <w:p w14:paraId="0838F007" w14:textId="77777777" w:rsidR="008D5D38" w:rsidRPr="00F02921" w:rsidRDefault="008D5D38" w:rsidP="008D5D38">
      <w:pPr>
        <w:ind w:left="720"/>
        <w:jc w:val="both"/>
        <w:rPr>
          <w:rStyle w:val="Koteret"/>
          <w:b w:val="0"/>
          <w:bCs/>
          <w:i/>
          <w:iCs/>
        </w:rPr>
      </w:pPr>
      <w:r w:rsidRPr="00F02921">
        <w:rPr>
          <w:rStyle w:val="Koteret"/>
          <w:b w:val="0"/>
          <w:bCs/>
          <w:i/>
          <w:iCs/>
        </w:rPr>
        <w:t>In thousands of Euros</w:t>
      </w:r>
    </w:p>
    <w:tbl>
      <w:tblPr>
        <w:tblW w:w="9202" w:type="dxa"/>
        <w:tblInd w:w="720" w:type="dxa"/>
        <w:tblLayout w:type="fixed"/>
        <w:tblLook w:val="06E0" w:firstRow="1" w:lastRow="1" w:firstColumn="1" w:lastColumn="0" w:noHBand="1" w:noVBand="1"/>
        <w:tblCaption w:val="AHR01"/>
        <w:tblDescription w:val="Reconciliation of carrying amount"/>
      </w:tblPr>
      <w:tblGrid>
        <w:gridCol w:w="6084"/>
        <w:gridCol w:w="1559"/>
        <w:gridCol w:w="1559"/>
      </w:tblGrid>
      <w:tr w:rsidR="00181EE1" w:rsidRPr="008D5D38" w14:paraId="455134E1" w14:textId="77777777" w:rsidTr="006909F2">
        <w:trPr>
          <w:cantSplit/>
          <w:trHeight w:val="283"/>
          <w:tblHeader/>
        </w:trPr>
        <w:tc>
          <w:tcPr>
            <w:tcW w:w="6084" w:type="dxa"/>
            <w:shd w:val="clear" w:color="auto" w:fill="auto"/>
            <w:noWrap/>
            <w:vAlign w:val="bottom"/>
            <w:hideMark/>
          </w:tcPr>
          <w:p w14:paraId="0B5CE4A2" w14:textId="77777777" w:rsidR="001141B2" w:rsidRPr="00866299" w:rsidRDefault="001141B2">
            <w:pPr>
              <w:spacing w:before="40"/>
              <w:rPr>
                <w:rFonts w:ascii="Arial" w:eastAsia="Arial" w:hAnsi="Arial" w:cs="Arial"/>
                <w:sz w:val="20"/>
              </w:rPr>
            </w:pPr>
            <w:bookmarkStart w:id="133" w:name="Title_20" w:colFirst="0" w:colLast="0"/>
          </w:p>
        </w:tc>
        <w:tc>
          <w:tcPr>
            <w:tcW w:w="1559" w:type="dxa"/>
            <w:shd w:val="clear" w:color="auto" w:fill="auto"/>
            <w:vAlign w:val="bottom"/>
            <w:hideMark/>
          </w:tcPr>
          <w:p w14:paraId="05BBD526" w14:textId="70AC04F1" w:rsidR="001141B2" w:rsidRPr="00866299" w:rsidRDefault="00AD1E41" w:rsidP="00C52BA0">
            <w:pPr>
              <w:pBdr>
                <w:bottom w:val="single" w:sz="4" w:space="0" w:color="000000"/>
              </w:pBdr>
              <w:spacing w:before="40"/>
              <w:ind w:left="57"/>
              <w:jc w:val="center"/>
              <w:rPr>
                <w:b/>
                <w:bCs/>
                <w:sz w:val="20"/>
              </w:rPr>
            </w:pPr>
            <w:r>
              <w:rPr>
                <w:b/>
                <w:bCs/>
                <w:color w:val="000000"/>
                <w:sz w:val="20"/>
              </w:rPr>
              <w:t>202</w:t>
            </w:r>
            <w:r w:rsidR="00C52BA0">
              <w:rPr>
                <w:b/>
                <w:bCs/>
                <w:color w:val="000000"/>
                <w:sz w:val="20"/>
              </w:rPr>
              <w:t>4</w:t>
            </w:r>
          </w:p>
        </w:tc>
        <w:tc>
          <w:tcPr>
            <w:tcW w:w="1559" w:type="dxa"/>
            <w:shd w:val="clear" w:color="auto" w:fill="auto"/>
            <w:vAlign w:val="bottom"/>
            <w:hideMark/>
          </w:tcPr>
          <w:p w14:paraId="11ECD26C" w14:textId="38160DA7" w:rsidR="001141B2" w:rsidRPr="00866299" w:rsidRDefault="00AD1E41" w:rsidP="00C52BA0">
            <w:pPr>
              <w:pBdr>
                <w:bottom w:val="single" w:sz="4" w:space="0" w:color="000000"/>
              </w:pBdr>
              <w:spacing w:before="40"/>
              <w:ind w:left="57"/>
              <w:jc w:val="center"/>
              <w:rPr>
                <w:b/>
                <w:bCs/>
                <w:sz w:val="20"/>
                <w:lang w:bidi="he-IL"/>
              </w:rPr>
            </w:pPr>
            <w:r>
              <w:rPr>
                <w:b/>
                <w:bCs/>
                <w:color w:val="000000"/>
                <w:sz w:val="20"/>
              </w:rPr>
              <w:t>202</w:t>
            </w:r>
            <w:r w:rsidR="00C52BA0">
              <w:rPr>
                <w:b/>
                <w:bCs/>
                <w:sz w:val="20"/>
                <w:lang w:bidi="he-IL"/>
              </w:rPr>
              <w:t>3</w:t>
            </w:r>
          </w:p>
        </w:tc>
      </w:tr>
      <w:bookmarkEnd w:id="133"/>
      <w:tr w:rsidR="00C52BA0" w:rsidRPr="008D5D38" w14:paraId="34D2BC81" w14:textId="77777777" w:rsidTr="006909F2">
        <w:trPr>
          <w:trHeight w:val="283"/>
        </w:trPr>
        <w:tc>
          <w:tcPr>
            <w:tcW w:w="6084" w:type="dxa"/>
            <w:shd w:val="clear" w:color="auto" w:fill="auto"/>
            <w:noWrap/>
            <w:vAlign w:val="bottom"/>
            <w:hideMark/>
          </w:tcPr>
          <w:p w14:paraId="576665B1" w14:textId="77777777" w:rsidR="00C52BA0" w:rsidRPr="008D5D38" w:rsidRDefault="00C52BA0" w:rsidP="00C52BA0">
            <w:pPr>
              <w:spacing w:before="40"/>
              <w:rPr>
                <w:b/>
                <w:bCs/>
                <w:sz w:val="22"/>
                <w:szCs w:val="22"/>
              </w:rPr>
            </w:pPr>
            <w:r w:rsidRPr="008D5D38">
              <w:rPr>
                <w:b/>
                <w:bCs/>
                <w:color w:val="000000"/>
                <w:sz w:val="22"/>
                <w:szCs w:val="22"/>
              </w:rPr>
              <w:t xml:space="preserve">Balance </w:t>
            </w:r>
            <w:proofErr w:type="gramStart"/>
            <w:r w:rsidRPr="008D5D38">
              <w:rPr>
                <w:b/>
                <w:bCs/>
                <w:color w:val="000000"/>
                <w:sz w:val="22"/>
                <w:szCs w:val="22"/>
              </w:rPr>
              <w:t>at</w:t>
            </w:r>
            <w:proofErr w:type="gramEnd"/>
            <w:r w:rsidRPr="008D5D38">
              <w:rPr>
                <w:b/>
                <w:bCs/>
                <w:color w:val="000000"/>
                <w:sz w:val="22"/>
                <w:szCs w:val="22"/>
              </w:rPr>
              <w:t xml:space="preserve"> January 1</w:t>
            </w:r>
          </w:p>
        </w:tc>
        <w:tc>
          <w:tcPr>
            <w:tcW w:w="1559" w:type="dxa"/>
            <w:shd w:val="clear" w:color="auto" w:fill="auto"/>
            <w:noWrap/>
            <w:vAlign w:val="bottom"/>
          </w:tcPr>
          <w:p w14:paraId="0E581BDC" w14:textId="3709FA7F" w:rsidR="00C52BA0" w:rsidRPr="002465DD" w:rsidRDefault="002465DD" w:rsidP="002465DD">
            <w:pPr>
              <w:spacing w:before="40"/>
              <w:jc w:val="right"/>
              <w:rPr>
                <w:sz w:val="22"/>
                <w:szCs w:val="22"/>
                <w:highlight w:val="yellow"/>
              </w:rPr>
            </w:pPr>
            <w:r w:rsidRPr="002465DD">
              <w:rPr>
                <w:sz w:val="22"/>
                <w:szCs w:val="22"/>
              </w:rPr>
              <w:t>2,635,837</w:t>
            </w:r>
          </w:p>
        </w:tc>
        <w:tc>
          <w:tcPr>
            <w:tcW w:w="1559" w:type="dxa"/>
            <w:shd w:val="clear" w:color="auto" w:fill="auto"/>
            <w:noWrap/>
            <w:vAlign w:val="bottom"/>
          </w:tcPr>
          <w:p w14:paraId="65317141" w14:textId="4415483E" w:rsidR="00C52BA0" w:rsidRPr="002465DD" w:rsidRDefault="00C52BA0" w:rsidP="002465DD">
            <w:pPr>
              <w:spacing w:before="40"/>
              <w:jc w:val="right"/>
              <w:rPr>
                <w:sz w:val="22"/>
                <w:szCs w:val="22"/>
              </w:rPr>
            </w:pPr>
            <w:r w:rsidRPr="002465DD">
              <w:rPr>
                <w:sz w:val="22"/>
                <w:szCs w:val="22"/>
              </w:rPr>
              <w:t>2,259,748</w:t>
            </w:r>
          </w:p>
        </w:tc>
      </w:tr>
      <w:tr w:rsidR="00C52BA0" w:rsidRPr="008D5D38" w14:paraId="78A54AD8" w14:textId="77777777" w:rsidTr="006909F2">
        <w:trPr>
          <w:trHeight w:val="283"/>
        </w:trPr>
        <w:tc>
          <w:tcPr>
            <w:tcW w:w="6084" w:type="dxa"/>
            <w:shd w:val="clear" w:color="auto" w:fill="auto"/>
            <w:noWrap/>
            <w:vAlign w:val="bottom"/>
          </w:tcPr>
          <w:p w14:paraId="13967E4D" w14:textId="77777777" w:rsidR="00C52BA0" w:rsidRPr="008D5D38" w:rsidRDefault="00C52BA0" w:rsidP="00C52BA0">
            <w:pPr>
              <w:spacing w:before="40"/>
              <w:rPr>
                <w:color w:val="000000"/>
                <w:sz w:val="22"/>
                <w:szCs w:val="22"/>
              </w:rPr>
            </w:pPr>
            <w:r w:rsidRPr="002B698D">
              <w:rPr>
                <w:b/>
                <w:bCs/>
                <w:sz w:val="22"/>
                <w:szCs w:val="22"/>
              </w:rPr>
              <w:t>Additions</w:t>
            </w:r>
          </w:p>
        </w:tc>
        <w:tc>
          <w:tcPr>
            <w:tcW w:w="1559" w:type="dxa"/>
            <w:shd w:val="clear" w:color="auto" w:fill="auto"/>
            <w:noWrap/>
            <w:vAlign w:val="bottom"/>
          </w:tcPr>
          <w:p w14:paraId="0F7816DC" w14:textId="77777777" w:rsidR="00C52BA0" w:rsidRPr="002465DD" w:rsidRDefault="00C52BA0" w:rsidP="002465DD">
            <w:pPr>
              <w:spacing w:before="40"/>
              <w:jc w:val="right"/>
              <w:rPr>
                <w:sz w:val="22"/>
                <w:szCs w:val="22"/>
                <w:highlight w:val="yellow"/>
              </w:rPr>
            </w:pPr>
          </w:p>
        </w:tc>
        <w:tc>
          <w:tcPr>
            <w:tcW w:w="1559" w:type="dxa"/>
            <w:shd w:val="clear" w:color="auto" w:fill="auto"/>
            <w:noWrap/>
            <w:vAlign w:val="bottom"/>
          </w:tcPr>
          <w:p w14:paraId="0D11A2F5" w14:textId="77777777" w:rsidR="00C52BA0" w:rsidRPr="002465DD" w:rsidRDefault="00C52BA0" w:rsidP="002465DD">
            <w:pPr>
              <w:spacing w:before="40"/>
              <w:jc w:val="right"/>
              <w:rPr>
                <w:color w:val="000000"/>
                <w:sz w:val="22"/>
                <w:szCs w:val="22"/>
              </w:rPr>
            </w:pPr>
          </w:p>
        </w:tc>
      </w:tr>
      <w:tr w:rsidR="002465DD" w:rsidRPr="008D5D38" w14:paraId="145F803F" w14:textId="77777777" w:rsidTr="006909F2">
        <w:trPr>
          <w:trHeight w:val="283"/>
        </w:trPr>
        <w:tc>
          <w:tcPr>
            <w:tcW w:w="6084" w:type="dxa"/>
            <w:shd w:val="clear" w:color="auto" w:fill="auto"/>
            <w:noWrap/>
            <w:vAlign w:val="bottom"/>
            <w:hideMark/>
          </w:tcPr>
          <w:p w14:paraId="7835495C" w14:textId="617F3C57" w:rsidR="002465DD" w:rsidRPr="008D5D38" w:rsidRDefault="002465DD" w:rsidP="002465DD">
            <w:pPr>
              <w:spacing w:before="40"/>
              <w:ind w:left="170"/>
              <w:rPr>
                <w:sz w:val="22"/>
                <w:szCs w:val="22"/>
              </w:rPr>
            </w:pPr>
            <w:r>
              <w:rPr>
                <w:color w:val="000000"/>
                <w:sz w:val="22"/>
                <w:szCs w:val="22"/>
              </w:rPr>
              <w:t xml:space="preserve">Acquisition </w:t>
            </w:r>
            <w:r w:rsidRPr="0063456F">
              <w:rPr>
                <w:color w:val="000000"/>
                <w:sz w:val="22"/>
                <w:szCs w:val="22"/>
              </w:rPr>
              <w:t>(1)</w:t>
            </w:r>
          </w:p>
        </w:tc>
        <w:tc>
          <w:tcPr>
            <w:tcW w:w="1559" w:type="dxa"/>
            <w:shd w:val="clear" w:color="auto" w:fill="auto"/>
            <w:noWrap/>
            <w:vAlign w:val="bottom"/>
          </w:tcPr>
          <w:p w14:paraId="2F4C493B" w14:textId="6C9256ED" w:rsidR="002465DD" w:rsidRPr="002465DD" w:rsidRDefault="002465DD" w:rsidP="002465DD">
            <w:pPr>
              <w:spacing w:before="40"/>
              <w:jc w:val="right"/>
              <w:rPr>
                <w:sz w:val="22"/>
                <w:szCs w:val="22"/>
                <w:highlight w:val="yellow"/>
              </w:rPr>
            </w:pPr>
            <w:r w:rsidRPr="002465DD">
              <w:rPr>
                <w:sz w:val="22"/>
                <w:szCs w:val="22"/>
              </w:rPr>
              <w:t>127,591</w:t>
            </w:r>
          </w:p>
        </w:tc>
        <w:tc>
          <w:tcPr>
            <w:tcW w:w="1559" w:type="dxa"/>
            <w:shd w:val="clear" w:color="auto" w:fill="auto"/>
            <w:noWrap/>
            <w:vAlign w:val="bottom"/>
          </w:tcPr>
          <w:p w14:paraId="1CA22B30" w14:textId="4DCA1771" w:rsidR="002465DD" w:rsidRPr="002465DD" w:rsidRDefault="002465DD" w:rsidP="002465DD">
            <w:pPr>
              <w:spacing w:before="40"/>
              <w:jc w:val="right"/>
              <w:rPr>
                <w:sz w:val="22"/>
                <w:szCs w:val="22"/>
              </w:rPr>
            </w:pPr>
            <w:r w:rsidRPr="002465DD">
              <w:rPr>
                <w:sz w:val="22"/>
                <w:szCs w:val="22"/>
              </w:rPr>
              <w:t>26,191</w:t>
            </w:r>
          </w:p>
        </w:tc>
      </w:tr>
      <w:tr w:rsidR="002465DD" w:rsidRPr="008D5D38" w14:paraId="4A7039D4" w14:textId="77777777" w:rsidTr="006909F2">
        <w:trPr>
          <w:trHeight w:val="283"/>
        </w:trPr>
        <w:tc>
          <w:tcPr>
            <w:tcW w:w="6084" w:type="dxa"/>
            <w:shd w:val="clear" w:color="auto" w:fill="auto"/>
            <w:noWrap/>
            <w:vAlign w:val="bottom"/>
          </w:tcPr>
          <w:p w14:paraId="02C3A7F9" w14:textId="2365561D" w:rsidR="002465DD" w:rsidRPr="008D5D38" w:rsidRDefault="002465DD" w:rsidP="002465DD">
            <w:pPr>
              <w:spacing w:before="40"/>
              <w:ind w:left="170"/>
              <w:rPr>
                <w:color w:val="000000"/>
                <w:sz w:val="22"/>
                <w:szCs w:val="22"/>
              </w:rPr>
            </w:pPr>
            <w:r w:rsidRPr="008D5D38">
              <w:rPr>
                <w:color w:val="000000"/>
                <w:sz w:val="22"/>
                <w:szCs w:val="22"/>
              </w:rPr>
              <w:t>Investment</w:t>
            </w:r>
            <w:r>
              <w:rPr>
                <w:color w:val="000000"/>
                <w:sz w:val="22"/>
                <w:szCs w:val="22"/>
              </w:rPr>
              <w:t>s</w:t>
            </w:r>
          </w:p>
        </w:tc>
        <w:tc>
          <w:tcPr>
            <w:tcW w:w="1559" w:type="dxa"/>
            <w:shd w:val="clear" w:color="auto" w:fill="auto"/>
            <w:noWrap/>
            <w:vAlign w:val="bottom"/>
          </w:tcPr>
          <w:p w14:paraId="270FB228" w14:textId="20D67FC1" w:rsidR="002465DD" w:rsidRPr="002465DD" w:rsidRDefault="002465DD" w:rsidP="002465DD">
            <w:pPr>
              <w:spacing w:before="40"/>
              <w:jc w:val="right"/>
              <w:rPr>
                <w:sz w:val="22"/>
                <w:szCs w:val="22"/>
              </w:rPr>
            </w:pPr>
            <w:r w:rsidRPr="002465DD">
              <w:rPr>
                <w:sz w:val="22"/>
                <w:szCs w:val="22"/>
              </w:rPr>
              <w:t>47,579</w:t>
            </w:r>
          </w:p>
        </w:tc>
        <w:tc>
          <w:tcPr>
            <w:tcW w:w="1559" w:type="dxa"/>
            <w:shd w:val="clear" w:color="auto" w:fill="auto"/>
            <w:noWrap/>
            <w:vAlign w:val="bottom"/>
          </w:tcPr>
          <w:p w14:paraId="203272F1" w14:textId="4576628F" w:rsidR="002465DD" w:rsidRPr="002465DD" w:rsidRDefault="002465DD" w:rsidP="002465DD">
            <w:pPr>
              <w:spacing w:before="40"/>
              <w:jc w:val="right"/>
              <w:rPr>
                <w:sz w:val="22"/>
                <w:szCs w:val="22"/>
              </w:rPr>
            </w:pPr>
            <w:r w:rsidRPr="002465DD">
              <w:rPr>
                <w:sz w:val="22"/>
                <w:szCs w:val="22"/>
              </w:rPr>
              <w:t>46,293</w:t>
            </w:r>
          </w:p>
        </w:tc>
      </w:tr>
      <w:tr w:rsidR="002465DD" w:rsidRPr="008D5D38" w14:paraId="552218EC" w14:textId="77777777" w:rsidTr="006909F2">
        <w:trPr>
          <w:trHeight w:val="283"/>
        </w:trPr>
        <w:tc>
          <w:tcPr>
            <w:tcW w:w="6084" w:type="dxa"/>
            <w:shd w:val="clear" w:color="auto" w:fill="auto"/>
            <w:noWrap/>
            <w:vAlign w:val="bottom"/>
          </w:tcPr>
          <w:p w14:paraId="7BAAC9AD" w14:textId="1266ED2D" w:rsidR="002465DD" w:rsidRPr="00767884" w:rsidRDefault="002465DD" w:rsidP="002465DD">
            <w:pPr>
              <w:spacing w:before="40"/>
              <w:ind w:left="170"/>
              <w:rPr>
                <w:color w:val="000000"/>
                <w:sz w:val="22"/>
                <w:szCs w:val="22"/>
              </w:rPr>
            </w:pPr>
            <w:r w:rsidRPr="008D5D38">
              <w:rPr>
                <w:color w:val="000000"/>
                <w:sz w:val="22"/>
                <w:szCs w:val="22"/>
              </w:rPr>
              <w:t xml:space="preserve">Transfer from investment property under </w:t>
            </w:r>
            <w:r w:rsidRPr="00351874">
              <w:rPr>
                <w:color w:val="000000"/>
                <w:sz w:val="22"/>
                <w:szCs w:val="22"/>
              </w:rPr>
              <w:t xml:space="preserve">development </w:t>
            </w:r>
            <w:r w:rsidRPr="0063456F">
              <w:rPr>
                <w:color w:val="000000"/>
                <w:sz w:val="22"/>
                <w:szCs w:val="22"/>
              </w:rPr>
              <w:t>(2)</w:t>
            </w:r>
          </w:p>
        </w:tc>
        <w:tc>
          <w:tcPr>
            <w:tcW w:w="1559" w:type="dxa"/>
            <w:shd w:val="clear" w:color="auto" w:fill="auto"/>
            <w:noWrap/>
            <w:vAlign w:val="bottom"/>
          </w:tcPr>
          <w:p w14:paraId="6207F57F" w14:textId="0F9DE347" w:rsidR="002465DD" w:rsidRPr="002465DD" w:rsidRDefault="002465DD" w:rsidP="002465DD">
            <w:pPr>
              <w:spacing w:before="40"/>
              <w:jc w:val="right"/>
              <w:rPr>
                <w:sz w:val="22"/>
                <w:szCs w:val="22"/>
                <w:highlight w:val="yellow"/>
              </w:rPr>
            </w:pPr>
            <w:r w:rsidRPr="002465DD">
              <w:rPr>
                <w:sz w:val="22"/>
                <w:szCs w:val="22"/>
              </w:rPr>
              <w:t>161,328</w:t>
            </w:r>
          </w:p>
        </w:tc>
        <w:tc>
          <w:tcPr>
            <w:tcW w:w="1559" w:type="dxa"/>
            <w:shd w:val="clear" w:color="auto" w:fill="auto"/>
            <w:noWrap/>
            <w:vAlign w:val="bottom"/>
          </w:tcPr>
          <w:p w14:paraId="6661E885" w14:textId="1CB7C593" w:rsidR="002465DD" w:rsidRPr="002465DD" w:rsidRDefault="002465DD" w:rsidP="002465DD">
            <w:pPr>
              <w:spacing w:before="40"/>
              <w:jc w:val="right"/>
              <w:rPr>
                <w:sz w:val="22"/>
                <w:szCs w:val="22"/>
              </w:rPr>
            </w:pPr>
            <w:r w:rsidRPr="002465DD">
              <w:rPr>
                <w:sz w:val="22"/>
                <w:szCs w:val="22"/>
              </w:rPr>
              <w:t>318,900</w:t>
            </w:r>
          </w:p>
        </w:tc>
      </w:tr>
      <w:tr w:rsidR="002465DD" w:rsidRPr="008D5D38" w14:paraId="4DD8EDA8" w14:textId="77777777" w:rsidTr="006909F2">
        <w:trPr>
          <w:trHeight w:val="283"/>
        </w:trPr>
        <w:tc>
          <w:tcPr>
            <w:tcW w:w="6084" w:type="dxa"/>
            <w:shd w:val="clear" w:color="auto" w:fill="auto"/>
            <w:noWrap/>
            <w:vAlign w:val="bottom"/>
          </w:tcPr>
          <w:p w14:paraId="2EC7A005" w14:textId="41EB0383" w:rsidR="002465DD" w:rsidRPr="008D5D38" w:rsidRDefault="002465DD" w:rsidP="002465DD">
            <w:pPr>
              <w:spacing w:before="40"/>
              <w:ind w:left="170"/>
              <w:rPr>
                <w:color w:val="000000"/>
                <w:sz w:val="22"/>
                <w:szCs w:val="22"/>
              </w:rPr>
            </w:pPr>
            <w:r w:rsidRPr="00177832">
              <w:rPr>
                <w:color w:val="000000"/>
                <w:sz w:val="22"/>
                <w:szCs w:val="22"/>
              </w:rPr>
              <w:t>Transfer from inventory</w:t>
            </w:r>
            <w:r>
              <w:rPr>
                <w:color w:val="000000"/>
                <w:sz w:val="22"/>
                <w:szCs w:val="22"/>
              </w:rPr>
              <w:t xml:space="preserve"> </w:t>
            </w:r>
          </w:p>
        </w:tc>
        <w:tc>
          <w:tcPr>
            <w:tcW w:w="1559" w:type="dxa"/>
            <w:shd w:val="clear" w:color="auto" w:fill="auto"/>
            <w:noWrap/>
            <w:vAlign w:val="bottom"/>
          </w:tcPr>
          <w:p w14:paraId="3B529CF5" w14:textId="186EF13C" w:rsidR="002465DD" w:rsidRPr="002465DD" w:rsidRDefault="002465DD" w:rsidP="002465DD">
            <w:pPr>
              <w:spacing w:before="40"/>
              <w:jc w:val="right"/>
              <w:rPr>
                <w:sz w:val="22"/>
                <w:szCs w:val="22"/>
                <w:highlight w:val="yellow"/>
              </w:rPr>
            </w:pPr>
            <w:r w:rsidRPr="002465DD">
              <w:rPr>
                <w:sz w:val="22"/>
                <w:szCs w:val="22"/>
              </w:rPr>
              <w:t>-</w:t>
            </w:r>
          </w:p>
        </w:tc>
        <w:tc>
          <w:tcPr>
            <w:tcW w:w="1559" w:type="dxa"/>
            <w:shd w:val="clear" w:color="auto" w:fill="auto"/>
            <w:noWrap/>
            <w:vAlign w:val="bottom"/>
          </w:tcPr>
          <w:p w14:paraId="6B5C453C" w14:textId="51E38B41" w:rsidR="002465DD" w:rsidRPr="002465DD" w:rsidRDefault="002465DD" w:rsidP="002465DD">
            <w:pPr>
              <w:spacing w:before="40"/>
              <w:jc w:val="right"/>
              <w:rPr>
                <w:color w:val="000000"/>
                <w:sz w:val="22"/>
                <w:szCs w:val="22"/>
              </w:rPr>
            </w:pPr>
            <w:r w:rsidRPr="002465DD">
              <w:rPr>
                <w:sz w:val="22"/>
                <w:szCs w:val="22"/>
              </w:rPr>
              <w:t>5,494</w:t>
            </w:r>
          </w:p>
        </w:tc>
      </w:tr>
      <w:tr w:rsidR="00C52BA0" w:rsidRPr="008D5D38" w14:paraId="5B20E931" w14:textId="77777777" w:rsidTr="006909F2">
        <w:trPr>
          <w:trHeight w:val="283"/>
        </w:trPr>
        <w:tc>
          <w:tcPr>
            <w:tcW w:w="6084" w:type="dxa"/>
            <w:shd w:val="clear" w:color="auto" w:fill="auto"/>
            <w:noWrap/>
            <w:vAlign w:val="bottom"/>
          </w:tcPr>
          <w:p w14:paraId="19E19530" w14:textId="33C1EA81" w:rsidR="00C52BA0" w:rsidRPr="00177832" w:rsidRDefault="00C52BA0" w:rsidP="00C52BA0">
            <w:pPr>
              <w:spacing w:before="40"/>
              <w:ind w:left="170"/>
              <w:rPr>
                <w:color w:val="000000"/>
                <w:sz w:val="22"/>
                <w:szCs w:val="22"/>
              </w:rPr>
            </w:pPr>
            <w:r w:rsidRPr="002B698D">
              <w:rPr>
                <w:b/>
                <w:bCs/>
                <w:color w:val="000000"/>
                <w:sz w:val="22"/>
                <w:szCs w:val="22"/>
              </w:rPr>
              <w:t>Disposals</w:t>
            </w:r>
          </w:p>
        </w:tc>
        <w:tc>
          <w:tcPr>
            <w:tcW w:w="1559" w:type="dxa"/>
            <w:shd w:val="clear" w:color="auto" w:fill="auto"/>
            <w:noWrap/>
            <w:vAlign w:val="bottom"/>
          </w:tcPr>
          <w:p w14:paraId="7E2508FB" w14:textId="77777777" w:rsidR="00C52BA0" w:rsidRPr="002465DD" w:rsidRDefault="00C52BA0" w:rsidP="002465DD">
            <w:pPr>
              <w:spacing w:before="40"/>
              <w:jc w:val="right"/>
              <w:rPr>
                <w:sz w:val="22"/>
                <w:szCs w:val="22"/>
              </w:rPr>
            </w:pPr>
          </w:p>
        </w:tc>
        <w:tc>
          <w:tcPr>
            <w:tcW w:w="1559" w:type="dxa"/>
            <w:shd w:val="clear" w:color="auto" w:fill="auto"/>
            <w:noWrap/>
            <w:vAlign w:val="bottom"/>
          </w:tcPr>
          <w:p w14:paraId="6DD68E60" w14:textId="77777777" w:rsidR="00C52BA0" w:rsidRPr="002465DD" w:rsidDel="00177832" w:rsidRDefault="00C52BA0" w:rsidP="002465DD">
            <w:pPr>
              <w:spacing w:before="40"/>
              <w:jc w:val="right"/>
              <w:rPr>
                <w:sz w:val="22"/>
                <w:szCs w:val="22"/>
              </w:rPr>
            </w:pPr>
          </w:p>
        </w:tc>
      </w:tr>
      <w:tr w:rsidR="002465DD" w:rsidRPr="008D5D38" w14:paraId="19333324" w14:textId="77777777" w:rsidTr="006909F2">
        <w:trPr>
          <w:trHeight w:val="283"/>
        </w:trPr>
        <w:tc>
          <w:tcPr>
            <w:tcW w:w="6084" w:type="dxa"/>
            <w:shd w:val="clear" w:color="auto" w:fill="auto"/>
            <w:noWrap/>
            <w:vAlign w:val="bottom"/>
          </w:tcPr>
          <w:p w14:paraId="53DE6819" w14:textId="77777777" w:rsidR="002465DD" w:rsidRPr="001462BF" w:rsidRDefault="002465DD" w:rsidP="002465DD">
            <w:pPr>
              <w:ind w:firstLineChars="100" w:firstLine="220"/>
              <w:rPr>
                <w:color w:val="000000"/>
                <w:sz w:val="22"/>
                <w:szCs w:val="22"/>
              </w:rPr>
            </w:pPr>
            <w:r w:rsidRPr="001462BF">
              <w:rPr>
                <w:color w:val="000000"/>
                <w:sz w:val="22"/>
                <w:szCs w:val="22"/>
              </w:rPr>
              <w:t xml:space="preserve">Transfer to investment property under development </w:t>
            </w:r>
          </w:p>
          <w:p w14:paraId="3C6A2E8A" w14:textId="4CF11721" w:rsidR="002465DD" w:rsidRPr="00177832" w:rsidRDefault="002465DD" w:rsidP="002465DD">
            <w:pPr>
              <w:ind w:firstLineChars="100" w:firstLine="220"/>
              <w:rPr>
                <w:color w:val="000000"/>
                <w:sz w:val="22"/>
                <w:szCs w:val="22"/>
                <w:lang w:bidi="he-IL"/>
              </w:rPr>
            </w:pPr>
            <w:r w:rsidRPr="001462BF">
              <w:rPr>
                <w:color w:val="000000"/>
                <w:sz w:val="22"/>
                <w:szCs w:val="22"/>
              </w:rPr>
              <w:t>(see Note 6</w:t>
            </w:r>
            <w:proofErr w:type="gramStart"/>
            <w:r w:rsidRPr="001462BF">
              <w:rPr>
                <w:color w:val="000000"/>
                <w:sz w:val="22"/>
                <w:szCs w:val="22"/>
              </w:rPr>
              <w:t>A(</w:t>
            </w:r>
            <w:proofErr w:type="gramEnd"/>
            <w:r w:rsidRPr="001462BF">
              <w:rPr>
                <w:color w:val="000000"/>
                <w:sz w:val="22"/>
                <w:szCs w:val="22"/>
              </w:rPr>
              <w:t>3))</w:t>
            </w:r>
          </w:p>
        </w:tc>
        <w:tc>
          <w:tcPr>
            <w:tcW w:w="1559" w:type="dxa"/>
            <w:shd w:val="clear" w:color="auto" w:fill="auto"/>
            <w:noWrap/>
            <w:vAlign w:val="bottom"/>
          </w:tcPr>
          <w:p w14:paraId="508833DB" w14:textId="73294BAF" w:rsidR="002465DD" w:rsidRPr="002465DD" w:rsidRDefault="002465DD" w:rsidP="002465DD">
            <w:pPr>
              <w:spacing w:before="40"/>
              <w:jc w:val="right"/>
              <w:rPr>
                <w:sz w:val="22"/>
                <w:szCs w:val="22"/>
              </w:rPr>
            </w:pPr>
            <w:r w:rsidRPr="002465DD">
              <w:rPr>
                <w:sz w:val="22"/>
                <w:szCs w:val="22"/>
              </w:rPr>
              <w:t>(15,949)</w:t>
            </w:r>
          </w:p>
        </w:tc>
        <w:tc>
          <w:tcPr>
            <w:tcW w:w="1559" w:type="dxa"/>
            <w:shd w:val="clear" w:color="auto" w:fill="auto"/>
            <w:noWrap/>
            <w:vAlign w:val="bottom"/>
          </w:tcPr>
          <w:p w14:paraId="143A3C97" w14:textId="4D099A89" w:rsidR="002465DD" w:rsidRPr="002465DD" w:rsidDel="00177832" w:rsidRDefault="002465DD" w:rsidP="002465DD">
            <w:pPr>
              <w:spacing w:before="40"/>
              <w:jc w:val="right"/>
              <w:rPr>
                <w:sz w:val="22"/>
                <w:szCs w:val="22"/>
              </w:rPr>
            </w:pPr>
            <w:r w:rsidRPr="002465DD">
              <w:rPr>
                <w:sz w:val="22"/>
                <w:szCs w:val="22"/>
              </w:rPr>
              <w:t>(2,571)</w:t>
            </w:r>
          </w:p>
        </w:tc>
      </w:tr>
      <w:tr w:rsidR="002465DD" w:rsidRPr="008D5D38" w14:paraId="7BD9193C" w14:textId="77777777" w:rsidTr="006909F2">
        <w:trPr>
          <w:trHeight w:val="283"/>
        </w:trPr>
        <w:tc>
          <w:tcPr>
            <w:tcW w:w="6084" w:type="dxa"/>
            <w:shd w:val="clear" w:color="auto" w:fill="auto"/>
            <w:noWrap/>
            <w:vAlign w:val="bottom"/>
          </w:tcPr>
          <w:p w14:paraId="3BD23961" w14:textId="5ED77DF5" w:rsidR="002465DD" w:rsidRPr="002B698D" w:rsidRDefault="002465DD" w:rsidP="002465DD">
            <w:pPr>
              <w:spacing w:before="40"/>
              <w:rPr>
                <w:sz w:val="22"/>
                <w:szCs w:val="22"/>
                <w:lang w:bidi="he-IL"/>
              </w:rPr>
            </w:pPr>
            <w:r>
              <w:rPr>
                <w:rFonts w:hint="cs"/>
                <w:b/>
                <w:bCs/>
                <w:sz w:val="22"/>
                <w:szCs w:val="22"/>
              </w:rPr>
              <w:t>O</w:t>
            </w:r>
            <w:r>
              <w:rPr>
                <w:b/>
                <w:bCs/>
                <w:sz w:val="22"/>
                <w:szCs w:val="22"/>
                <w:lang w:bidi="he-IL"/>
              </w:rPr>
              <w:t xml:space="preserve">thers </w:t>
            </w:r>
          </w:p>
        </w:tc>
        <w:tc>
          <w:tcPr>
            <w:tcW w:w="1559" w:type="dxa"/>
            <w:shd w:val="clear" w:color="auto" w:fill="auto"/>
            <w:noWrap/>
            <w:vAlign w:val="bottom"/>
          </w:tcPr>
          <w:p w14:paraId="0AF00054" w14:textId="77777777" w:rsidR="002465DD" w:rsidRPr="002465DD" w:rsidRDefault="002465DD" w:rsidP="002465DD">
            <w:pPr>
              <w:spacing w:before="40"/>
              <w:jc w:val="right"/>
              <w:rPr>
                <w:sz w:val="22"/>
                <w:szCs w:val="22"/>
                <w:highlight w:val="yellow"/>
              </w:rPr>
            </w:pPr>
          </w:p>
        </w:tc>
        <w:tc>
          <w:tcPr>
            <w:tcW w:w="1559" w:type="dxa"/>
            <w:shd w:val="clear" w:color="auto" w:fill="auto"/>
            <w:noWrap/>
            <w:vAlign w:val="bottom"/>
          </w:tcPr>
          <w:p w14:paraId="344951EF" w14:textId="77777777" w:rsidR="002465DD" w:rsidRPr="002465DD" w:rsidRDefault="002465DD" w:rsidP="002465DD">
            <w:pPr>
              <w:spacing w:before="40"/>
              <w:jc w:val="right"/>
              <w:rPr>
                <w:sz w:val="22"/>
                <w:szCs w:val="22"/>
              </w:rPr>
            </w:pPr>
          </w:p>
        </w:tc>
      </w:tr>
      <w:tr w:rsidR="002465DD" w:rsidRPr="008D5D38" w14:paraId="59C12E25" w14:textId="77777777" w:rsidTr="006909F2">
        <w:trPr>
          <w:trHeight w:val="283"/>
        </w:trPr>
        <w:tc>
          <w:tcPr>
            <w:tcW w:w="6084" w:type="dxa"/>
            <w:shd w:val="clear" w:color="auto" w:fill="auto"/>
            <w:noWrap/>
            <w:vAlign w:val="bottom"/>
            <w:hideMark/>
          </w:tcPr>
          <w:p w14:paraId="11FC0215" w14:textId="77777777" w:rsidR="002465DD" w:rsidRPr="008D5D38" w:rsidRDefault="002465DD" w:rsidP="002465DD">
            <w:pPr>
              <w:spacing w:before="40"/>
              <w:ind w:left="170"/>
              <w:rPr>
                <w:sz w:val="22"/>
                <w:szCs w:val="22"/>
              </w:rPr>
            </w:pPr>
            <w:r w:rsidRPr="008D5D38">
              <w:rPr>
                <w:color w:val="000000"/>
                <w:sz w:val="22"/>
                <w:szCs w:val="22"/>
              </w:rPr>
              <w:t xml:space="preserve">Fair value adjustments </w:t>
            </w:r>
          </w:p>
        </w:tc>
        <w:tc>
          <w:tcPr>
            <w:tcW w:w="1559" w:type="dxa"/>
            <w:shd w:val="clear" w:color="auto" w:fill="auto"/>
            <w:noWrap/>
            <w:vAlign w:val="bottom"/>
          </w:tcPr>
          <w:p w14:paraId="0BE88818" w14:textId="23A62A57" w:rsidR="002465DD" w:rsidRPr="002465DD" w:rsidRDefault="002465DD" w:rsidP="002465DD">
            <w:pPr>
              <w:spacing w:before="40"/>
              <w:jc w:val="right"/>
              <w:rPr>
                <w:sz w:val="22"/>
                <w:szCs w:val="22"/>
                <w:highlight w:val="yellow"/>
              </w:rPr>
            </w:pPr>
            <w:r w:rsidRPr="002465DD">
              <w:rPr>
                <w:sz w:val="22"/>
                <w:szCs w:val="22"/>
              </w:rPr>
              <w:t>56,182</w:t>
            </w:r>
          </w:p>
        </w:tc>
        <w:tc>
          <w:tcPr>
            <w:tcW w:w="1559" w:type="dxa"/>
            <w:shd w:val="clear" w:color="auto" w:fill="auto"/>
            <w:noWrap/>
            <w:vAlign w:val="bottom"/>
          </w:tcPr>
          <w:p w14:paraId="72B9B77D" w14:textId="61E6B05D" w:rsidR="002465DD" w:rsidRPr="002465DD" w:rsidRDefault="002465DD" w:rsidP="002465DD">
            <w:pPr>
              <w:spacing w:before="40"/>
              <w:jc w:val="right"/>
              <w:rPr>
                <w:sz w:val="22"/>
                <w:szCs w:val="22"/>
              </w:rPr>
            </w:pPr>
            <w:r w:rsidRPr="002465DD">
              <w:rPr>
                <w:sz w:val="22"/>
                <w:szCs w:val="22"/>
              </w:rPr>
              <w:t>(25,539)</w:t>
            </w:r>
          </w:p>
        </w:tc>
      </w:tr>
      <w:tr w:rsidR="002465DD" w:rsidRPr="008D5D38" w14:paraId="3B5B3F99" w14:textId="77777777" w:rsidTr="006909F2">
        <w:trPr>
          <w:trHeight w:val="283"/>
        </w:trPr>
        <w:tc>
          <w:tcPr>
            <w:tcW w:w="6084" w:type="dxa"/>
            <w:shd w:val="clear" w:color="auto" w:fill="auto"/>
            <w:noWrap/>
            <w:vAlign w:val="bottom"/>
            <w:hideMark/>
          </w:tcPr>
          <w:p w14:paraId="6D2AF6A9" w14:textId="77777777" w:rsidR="002465DD" w:rsidRPr="008D5D38" w:rsidRDefault="002465DD" w:rsidP="002465DD">
            <w:pPr>
              <w:spacing w:before="40"/>
              <w:ind w:left="170"/>
              <w:rPr>
                <w:sz w:val="22"/>
                <w:szCs w:val="22"/>
              </w:rPr>
            </w:pPr>
            <w:r w:rsidRPr="008D5D38">
              <w:rPr>
                <w:color w:val="000000"/>
                <w:sz w:val="22"/>
                <w:szCs w:val="22"/>
              </w:rPr>
              <w:t>Effect of movement in foreign exchange</w:t>
            </w:r>
          </w:p>
        </w:tc>
        <w:tc>
          <w:tcPr>
            <w:tcW w:w="1559" w:type="dxa"/>
            <w:shd w:val="clear" w:color="auto" w:fill="auto"/>
            <w:noWrap/>
            <w:vAlign w:val="bottom"/>
          </w:tcPr>
          <w:p w14:paraId="2445A1F0" w14:textId="498B50C9" w:rsidR="002465DD" w:rsidRPr="002465DD" w:rsidRDefault="002465DD" w:rsidP="002465DD">
            <w:pPr>
              <w:pBdr>
                <w:bottom w:val="single" w:sz="4" w:space="0" w:color="000000"/>
              </w:pBdr>
              <w:spacing w:before="40"/>
              <w:jc w:val="right"/>
              <w:rPr>
                <w:sz w:val="22"/>
                <w:szCs w:val="22"/>
                <w:highlight w:val="yellow"/>
              </w:rPr>
            </w:pPr>
            <w:r w:rsidRPr="002465DD">
              <w:rPr>
                <w:sz w:val="22"/>
                <w:szCs w:val="22"/>
              </w:rPr>
              <w:t>1,656</w:t>
            </w:r>
          </w:p>
        </w:tc>
        <w:tc>
          <w:tcPr>
            <w:tcW w:w="1559" w:type="dxa"/>
            <w:shd w:val="clear" w:color="auto" w:fill="auto"/>
            <w:noWrap/>
            <w:vAlign w:val="bottom"/>
          </w:tcPr>
          <w:p w14:paraId="1E62476F" w14:textId="6C66F98D" w:rsidR="002465DD" w:rsidRPr="002465DD" w:rsidRDefault="002465DD" w:rsidP="002465DD">
            <w:pPr>
              <w:pBdr>
                <w:bottom w:val="single" w:sz="4" w:space="0" w:color="000000"/>
              </w:pBdr>
              <w:spacing w:before="40"/>
              <w:jc w:val="right"/>
              <w:rPr>
                <w:sz w:val="22"/>
                <w:szCs w:val="22"/>
              </w:rPr>
            </w:pPr>
            <w:r w:rsidRPr="002465DD">
              <w:rPr>
                <w:color w:val="000000"/>
                <w:sz w:val="22"/>
                <w:szCs w:val="22"/>
              </w:rPr>
              <w:t>7,321</w:t>
            </w:r>
          </w:p>
        </w:tc>
      </w:tr>
      <w:tr w:rsidR="00C52BA0" w:rsidRPr="008D5D38" w14:paraId="1C4655B9" w14:textId="77777777" w:rsidTr="006909F2">
        <w:trPr>
          <w:trHeight w:val="283"/>
        </w:trPr>
        <w:tc>
          <w:tcPr>
            <w:tcW w:w="6084" w:type="dxa"/>
            <w:shd w:val="clear" w:color="auto" w:fill="auto"/>
            <w:noWrap/>
            <w:vAlign w:val="bottom"/>
            <w:hideMark/>
          </w:tcPr>
          <w:p w14:paraId="36A394FE" w14:textId="77777777" w:rsidR="00C52BA0" w:rsidRPr="008D5D38" w:rsidRDefault="00C52BA0" w:rsidP="00C52BA0">
            <w:pPr>
              <w:spacing w:before="40"/>
              <w:rPr>
                <w:b/>
                <w:bCs/>
                <w:sz w:val="22"/>
                <w:szCs w:val="22"/>
              </w:rPr>
            </w:pPr>
            <w:r w:rsidRPr="008D5D38">
              <w:rPr>
                <w:b/>
                <w:bCs/>
                <w:color w:val="000000"/>
                <w:sz w:val="22"/>
                <w:szCs w:val="22"/>
              </w:rPr>
              <w:t xml:space="preserve">Balance </w:t>
            </w:r>
            <w:proofErr w:type="gramStart"/>
            <w:r w:rsidRPr="008D5D38">
              <w:rPr>
                <w:b/>
                <w:bCs/>
                <w:color w:val="000000"/>
                <w:sz w:val="22"/>
                <w:szCs w:val="22"/>
              </w:rPr>
              <w:t>at</w:t>
            </w:r>
            <w:proofErr w:type="gramEnd"/>
            <w:r w:rsidRPr="008D5D38">
              <w:rPr>
                <w:b/>
                <w:bCs/>
                <w:color w:val="000000"/>
                <w:sz w:val="22"/>
                <w:szCs w:val="22"/>
              </w:rPr>
              <w:t xml:space="preserve"> December 31</w:t>
            </w:r>
          </w:p>
        </w:tc>
        <w:tc>
          <w:tcPr>
            <w:tcW w:w="1559" w:type="dxa"/>
            <w:shd w:val="clear" w:color="auto" w:fill="auto"/>
            <w:noWrap/>
            <w:vAlign w:val="bottom"/>
          </w:tcPr>
          <w:p w14:paraId="3C97A7E5" w14:textId="1A647357" w:rsidR="00C52BA0" w:rsidRPr="002465DD" w:rsidRDefault="002465DD" w:rsidP="002465DD">
            <w:pPr>
              <w:pBdr>
                <w:bottom w:val="double" w:sz="4" w:space="0" w:color="000000"/>
              </w:pBdr>
              <w:spacing w:before="40"/>
              <w:jc w:val="right"/>
              <w:rPr>
                <w:sz w:val="22"/>
                <w:szCs w:val="22"/>
                <w:highlight w:val="yellow"/>
                <w:lang w:bidi="he-IL"/>
              </w:rPr>
            </w:pPr>
            <w:r w:rsidRPr="002465DD">
              <w:rPr>
                <w:sz w:val="22"/>
                <w:szCs w:val="22"/>
                <w:lang w:bidi="he-IL"/>
              </w:rPr>
              <w:t>3,014,224</w:t>
            </w:r>
          </w:p>
        </w:tc>
        <w:tc>
          <w:tcPr>
            <w:tcW w:w="1559" w:type="dxa"/>
            <w:shd w:val="clear" w:color="auto" w:fill="auto"/>
            <w:noWrap/>
            <w:vAlign w:val="bottom"/>
          </w:tcPr>
          <w:p w14:paraId="2110CAF1" w14:textId="70EF6727" w:rsidR="00C52BA0" w:rsidRPr="002465DD" w:rsidRDefault="00C52BA0" w:rsidP="002465DD">
            <w:pPr>
              <w:pBdr>
                <w:bottom w:val="double" w:sz="4" w:space="0" w:color="000000"/>
              </w:pBdr>
              <w:spacing w:before="40"/>
              <w:jc w:val="right"/>
              <w:rPr>
                <w:sz w:val="22"/>
                <w:szCs w:val="22"/>
              </w:rPr>
            </w:pPr>
            <w:r w:rsidRPr="002465DD">
              <w:rPr>
                <w:sz w:val="22"/>
                <w:szCs w:val="22"/>
              </w:rPr>
              <w:t>2,635,837</w:t>
            </w:r>
          </w:p>
        </w:tc>
      </w:tr>
    </w:tbl>
    <w:p w14:paraId="51534956" w14:textId="77777777" w:rsidR="00C35D07" w:rsidRDefault="00C35D07" w:rsidP="00243412">
      <w:pPr>
        <w:ind w:left="720"/>
        <w:jc w:val="both"/>
        <w:rPr>
          <w:sz w:val="12"/>
          <w:szCs w:val="8"/>
        </w:rPr>
      </w:pPr>
    </w:p>
    <w:p w14:paraId="1518A760" w14:textId="77777777" w:rsidR="00FF0EEB" w:rsidRDefault="00FF0EEB" w:rsidP="00243412">
      <w:pPr>
        <w:ind w:left="720"/>
        <w:jc w:val="both"/>
        <w:rPr>
          <w:sz w:val="12"/>
          <w:szCs w:val="8"/>
        </w:rPr>
      </w:pPr>
    </w:p>
    <w:p w14:paraId="5AFEAE63" w14:textId="3D81C107" w:rsidR="00FF0EEB" w:rsidRPr="00F02921" w:rsidRDefault="00FF0EEB" w:rsidP="00FF0EEB">
      <w:pPr>
        <w:rPr>
          <w:b/>
          <w:bCs/>
          <w:sz w:val="22"/>
          <w:szCs w:val="22"/>
          <w:lang w:bidi="he-IL"/>
        </w:rPr>
      </w:pPr>
      <w:r>
        <w:rPr>
          <w:b/>
          <w:bCs/>
          <w:sz w:val="22"/>
          <w:szCs w:val="22"/>
        </w:rPr>
        <w:t>A</w:t>
      </w:r>
      <w:r w:rsidRPr="00F02921">
        <w:rPr>
          <w:b/>
          <w:bCs/>
          <w:sz w:val="22"/>
          <w:szCs w:val="22"/>
        </w:rPr>
        <w:t>.</w:t>
      </w:r>
      <w:r>
        <w:rPr>
          <w:b/>
          <w:bCs/>
          <w:sz w:val="22"/>
          <w:szCs w:val="22"/>
        </w:rPr>
        <w:t xml:space="preserve">       </w:t>
      </w:r>
      <w:r w:rsidRPr="00FF0EEB">
        <w:rPr>
          <w:b/>
          <w:bCs/>
          <w:sz w:val="22"/>
          <w:szCs w:val="22"/>
        </w:rPr>
        <w:t xml:space="preserve">Reconciliation of carrying amount </w:t>
      </w:r>
      <w:r w:rsidRPr="001D55D7">
        <w:rPr>
          <w:b/>
          <w:bCs/>
          <w:sz w:val="22"/>
          <w:szCs w:val="22"/>
        </w:rPr>
        <w:t>(cont'd)</w:t>
      </w:r>
    </w:p>
    <w:p w14:paraId="798FD2EE" w14:textId="77777777" w:rsidR="00FF0EEB" w:rsidRPr="00FF0EEB" w:rsidRDefault="00FF0EEB" w:rsidP="00243412">
      <w:pPr>
        <w:ind w:left="720"/>
        <w:jc w:val="both"/>
        <w:rPr>
          <w:sz w:val="22"/>
          <w:szCs w:val="22"/>
        </w:rPr>
      </w:pPr>
    </w:p>
    <w:p w14:paraId="0A56816F" w14:textId="49EA2730" w:rsidR="00C92456" w:rsidRPr="00FB329F" w:rsidRDefault="00C92456" w:rsidP="00243412">
      <w:pPr>
        <w:numPr>
          <w:ilvl w:val="0"/>
          <w:numId w:val="3"/>
        </w:numPr>
        <w:ind w:left="1080"/>
        <w:jc w:val="both"/>
        <w:rPr>
          <w:sz w:val="22"/>
          <w:szCs w:val="22"/>
        </w:rPr>
      </w:pPr>
      <w:r w:rsidRPr="00FB329F">
        <w:rPr>
          <w:sz w:val="22"/>
          <w:szCs w:val="22"/>
        </w:rPr>
        <w:t>During</w:t>
      </w:r>
      <w:r w:rsidR="00243412">
        <w:rPr>
          <w:sz w:val="22"/>
          <w:szCs w:val="22"/>
        </w:rPr>
        <w:t xml:space="preserve"> </w:t>
      </w:r>
      <w:r w:rsidR="002B4B5D" w:rsidRPr="002B4B5D">
        <w:rPr>
          <w:sz w:val="22"/>
          <w:szCs w:val="22"/>
        </w:rPr>
        <w:t xml:space="preserve">2024, two Polish subsidiaries of the Company met the conditions precedent for acquiring two residential-for-rent properties in Poland: AFI Home </w:t>
      </w:r>
      <w:proofErr w:type="spellStart"/>
      <w:r w:rsidR="002B4B5D" w:rsidRPr="002B4B5D">
        <w:rPr>
          <w:sz w:val="22"/>
          <w:szCs w:val="22"/>
        </w:rPr>
        <w:t>Dluga</w:t>
      </w:r>
      <w:proofErr w:type="spellEnd"/>
      <w:r w:rsidR="002B4B5D" w:rsidRPr="002B4B5D">
        <w:rPr>
          <w:sz w:val="22"/>
          <w:szCs w:val="22"/>
        </w:rPr>
        <w:t xml:space="preserve"> in Wroclaw and AFI Home </w:t>
      </w:r>
      <w:proofErr w:type="spellStart"/>
      <w:r w:rsidR="002B4B5D" w:rsidRPr="002B4B5D">
        <w:rPr>
          <w:sz w:val="22"/>
          <w:szCs w:val="22"/>
        </w:rPr>
        <w:t>Swedzka</w:t>
      </w:r>
      <w:proofErr w:type="spellEnd"/>
      <w:r w:rsidR="002B4B5D" w:rsidRPr="002B4B5D">
        <w:rPr>
          <w:sz w:val="22"/>
          <w:szCs w:val="22"/>
        </w:rPr>
        <w:t xml:space="preserve"> in Warsaw (the “Transactions”). Following the issuance of occupancy permits for each property, handover of the projects took place and subsequently the leasing </w:t>
      </w:r>
      <w:r w:rsidR="002B4B5D">
        <w:rPr>
          <w:sz w:val="22"/>
          <w:szCs w:val="22"/>
        </w:rPr>
        <w:t xml:space="preserve">of </w:t>
      </w:r>
      <w:r w:rsidR="002B4B5D" w:rsidRPr="002B4B5D">
        <w:rPr>
          <w:sz w:val="22"/>
          <w:szCs w:val="22"/>
        </w:rPr>
        <w:t>the units began. As a result, the assets, valued at EUR 34.7 million and EUR 92.9 million, respectively (including all advance payments made during the development period), have been classified as investment properties.</w:t>
      </w:r>
    </w:p>
    <w:p w14:paraId="090E7354" w14:textId="77777777" w:rsidR="00C92456" w:rsidRDefault="00C92456" w:rsidP="00F218A4">
      <w:pPr>
        <w:ind w:left="1080"/>
        <w:jc w:val="both"/>
        <w:rPr>
          <w:sz w:val="22"/>
          <w:szCs w:val="22"/>
        </w:rPr>
      </w:pPr>
    </w:p>
    <w:p w14:paraId="052E88FF" w14:textId="437568EC" w:rsidR="002A7852" w:rsidRPr="00D0148F" w:rsidRDefault="002A7852" w:rsidP="00F218A4">
      <w:pPr>
        <w:numPr>
          <w:ilvl w:val="0"/>
          <w:numId w:val="3"/>
        </w:numPr>
        <w:ind w:left="1080"/>
        <w:jc w:val="both"/>
        <w:rPr>
          <w:sz w:val="22"/>
          <w:szCs w:val="22"/>
        </w:rPr>
      </w:pPr>
      <w:r w:rsidRPr="00D0148F">
        <w:rPr>
          <w:sz w:val="22"/>
          <w:szCs w:val="22"/>
        </w:rPr>
        <w:t xml:space="preserve">During the year </w:t>
      </w:r>
      <w:proofErr w:type="gramStart"/>
      <w:r w:rsidRPr="00D0148F">
        <w:rPr>
          <w:sz w:val="22"/>
          <w:szCs w:val="22"/>
        </w:rPr>
        <w:t>ended</w:t>
      </w:r>
      <w:proofErr w:type="gramEnd"/>
      <w:r w:rsidRPr="00D0148F">
        <w:rPr>
          <w:sz w:val="22"/>
          <w:szCs w:val="22"/>
        </w:rPr>
        <w:t xml:space="preserve"> December 31, </w:t>
      </w:r>
      <w:proofErr w:type="gramStart"/>
      <w:r w:rsidRPr="00D0148F">
        <w:rPr>
          <w:sz w:val="22"/>
          <w:szCs w:val="22"/>
        </w:rPr>
        <w:t>202</w:t>
      </w:r>
      <w:r w:rsidR="00B23844" w:rsidRPr="00D0148F">
        <w:rPr>
          <w:rFonts w:hint="cs"/>
          <w:sz w:val="22"/>
          <w:szCs w:val="22"/>
          <w:rtl/>
          <w:lang w:bidi="he-IL"/>
        </w:rPr>
        <w:t>4</w:t>
      </w:r>
      <w:proofErr w:type="gramEnd"/>
      <w:r w:rsidRPr="00D0148F">
        <w:rPr>
          <w:sz w:val="22"/>
          <w:szCs w:val="22"/>
        </w:rPr>
        <w:t xml:space="preserve"> the Group completed the construction of</w:t>
      </w:r>
      <w:r w:rsidR="004A521F">
        <w:rPr>
          <w:sz w:val="22"/>
          <w:szCs w:val="22"/>
        </w:rPr>
        <w:t xml:space="preserve"> the following project</w:t>
      </w:r>
      <w:r w:rsidR="003A0052">
        <w:rPr>
          <w:sz w:val="22"/>
          <w:szCs w:val="22"/>
        </w:rPr>
        <w:t>s</w:t>
      </w:r>
      <w:r w:rsidRPr="00D0148F">
        <w:rPr>
          <w:sz w:val="22"/>
          <w:szCs w:val="22"/>
        </w:rPr>
        <w:t>:</w:t>
      </w:r>
    </w:p>
    <w:p w14:paraId="654A47B2" w14:textId="77777777" w:rsidR="002A7852" w:rsidRPr="008B4D00" w:rsidRDefault="002A7852" w:rsidP="002A7852">
      <w:pPr>
        <w:pStyle w:val="af2"/>
        <w:rPr>
          <w:sz w:val="22"/>
          <w:szCs w:val="22"/>
        </w:rPr>
      </w:pPr>
    </w:p>
    <w:p w14:paraId="6DAD662E" w14:textId="2EF05DDF" w:rsidR="002A7852" w:rsidRPr="008B4D00" w:rsidRDefault="002A7852" w:rsidP="00D0148F">
      <w:pPr>
        <w:pStyle w:val="af2"/>
        <w:numPr>
          <w:ilvl w:val="0"/>
          <w:numId w:val="28"/>
        </w:numPr>
        <w:jc w:val="both"/>
        <w:rPr>
          <w:sz w:val="22"/>
          <w:szCs w:val="22"/>
        </w:rPr>
      </w:pPr>
      <w:r w:rsidRPr="0020502A">
        <w:rPr>
          <w:sz w:val="22"/>
          <w:szCs w:val="22"/>
        </w:rPr>
        <w:t>Skyline</w:t>
      </w:r>
      <w:r w:rsidR="003C19B8">
        <w:rPr>
          <w:sz w:val="22"/>
          <w:szCs w:val="22"/>
        </w:rPr>
        <w:t xml:space="preserve"> </w:t>
      </w:r>
      <w:r w:rsidR="00D0148F">
        <w:rPr>
          <w:sz w:val="22"/>
          <w:szCs w:val="22"/>
        </w:rPr>
        <w:t>Home,</w:t>
      </w:r>
      <w:r w:rsidRPr="0020502A">
        <w:rPr>
          <w:sz w:val="22"/>
          <w:szCs w:val="22"/>
        </w:rPr>
        <w:t xml:space="preserve"> </w:t>
      </w:r>
      <w:r w:rsidR="00E22788">
        <w:rPr>
          <w:sz w:val="22"/>
          <w:szCs w:val="22"/>
        </w:rPr>
        <w:t>a</w:t>
      </w:r>
      <w:r w:rsidR="00E22788" w:rsidRPr="008B4D00">
        <w:rPr>
          <w:sz w:val="22"/>
          <w:szCs w:val="22"/>
        </w:rPr>
        <w:t xml:space="preserve"> residential</w:t>
      </w:r>
      <w:r w:rsidR="00E22788">
        <w:rPr>
          <w:sz w:val="22"/>
          <w:szCs w:val="22"/>
        </w:rPr>
        <w:t>-</w:t>
      </w:r>
      <w:r w:rsidR="00E22788" w:rsidRPr="008B4D00">
        <w:rPr>
          <w:sz w:val="22"/>
          <w:szCs w:val="22"/>
        </w:rPr>
        <w:t>for</w:t>
      </w:r>
      <w:r w:rsidR="00E22788">
        <w:rPr>
          <w:sz w:val="22"/>
          <w:szCs w:val="22"/>
        </w:rPr>
        <w:t>-</w:t>
      </w:r>
      <w:r w:rsidR="00E22788" w:rsidRPr="008B4D00">
        <w:rPr>
          <w:sz w:val="22"/>
          <w:szCs w:val="22"/>
        </w:rPr>
        <w:t xml:space="preserve">rent project </w:t>
      </w:r>
      <w:r w:rsidRPr="0020502A">
        <w:rPr>
          <w:sz w:val="22"/>
          <w:szCs w:val="22"/>
        </w:rPr>
        <w:t xml:space="preserve">in Belgrade, Serbia, in an amount of EUR </w:t>
      </w:r>
      <w:r w:rsidR="00D0148F">
        <w:rPr>
          <w:rFonts w:hint="cs"/>
          <w:sz w:val="22"/>
          <w:szCs w:val="22"/>
          <w:rtl/>
          <w:lang w:bidi="he-IL"/>
        </w:rPr>
        <w:t>45</w:t>
      </w:r>
      <w:r w:rsidRPr="0020502A">
        <w:rPr>
          <w:sz w:val="22"/>
          <w:szCs w:val="22"/>
        </w:rPr>
        <w:t xml:space="preserve"> million</w:t>
      </w:r>
      <w:r w:rsidR="00243412">
        <w:rPr>
          <w:sz w:val="22"/>
          <w:szCs w:val="22"/>
        </w:rPr>
        <w:t>.</w:t>
      </w:r>
      <w:r w:rsidRPr="0020502A">
        <w:rPr>
          <w:sz w:val="22"/>
          <w:szCs w:val="22"/>
        </w:rPr>
        <w:t xml:space="preserve"> </w:t>
      </w:r>
    </w:p>
    <w:p w14:paraId="3035EFD8" w14:textId="55ED6D25" w:rsidR="002A7852" w:rsidRPr="008B4D00" w:rsidRDefault="002A7852" w:rsidP="002A7852">
      <w:pPr>
        <w:pStyle w:val="af2"/>
        <w:numPr>
          <w:ilvl w:val="0"/>
          <w:numId w:val="28"/>
        </w:numPr>
        <w:jc w:val="both"/>
        <w:rPr>
          <w:sz w:val="22"/>
          <w:szCs w:val="22"/>
        </w:rPr>
      </w:pPr>
      <w:r w:rsidRPr="008B4D00">
        <w:rPr>
          <w:sz w:val="22"/>
          <w:szCs w:val="22"/>
        </w:rPr>
        <w:t xml:space="preserve">AFI </w:t>
      </w:r>
      <w:r w:rsidR="00D0148F">
        <w:rPr>
          <w:sz w:val="22"/>
          <w:szCs w:val="22"/>
        </w:rPr>
        <w:t>Loft</w:t>
      </w:r>
      <w:r w:rsidRPr="008B4D00">
        <w:rPr>
          <w:sz w:val="22"/>
          <w:szCs w:val="22"/>
        </w:rPr>
        <w:t xml:space="preserve">, </w:t>
      </w:r>
      <w:r w:rsidR="00D0148F">
        <w:rPr>
          <w:sz w:val="22"/>
          <w:szCs w:val="22"/>
        </w:rPr>
        <w:t>an office project</w:t>
      </w:r>
      <w:r w:rsidRPr="008B4D00">
        <w:rPr>
          <w:sz w:val="22"/>
          <w:szCs w:val="22"/>
        </w:rPr>
        <w:t xml:space="preserve"> in </w:t>
      </w:r>
      <w:r w:rsidR="00D0148F" w:rsidRPr="00D0148F">
        <w:rPr>
          <w:sz w:val="22"/>
          <w:szCs w:val="22"/>
        </w:rPr>
        <w:t>Bucharest</w:t>
      </w:r>
      <w:r w:rsidRPr="008B4D00">
        <w:rPr>
          <w:sz w:val="22"/>
          <w:szCs w:val="22"/>
        </w:rPr>
        <w:t>,</w:t>
      </w:r>
      <w:r w:rsidRPr="0020502A">
        <w:rPr>
          <w:sz w:val="22"/>
          <w:szCs w:val="22"/>
        </w:rPr>
        <w:t xml:space="preserve"> Romania,</w:t>
      </w:r>
      <w:r w:rsidRPr="008B4D00">
        <w:rPr>
          <w:sz w:val="22"/>
          <w:szCs w:val="22"/>
        </w:rPr>
        <w:t xml:space="preserve"> in an amount of EUR </w:t>
      </w:r>
      <w:r w:rsidR="003A743E">
        <w:rPr>
          <w:sz w:val="22"/>
          <w:szCs w:val="22"/>
        </w:rPr>
        <w:t>29.6</w:t>
      </w:r>
      <w:r w:rsidRPr="008B4D00">
        <w:rPr>
          <w:sz w:val="22"/>
          <w:szCs w:val="22"/>
        </w:rPr>
        <w:t xml:space="preserve"> million.</w:t>
      </w:r>
    </w:p>
    <w:p w14:paraId="203EF222" w14:textId="48746BA9" w:rsidR="002A7852" w:rsidRPr="008B4D00" w:rsidRDefault="002A7852" w:rsidP="002A7852">
      <w:pPr>
        <w:pStyle w:val="af2"/>
        <w:numPr>
          <w:ilvl w:val="0"/>
          <w:numId w:val="28"/>
        </w:numPr>
        <w:jc w:val="both"/>
        <w:rPr>
          <w:sz w:val="22"/>
          <w:szCs w:val="22"/>
        </w:rPr>
      </w:pPr>
      <w:r w:rsidRPr="008B4D00">
        <w:rPr>
          <w:sz w:val="22"/>
          <w:szCs w:val="22"/>
        </w:rPr>
        <w:t xml:space="preserve">AFI Home </w:t>
      </w:r>
      <w:proofErr w:type="spellStart"/>
      <w:r w:rsidRPr="008B4D00">
        <w:rPr>
          <w:sz w:val="22"/>
          <w:szCs w:val="22"/>
        </w:rPr>
        <w:t>Kolbenova</w:t>
      </w:r>
      <w:proofErr w:type="spellEnd"/>
      <w:r w:rsidRPr="008B4D00">
        <w:rPr>
          <w:sz w:val="22"/>
          <w:szCs w:val="22"/>
        </w:rPr>
        <w:t xml:space="preserve"> </w:t>
      </w:r>
      <w:r w:rsidR="00D0148F">
        <w:rPr>
          <w:rFonts w:hint="cs"/>
          <w:sz w:val="22"/>
          <w:szCs w:val="22"/>
          <w:rtl/>
          <w:lang w:bidi="he-IL"/>
        </w:rPr>
        <w:t>2</w:t>
      </w:r>
      <w:r w:rsidR="00243412">
        <w:rPr>
          <w:sz w:val="22"/>
          <w:szCs w:val="22"/>
          <w:lang w:bidi="he-IL"/>
        </w:rPr>
        <w:t>,</w:t>
      </w:r>
      <w:r w:rsidRPr="0020502A" w:rsidDel="00B54011">
        <w:rPr>
          <w:sz w:val="22"/>
          <w:szCs w:val="22"/>
        </w:rPr>
        <w:t xml:space="preserve"> </w:t>
      </w:r>
      <w:r w:rsidR="00D0148F">
        <w:rPr>
          <w:sz w:val="22"/>
          <w:szCs w:val="22"/>
        </w:rPr>
        <w:t>a</w:t>
      </w:r>
      <w:r w:rsidRPr="008B4D00">
        <w:rPr>
          <w:sz w:val="22"/>
          <w:szCs w:val="22"/>
        </w:rPr>
        <w:t xml:space="preserve"> residential for rent project in Prague, Czech Republic, in an amount of </w:t>
      </w:r>
      <w:r w:rsidRPr="0020502A">
        <w:rPr>
          <w:sz w:val="22"/>
          <w:szCs w:val="22"/>
        </w:rPr>
        <w:t xml:space="preserve">EUR </w:t>
      </w:r>
      <w:r w:rsidR="00D0148F">
        <w:rPr>
          <w:sz w:val="22"/>
          <w:szCs w:val="22"/>
        </w:rPr>
        <w:t>57.4</w:t>
      </w:r>
      <w:r w:rsidRPr="0020502A">
        <w:rPr>
          <w:sz w:val="22"/>
          <w:szCs w:val="22"/>
        </w:rPr>
        <w:t xml:space="preserve"> million</w:t>
      </w:r>
      <w:r w:rsidR="00D0148F">
        <w:rPr>
          <w:sz w:val="22"/>
          <w:szCs w:val="22"/>
        </w:rPr>
        <w:t>.</w:t>
      </w:r>
    </w:p>
    <w:p w14:paraId="29DBD2D4" w14:textId="6231B2C5" w:rsidR="002A7852" w:rsidRPr="0020502A" w:rsidRDefault="002A7852" w:rsidP="002A7852">
      <w:pPr>
        <w:pStyle w:val="af2"/>
        <w:numPr>
          <w:ilvl w:val="0"/>
          <w:numId w:val="28"/>
        </w:numPr>
        <w:jc w:val="both"/>
        <w:rPr>
          <w:sz w:val="22"/>
          <w:szCs w:val="22"/>
        </w:rPr>
      </w:pPr>
      <w:r w:rsidRPr="008B4D00">
        <w:rPr>
          <w:sz w:val="22"/>
          <w:szCs w:val="22"/>
        </w:rPr>
        <w:t xml:space="preserve">AFI Home </w:t>
      </w:r>
      <w:proofErr w:type="spellStart"/>
      <w:r w:rsidR="00D0148F" w:rsidRPr="00D0148F">
        <w:rPr>
          <w:sz w:val="22"/>
          <w:szCs w:val="22"/>
        </w:rPr>
        <w:t>Czyzewskiego</w:t>
      </w:r>
      <w:proofErr w:type="spellEnd"/>
      <w:r w:rsidR="00243412">
        <w:rPr>
          <w:sz w:val="22"/>
          <w:szCs w:val="22"/>
        </w:rPr>
        <w:t>,</w:t>
      </w:r>
      <w:r w:rsidRPr="008B4D00">
        <w:rPr>
          <w:sz w:val="22"/>
          <w:szCs w:val="22"/>
        </w:rPr>
        <w:t xml:space="preserve"> </w:t>
      </w:r>
      <w:r w:rsidR="00D0148F">
        <w:rPr>
          <w:sz w:val="22"/>
          <w:szCs w:val="22"/>
        </w:rPr>
        <w:t>a</w:t>
      </w:r>
      <w:r w:rsidRPr="0020502A">
        <w:rPr>
          <w:sz w:val="22"/>
          <w:szCs w:val="22"/>
        </w:rPr>
        <w:t xml:space="preserve"> residential for rent project</w:t>
      </w:r>
      <w:r w:rsidR="00D0148F">
        <w:rPr>
          <w:sz w:val="22"/>
          <w:szCs w:val="22"/>
        </w:rPr>
        <w:t xml:space="preserve"> </w:t>
      </w:r>
      <w:r w:rsidRPr="0020502A">
        <w:rPr>
          <w:sz w:val="22"/>
          <w:szCs w:val="22"/>
        </w:rPr>
        <w:t xml:space="preserve">in Krakow, Poland, in an amount of EUR </w:t>
      </w:r>
      <w:r w:rsidR="00D0148F">
        <w:rPr>
          <w:sz w:val="22"/>
          <w:szCs w:val="22"/>
        </w:rPr>
        <w:t>29.3</w:t>
      </w:r>
      <w:r w:rsidRPr="0020502A">
        <w:rPr>
          <w:sz w:val="22"/>
          <w:szCs w:val="22"/>
        </w:rPr>
        <w:t xml:space="preserve"> million</w:t>
      </w:r>
      <w:r w:rsidR="00D0148F">
        <w:rPr>
          <w:sz w:val="22"/>
          <w:szCs w:val="22"/>
        </w:rPr>
        <w:t>.</w:t>
      </w:r>
    </w:p>
    <w:p w14:paraId="4562783F" w14:textId="77777777" w:rsidR="00CD2CB0" w:rsidRPr="00770FFF" w:rsidRDefault="00CD2CB0" w:rsidP="002A7852">
      <w:pPr>
        <w:pStyle w:val="af2"/>
        <w:rPr>
          <w:sz w:val="22"/>
          <w:szCs w:val="22"/>
        </w:rPr>
      </w:pPr>
    </w:p>
    <w:p w14:paraId="6A31E803" w14:textId="36785BBB" w:rsidR="002A7852" w:rsidRPr="005C7D15" w:rsidRDefault="002A7852" w:rsidP="002A7852">
      <w:pPr>
        <w:ind w:left="1080"/>
        <w:jc w:val="both"/>
        <w:rPr>
          <w:sz w:val="22"/>
          <w:szCs w:val="22"/>
        </w:rPr>
      </w:pPr>
      <w:r w:rsidRPr="00B23844">
        <w:rPr>
          <w:sz w:val="22"/>
          <w:szCs w:val="22"/>
        </w:rPr>
        <w:t xml:space="preserve">During the year </w:t>
      </w:r>
      <w:proofErr w:type="gramStart"/>
      <w:r w:rsidRPr="00B23844">
        <w:rPr>
          <w:sz w:val="22"/>
          <w:szCs w:val="22"/>
        </w:rPr>
        <w:t>ended</w:t>
      </w:r>
      <w:proofErr w:type="gramEnd"/>
      <w:r w:rsidRPr="00B23844">
        <w:rPr>
          <w:sz w:val="22"/>
          <w:szCs w:val="22"/>
        </w:rPr>
        <w:t xml:space="preserve"> December 31, </w:t>
      </w:r>
      <w:proofErr w:type="gramStart"/>
      <w:r w:rsidRPr="00B23844">
        <w:rPr>
          <w:sz w:val="22"/>
          <w:szCs w:val="22"/>
        </w:rPr>
        <w:t>202</w:t>
      </w:r>
      <w:r w:rsidR="00B23844" w:rsidRPr="00B23844">
        <w:rPr>
          <w:rFonts w:hint="cs"/>
          <w:sz w:val="22"/>
          <w:szCs w:val="22"/>
          <w:rtl/>
          <w:lang w:bidi="he-IL"/>
        </w:rPr>
        <w:t>3</w:t>
      </w:r>
      <w:proofErr w:type="gramEnd"/>
      <w:r w:rsidRPr="00B23844">
        <w:rPr>
          <w:sz w:val="22"/>
          <w:szCs w:val="22"/>
        </w:rPr>
        <w:t xml:space="preserve"> the Group completed the construction of</w:t>
      </w:r>
      <w:r w:rsidR="00D16741">
        <w:rPr>
          <w:sz w:val="22"/>
          <w:szCs w:val="22"/>
        </w:rPr>
        <w:t xml:space="preserve"> the following projects</w:t>
      </w:r>
      <w:r w:rsidRPr="00B23844">
        <w:rPr>
          <w:sz w:val="22"/>
          <w:szCs w:val="22"/>
        </w:rPr>
        <w:t>:</w:t>
      </w:r>
    </w:p>
    <w:p w14:paraId="179EA737" w14:textId="77777777" w:rsidR="002A7852" w:rsidRPr="005C7D15" w:rsidRDefault="002A7852" w:rsidP="002A7852">
      <w:pPr>
        <w:pStyle w:val="af2"/>
        <w:rPr>
          <w:sz w:val="22"/>
          <w:szCs w:val="22"/>
        </w:rPr>
      </w:pPr>
    </w:p>
    <w:p w14:paraId="2882E5B1" w14:textId="27A4201C" w:rsidR="00BF416C" w:rsidRPr="008B4D00" w:rsidRDefault="00BF416C" w:rsidP="00BF416C">
      <w:pPr>
        <w:pStyle w:val="af2"/>
        <w:numPr>
          <w:ilvl w:val="0"/>
          <w:numId w:val="28"/>
        </w:numPr>
        <w:jc w:val="both"/>
        <w:rPr>
          <w:sz w:val="22"/>
          <w:szCs w:val="22"/>
        </w:rPr>
      </w:pPr>
      <w:r w:rsidRPr="0020502A">
        <w:rPr>
          <w:sz w:val="22"/>
          <w:szCs w:val="22"/>
        </w:rPr>
        <w:t>Skyline</w:t>
      </w:r>
      <w:r>
        <w:rPr>
          <w:sz w:val="22"/>
          <w:szCs w:val="22"/>
        </w:rPr>
        <w:t xml:space="preserve"> building</w:t>
      </w:r>
      <w:r w:rsidRPr="0020502A">
        <w:rPr>
          <w:sz w:val="22"/>
          <w:szCs w:val="22"/>
        </w:rPr>
        <w:t xml:space="preserve"> C, </w:t>
      </w:r>
      <w:r w:rsidRPr="008B4D00">
        <w:rPr>
          <w:sz w:val="22"/>
          <w:szCs w:val="22"/>
        </w:rPr>
        <w:t xml:space="preserve">Airport City building </w:t>
      </w:r>
      <w:r w:rsidRPr="0020502A">
        <w:rPr>
          <w:sz w:val="22"/>
          <w:szCs w:val="22"/>
        </w:rPr>
        <w:t xml:space="preserve">2500 and </w:t>
      </w:r>
      <w:r>
        <w:rPr>
          <w:sz w:val="22"/>
          <w:szCs w:val="22"/>
        </w:rPr>
        <w:t xml:space="preserve">AFI </w:t>
      </w:r>
      <w:r w:rsidRPr="0020502A">
        <w:rPr>
          <w:sz w:val="22"/>
          <w:szCs w:val="22"/>
        </w:rPr>
        <w:t xml:space="preserve">Zmaj West, three office projects in Belgrade, Serbia, in an amount of EUR 82.5 million, EUR 31.8 million and EUR 39.2 million, respectively. </w:t>
      </w:r>
    </w:p>
    <w:p w14:paraId="40B28B85" w14:textId="5E70A544" w:rsidR="00BF416C" w:rsidRPr="008B4D00" w:rsidRDefault="00BF416C" w:rsidP="00BF416C">
      <w:pPr>
        <w:pStyle w:val="af2"/>
        <w:numPr>
          <w:ilvl w:val="0"/>
          <w:numId w:val="28"/>
        </w:numPr>
        <w:jc w:val="both"/>
        <w:rPr>
          <w:sz w:val="22"/>
          <w:szCs w:val="22"/>
        </w:rPr>
      </w:pPr>
      <w:r w:rsidRPr="008B4D00">
        <w:rPr>
          <w:sz w:val="22"/>
          <w:szCs w:val="22"/>
        </w:rPr>
        <w:t xml:space="preserve">AFI </w:t>
      </w:r>
      <w:r w:rsidRPr="0020502A">
        <w:rPr>
          <w:sz w:val="22"/>
          <w:szCs w:val="22"/>
        </w:rPr>
        <w:t>Arad</w:t>
      </w:r>
      <w:r w:rsidRPr="008B4D00">
        <w:rPr>
          <w:sz w:val="22"/>
          <w:szCs w:val="22"/>
        </w:rPr>
        <w:t>, a retail park in Arad,</w:t>
      </w:r>
      <w:r w:rsidRPr="0020502A">
        <w:rPr>
          <w:sz w:val="22"/>
          <w:szCs w:val="22"/>
        </w:rPr>
        <w:t xml:space="preserve"> Romania,</w:t>
      </w:r>
      <w:r w:rsidRPr="008B4D00">
        <w:rPr>
          <w:sz w:val="22"/>
          <w:szCs w:val="22"/>
        </w:rPr>
        <w:t xml:space="preserve"> in an amount of EUR </w:t>
      </w:r>
      <w:r w:rsidRPr="0020502A">
        <w:rPr>
          <w:sz w:val="22"/>
          <w:szCs w:val="22"/>
        </w:rPr>
        <w:t>51.7</w:t>
      </w:r>
      <w:r w:rsidRPr="008B4D00">
        <w:rPr>
          <w:sz w:val="22"/>
          <w:szCs w:val="22"/>
        </w:rPr>
        <w:t xml:space="preserve"> million.</w:t>
      </w:r>
    </w:p>
    <w:p w14:paraId="1C9F4D74" w14:textId="7667BD68" w:rsidR="00BF416C" w:rsidRPr="008B4D00" w:rsidRDefault="00BF416C" w:rsidP="00BF416C">
      <w:pPr>
        <w:pStyle w:val="af2"/>
        <w:numPr>
          <w:ilvl w:val="0"/>
          <w:numId w:val="28"/>
        </w:numPr>
        <w:jc w:val="both"/>
        <w:rPr>
          <w:sz w:val="22"/>
          <w:szCs w:val="22"/>
        </w:rPr>
      </w:pPr>
      <w:r w:rsidRPr="0020502A">
        <w:rPr>
          <w:sz w:val="22"/>
          <w:szCs w:val="22"/>
        </w:rPr>
        <w:t xml:space="preserve">AFI Home Karlin and </w:t>
      </w:r>
      <w:r w:rsidRPr="008B4D00">
        <w:rPr>
          <w:sz w:val="22"/>
          <w:szCs w:val="22"/>
        </w:rPr>
        <w:t xml:space="preserve">AFI Home </w:t>
      </w:r>
      <w:proofErr w:type="spellStart"/>
      <w:r w:rsidRPr="008B4D00">
        <w:rPr>
          <w:sz w:val="22"/>
          <w:szCs w:val="22"/>
        </w:rPr>
        <w:t>Kolbenova</w:t>
      </w:r>
      <w:proofErr w:type="spellEnd"/>
      <w:r w:rsidRPr="008B4D00">
        <w:rPr>
          <w:sz w:val="22"/>
          <w:szCs w:val="22"/>
        </w:rPr>
        <w:t xml:space="preserve"> D+</w:t>
      </w:r>
      <w:proofErr w:type="gramStart"/>
      <w:r w:rsidRPr="008B4D00">
        <w:rPr>
          <w:sz w:val="22"/>
          <w:szCs w:val="22"/>
        </w:rPr>
        <w:t>E</w:t>
      </w:r>
      <w:r w:rsidRPr="0020502A">
        <w:rPr>
          <w:sz w:val="22"/>
          <w:szCs w:val="22"/>
        </w:rPr>
        <w:t xml:space="preserve"> </w:t>
      </w:r>
      <w:r w:rsidRPr="008B4D00">
        <w:rPr>
          <w:sz w:val="22"/>
          <w:szCs w:val="22"/>
        </w:rPr>
        <w:t>,</w:t>
      </w:r>
      <w:proofErr w:type="gramEnd"/>
      <w:r w:rsidRPr="008B4D00">
        <w:rPr>
          <w:sz w:val="22"/>
          <w:szCs w:val="22"/>
        </w:rPr>
        <w:t xml:space="preserve"> </w:t>
      </w:r>
      <w:r w:rsidRPr="0020502A">
        <w:rPr>
          <w:sz w:val="22"/>
          <w:szCs w:val="22"/>
        </w:rPr>
        <w:t>two</w:t>
      </w:r>
      <w:r w:rsidRPr="008B4D00">
        <w:rPr>
          <w:sz w:val="22"/>
          <w:szCs w:val="22"/>
        </w:rPr>
        <w:t xml:space="preserve"> residential for rent project</w:t>
      </w:r>
      <w:r w:rsidRPr="0020502A">
        <w:rPr>
          <w:sz w:val="22"/>
          <w:szCs w:val="22"/>
        </w:rPr>
        <w:t>s</w:t>
      </w:r>
      <w:r w:rsidRPr="008B4D00">
        <w:rPr>
          <w:sz w:val="22"/>
          <w:szCs w:val="22"/>
        </w:rPr>
        <w:t xml:space="preserve"> in Prague, Czech Republic, in an amount of </w:t>
      </w:r>
      <w:r w:rsidRPr="0020502A">
        <w:rPr>
          <w:sz w:val="22"/>
          <w:szCs w:val="22"/>
        </w:rPr>
        <w:t xml:space="preserve">EUR 55.6 million and EUR 45.7 million, respectively. </w:t>
      </w:r>
    </w:p>
    <w:p w14:paraId="266B1057" w14:textId="6CDC9681" w:rsidR="00BF416C" w:rsidRPr="00FF0EEB" w:rsidRDefault="00BF416C" w:rsidP="00BF416C">
      <w:pPr>
        <w:pStyle w:val="af2"/>
        <w:numPr>
          <w:ilvl w:val="0"/>
          <w:numId w:val="28"/>
        </w:numPr>
        <w:jc w:val="both"/>
        <w:rPr>
          <w:sz w:val="22"/>
          <w:szCs w:val="22"/>
        </w:rPr>
      </w:pPr>
      <w:r w:rsidRPr="008B4D00">
        <w:rPr>
          <w:sz w:val="22"/>
          <w:szCs w:val="22"/>
        </w:rPr>
        <w:t xml:space="preserve">AFI Home </w:t>
      </w:r>
      <w:proofErr w:type="spellStart"/>
      <w:r w:rsidRPr="008B4D00">
        <w:rPr>
          <w:sz w:val="22"/>
          <w:szCs w:val="22"/>
        </w:rPr>
        <w:t>Europejskie</w:t>
      </w:r>
      <w:proofErr w:type="spellEnd"/>
      <w:r w:rsidRPr="008B4D00">
        <w:rPr>
          <w:sz w:val="22"/>
          <w:szCs w:val="22"/>
        </w:rPr>
        <w:t xml:space="preserve"> and AFI Home </w:t>
      </w:r>
      <w:proofErr w:type="spellStart"/>
      <w:r w:rsidRPr="008B4D00">
        <w:rPr>
          <w:sz w:val="22"/>
          <w:szCs w:val="22"/>
        </w:rPr>
        <w:t>Dajwor</w:t>
      </w:r>
      <w:proofErr w:type="spellEnd"/>
      <w:r w:rsidRPr="008B4D00">
        <w:rPr>
          <w:sz w:val="22"/>
          <w:szCs w:val="22"/>
        </w:rPr>
        <w:t>, two</w:t>
      </w:r>
      <w:r w:rsidRPr="0020502A">
        <w:rPr>
          <w:sz w:val="22"/>
          <w:szCs w:val="22"/>
        </w:rPr>
        <w:t xml:space="preserve"> residential for rent projects in Krakow, Poland</w:t>
      </w:r>
      <w:r w:rsidRPr="00FF0EEB">
        <w:rPr>
          <w:sz w:val="22"/>
          <w:szCs w:val="22"/>
        </w:rPr>
        <w:t>, in an amount of EUR 12.7 million and EUR 5.5 million, respectively.</w:t>
      </w:r>
    </w:p>
    <w:p w14:paraId="2B182E3F" w14:textId="77777777" w:rsidR="00FF0EEB" w:rsidRDefault="00FF0EEB" w:rsidP="002A7852">
      <w:pPr>
        <w:pStyle w:val="af2"/>
        <w:ind w:left="1440"/>
        <w:jc w:val="both"/>
        <w:rPr>
          <w:sz w:val="22"/>
          <w:szCs w:val="22"/>
        </w:rPr>
      </w:pPr>
    </w:p>
    <w:p w14:paraId="371CA802" w14:textId="77777777" w:rsidR="006D240B" w:rsidRDefault="006D240B" w:rsidP="002A7852">
      <w:pPr>
        <w:pStyle w:val="af2"/>
        <w:ind w:left="1440"/>
        <w:jc w:val="both"/>
        <w:rPr>
          <w:sz w:val="22"/>
          <w:szCs w:val="22"/>
        </w:rPr>
      </w:pPr>
    </w:p>
    <w:p w14:paraId="0DCC27C0" w14:textId="77777777" w:rsidR="006D240B" w:rsidRDefault="006D240B" w:rsidP="002A7852">
      <w:pPr>
        <w:pStyle w:val="af2"/>
        <w:ind w:left="1440"/>
        <w:jc w:val="both"/>
        <w:rPr>
          <w:sz w:val="22"/>
          <w:szCs w:val="22"/>
        </w:rPr>
      </w:pPr>
    </w:p>
    <w:p w14:paraId="683B30A7" w14:textId="77777777" w:rsidR="00EB5E70" w:rsidRPr="001D55D7" w:rsidRDefault="00EB5E70" w:rsidP="00EB5E70">
      <w:pPr>
        <w:rPr>
          <w:b/>
          <w:bCs/>
          <w:sz w:val="22"/>
          <w:szCs w:val="22"/>
          <w:lang w:bidi="he-IL"/>
        </w:rPr>
      </w:pPr>
      <w:r w:rsidRPr="00FF0EEB">
        <w:rPr>
          <w:b/>
          <w:bCs/>
          <w:sz w:val="22"/>
          <w:szCs w:val="22"/>
        </w:rPr>
        <w:t>Note 5 - Investment</w:t>
      </w:r>
      <w:r w:rsidRPr="001D55D7">
        <w:rPr>
          <w:b/>
          <w:bCs/>
          <w:sz w:val="22"/>
          <w:szCs w:val="22"/>
        </w:rPr>
        <w:t xml:space="preserve"> Property (cont'd)</w:t>
      </w:r>
    </w:p>
    <w:p w14:paraId="6A45A690" w14:textId="77777777" w:rsidR="00EB5E70" w:rsidRPr="00FF0EEB" w:rsidRDefault="00EB5E70" w:rsidP="002A7852">
      <w:pPr>
        <w:pStyle w:val="af2"/>
        <w:ind w:left="1440"/>
        <w:jc w:val="both"/>
        <w:rPr>
          <w:sz w:val="22"/>
          <w:szCs w:val="22"/>
        </w:rPr>
      </w:pPr>
    </w:p>
    <w:p w14:paraId="7C953049" w14:textId="77777777" w:rsidR="002A7852" w:rsidRPr="00F02921" w:rsidRDefault="002A7852" w:rsidP="002A7852">
      <w:pPr>
        <w:ind w:left="567" w:hanging="567"/>
        <w:jc w:val="both"/>
        <w:outlineLvl w:val="3"/>
        <w:rPr>
          <w:b/>
          <w:bCs/>
          <w:sz w:val="22"/>
          <w:szCs w:val="22"/>
        </w:rPr>
      </w:pPr>
      <w:r w:rsidRPr="00F02921">
        <w:rPr>
          <w:b/>
          <w:bCs/>
          <w:sz w:val="22"/>
          <w:szCs w:val="22"/>
        </w:rPr>
        <w:t>B.</w:t>
      </w:r>
      <w:r w:rsidRPr="00F02921">
        <w:rPr>
          <w:b/>
          <w:bCs/>
          <w:sz w:val="22"/>
          <w:szCs w:val="22"/>
        </w:rPr>
        <w:tab/>
        <w:t xml:space="preserve">Measurement of fair value </w:t>
      </w:r>
    </w:p>
    <w:p w14:paraId="026A5689" w14:textId="77777777" w:rsidR="002A7852" w:rsidRPr="00FF0EEB" w:rsidRDefault="002A7852" w:rsidP="002A7852">
      <w:pPr>
        <w:ind w:left="567"/>
        <w:jc w:val="both"/>
        <w:rPr>
          <w:b/>
          <w:bCs/>
          <w:sz w:val="22"/>
          <w:szCs w:val="22"/>
        </w:rPr>
      </w:pPr>
    </w:p>
    <w:p w14:paraId="44867C8B" w14:textId="77777777" w:rsidR="002A7852" w:rsidRPr="00F02921" w:rsidRDefault="002A7852" w:rsidP="002A7852">
      <w:pPr>
        <w:ind w:left="567" w:hanging="567"/>
        <w:jc w:val="both"/>
        <w:outlineLvl w:val="4"/>
        <w:rPr>
          <w:b/>
          <w:bCs/>
          <w:sz w:val="22"/>
          <w:szCs w:val="22"/>
        </w:rPr>
      </w:pPr>
      <w:r w:rsidRPr="00F02921">
        <w:rPr>
          <w:b/>
          <w:bCs/>
          <w:sz w:val="22"/>
          <w:szCs w:val="22"/>
        </w:rPr>
        <w:t>(1)</w:t>
      </w:r>
      <w:r w:rsidRPr="00F02921">
        <w:rPr>
          <w:b/>
          <w:bCs/>
          <w:sz w:val="22"/>
          <w:szCs w:val="22"/>
        </w:rPr>
        <w:tab/>
        <w:t>Fair value hierarchy</w:t>
      </w:r>
    </w:p>
    <w:p w14:paraId="7664B1DE" w14:textId="77777777" w:rsidR="002A7852" w:rsidRPr="00FF0EEB" w:rsidRDefault="002A7852" w:rsidP="002A7852">
      <w:pPr>
        <w:ind w:left="567"/>
        <w:jc w:val="both"/>
        <w:rPr>
          <w:sz w:val="22"/>
          <w:szCs w:val="22"/>
        </w:rPr>
      </w:pPr>
    </w:p>
    <w:p w14:paraId="10088C89" w14:textId="77777777" w:rsidR="002A7852" w:rsidRPr="00F02921" w:rsidRDefault="002A7852" w:rsidP="002A7852">
      <w:pPr>
        <w:ind w:left="567"/>
        <w:jc w:val="both"/>
        <w:rPr>
          <w:sz w:val="22"/>
          <w:szCs w:val="22"/>
        </w:rPr>
      </w:pPr>
      <w:r w:rsidRPr="005853D4">
        <w:rPr>
          <w:sz w:val="22"/>
          <w:szCs w:val="22"/>
        </w:rPr>
        <w:t xml:space="preserve">The investment properties and investment properties under development </w:t>
      </w:r>
      <w:proofErr w:type="gramStart"/>
      <w:r w:rsidRPr="005853D4">
        <w:rPr>
          <w:sz w:val="22"/>
          <w:szCs w:val="22"/>
        </w:rPr>
        <w:t>that are measured</w:t>
      </w:r>
      <w:proofErr w:type="gramEnd"/>
      <w:r w:rsidRPr="005853D4">
        <w:rPr>
          <w:sz w:val="22"/>
          <w:szCs w:val="22"/>
        </w:rPr>
        <w:t xml:space="preserve"> at fair value, using a valuation method according to the fair value levels are defined as Level 3. For a definition of the various hierarchy levels, </w:t>
      </w:r>
      <w:r w:rsidRPr="00C66B29">
        <w:rPr>
          <w:sz w:val="22"/>
          <w:szCs w:val="22"/>
        </w:rPr>
        <w:t>see Note 2(E) regarding</w:t>
      </w:r>
      <w:r w:rsidRPr="005853D4">
        <w:rPr>
          <w:sz w:val="22"/>
          <w:szCs w:val="22"/>
        </w:rPr>
        <w:t xml:space="preserve"> the basis of preparation of the financial statements.</w:t>
      </w:r>
    </w:p>
    <w:p w14:paraId="36DC6A15" w14:textId="77777777" w:rsidR="002A7852" w:rsidRDefault="002A7852" w:rsidP="00237FC5">
      <w:pPr>
        <w:ind w:left="1080"/>
        <w:jc w:val="both"/>
        <w:rPr>
          <w:sz w:val="22"/>
          <w:szCs w:val="22"/>
        </w:rPr>
      </w:pPr>
    </w:p>
    <w:p w14:paraId="2AF81573" w14:textId="77777777" w:rsidR="009A3FCC" w:rsidRPr="00F02921" w:rsidRDefault="009A3FCC" w:rsidP="000B59AD">
      <w:pPr>
        <w:ind w:left="567" w:hanging="567"/>
        <w:jc w:val="both"/>
        <w:outlineLvl w:val="4"/>
        <w:rPr>
          <w:b/>
          <w:bCs/>
          <w:sz w:val="22"/>
          <w:szCs w:val="22"/>
        </w:rPr>
      </w:pPr>
      <w:bookmarkStart w:id="134" w:name="H5_2Valuation_processes_used_by_the_Comp"/>
      <w:r w:rsidRPr="00F02921">
        <w:rPr>
          <w:b/>
          <w:bCs/>
          <w:sz w:val="22"/>
          <w:szCs w:val="22"/>
        </w:rPr>
        <w:t>(2)</w:t>
      </w:r>
      <w:r w:rsidRPr="00F02921">
        <w:rPr>
          <w:b/>
          <w:bCs/>
          <w:sz w:val="22"/>
          <w:szCs w:val="22"/>
        </w:rPr>
        <w:tab/>
        <w:t>Valuation processes used by the Company</w:t>
      </w:r>
    </w:p>
    <w:bookmarkEnd w:id="134"/>
    <w:p w14:paraId="26CADF5A" w14:textId="77777777" w:rsidR="00635178" w:rsidRPr="007C2983" w:rsidRDefault="00635178" w:rsidP="009A3FCC">
      <w:pPr>
        <w:autoSpaceDE w:val="0"/>
        <w:autoSpaceDN w:val="0"/>
        <w:adjustRightInd w:val="0"/>
        <w:ind w:left="567"/>
        <w:jc w:val="both"/>
        <w:rPr>
          <w:sz w:val="10"/>
          <w:szCs w:val="10"/>
        </w:rPr>
      </w:pPr>
    </w:p>
    <w:p w14:paraId="0A5BA516" w14:textId="16037134" w:rsidR="009A3FCC" w:rsidRPr="00F02921" w:rsidRDefault="00E47EC4" w:rsidP="00E47EC4">
      <w:pPr>
        <w:autoSpaceDE w:val="0"/>
        <w:autoSpaceDN w:val="0"/>
        <w:adjustRightInd w:val="0"/>
        <w:ind w:left="567"/>
        <w:jc w:val="both"/>
        <w:rPr>
          <w:sz w:val="22"/>
          <w:szCs w:val="22"/>
        </w:rPr>
      </w:pPr>
      <w:r>
        <w:rPr>
          <w:sz w:val="22"/>
          <w:szCs w:val="22"/>
        </w:rPr>
        <w:t xml:space="preserve">For the year ended December 31, </w:t>
      </w:r>
      <w:r w:rsidR="00F70D5B">
        <w:rPr>
          <w:sz w:val="22"/>
          <w:szCs w:val="22"/>
        </w:rPr>
        <w:t>2024</w:t>
      </w:r>
      <w:r>
        <w:rPr>
          <w:sz w:val="22"/>
          <w:szCs w:val="22"/>
        </w:rPr>
        <w:t xml:space="preserve">, the Group commissioned independent appraisals reports on its investment properties </w:t>
      </w:r>
      <w:r w:rsidR="009B7A64">
        <w:rPr>
          <w:sz w:val="22"/>
          <w:szCs w:val="22"/>
        </w:rPr>
        <w:t xml:space="preserve">by </w:t>
      </w:r>
      <w:r>
        <w:rPr>
          <w:sz w:val="22"/>
          <w:szCs w:val="22"/>
        </w:rPr>
        <w:t>CBRE, an</w:t>
      </w:r>
      <w:r w:rsidR="009A3FCC" w:rsidRPr="00F02921">
        <w:rPr>
          <w:sz w:val="22"/>
          <w:szCs w:val="22"/>
        </w:rPr>
        <w:t xml:space="preserve"> external, independent valuation company, </w:t>
      </w:r>
      <w:r w:rsidR="00B43ABE" w:rsidRPr="00E47EC4">
        <w:rPr>
          <w:sz w:val="22"/>
          <w:szCs w:val="22"/>
        </w:rPr>
        <w:t>member of the Royal Institution of Chartered Surveyors</w:t>
      </w:r>
      <w:r w:rsidR="00B43ABE">
        <w:rPr>
          <w:sz w:val="22"/>
          <w:szCs w:val="22"/>
        </w:rPr>
        <w:t xml:space="preserve"> </w:t>
      </w:r>
      <w:r w:rsidR="00B43ABE" w:rsidRPr="00E47EC4">
        <w:rPr>
          <w:sz w:val="22"/>
          <w:szCs w:val="22"/>
        </w:rPr>
        <w:t>(RICS)</w:t>
      </w:r>
      <w:r w:rsidR="00B43ABE">
        <w:rPr>
          <w:sz w:val="22"/>
          <w:szCs w:val="22"/>
        </w:rPr>
        <w:t xml:space="preserve">, and </w:t>
      </w:r>
      <w:r w:rsidR="009A3FCC" w:rsidRPr="00F02921">
        <w:rPr>
          <w:sz w:val="22"/>
          <w:szCs w:val="22"/>
        </w:rPr>
        <w:t>having appropriate recognized professional qualifications and recent experience in the location</w:t>
      </w:r>
      <w:r w:rsidR="00A23D44">
        <w:rPr>
          <w:sz w:val="22"/>
          <w:szCs w:val="22"/>
        </w:rPr>
        <w:t>s</w:t>
      </w:r>
      <w:r w:rsidR="009A3FCC" w:rsidRPr="00F02921">
        <w:rPr>
          <w:sz w:val="22"/>
          <w:szCs w:val="22"/>
        </w:rPr>
        <w:t xml:space="preserve"> and categor</w:t>
      </w:r>
      <w:r w:rsidR="00A23D44">
        <w:rPr>
          <w:sz w:val="22"/>
          <w:szCs w:val="22"/>
        </w:rPr>
        <w:t>ies</w:t>
      </w:r>
      <w:r w:rsidR="009A3FCC" w:rsidRPr="00F02921">
        <w:rPr>
          <w:sz w:val="22"/>
          <w:szCs w:val="22"/>
        </w:rPr>
        <w:t xml:space="preserve"> of </w:t>
      </w:r>
      <w:r w:rsidR="00A23D44">
        <w:rPr>
          <w:sz w:val="22"/>
          <w:szCs w:val="22"/>
        </w:rPr>
        <w:t xml:space="preserve">the </w:t>
      </w:r>
      <w:r w:rsidR="009A3FCC" w:rsidRPr="00F02921">
        <w:rPr>
          <w:sz w:val="22"/>
          <w:szCs w:val="22"/>
        </w:rPr>
        <w:t>propert</w:t>
      </w:r>
      <w:r w:rsidR="00A23D44">
        <w:rPr>
          <w:sz w:val="22"/>
          <w:szCs w:val="22"/>
        </w:rPr>
        <w:t>ies</w:t>
      </w:r>
      <w:r w:rsidR="009A3FCC" w:rsidRPr="00F02921">
        <w:rPr>
          <w:sz w:val="22"/>
          <w:szCs w:val="22"/>
        </w:rPr>
        <w:t xml:space="preserve"> being valued</w:t>
      </w:r>
      <w:r w:rsidR="006C666D">
        <w:rPr>
          <w:sz w:val="22"/>
          <w:szCs w:val="22"/>
        </w:rPr>
        <w:t>.</w:t>
      </w:r>
      <w:r w:rsidR="009A3FCC" w:rsidRPr="00F02921">
        <w:rPr>
          <w:sz w:val="22"/>
          <w:szCs w:val="22"/>
        </w:rPr>
        <w:t xml:space="preserve"> </w:t>
      </w:r>
      <w:r w:rsidR="006C666D">
        <w:rPr>
          <w:sz w:val="22"/>
          <w:szCs w:val="22"/>
        </w:rPr>
        <w:t xml:space="preserve">CBRE </w:t>
      </w:r>
      <w:r w:rsidR="009A3FCC" w:rsidRPr="00F02921">
        <w:rPr>
          <w:sz w:val="22"/>
          <w:szCs w:val="22"/>
        </w:rPr>
        <w:t>values the Group’s investment property portfolio once a year, and</w:t>
      </w:r>
      <w:r w:rsidR="00D5497C">
        <w:rPr>
          <w:sz w:val="22"/>
          <w:szCs w:val="22"/>
        </w:rPr>
        <w:t xml:space="preserve"> additionally</w:t>
      </w:r>
      <w:r w:rsidR="009A3FCC" w:rsidRPr="00F02921">
        <w:rPr>
          <w:sz w:val="22"/>
          <w:szCs w:val="22"/>
        </w:rPr>
        <w:t xml:space="preserve"> upon demand </w:t>
      </w:r>
      <w:r w:rsidR="0088531F">
        <w:rPr>
          <w:sz w:val="22"/>
          <w:szCs w:val="22"/>
        </w:rPr>
        <w:t>when</w:t>
      </w:r>
      <w:r w:rsidR="009A3FCC" w:rsidRPr="00F02921">
        <w:rPr>
          <w:sz w:val="22"/>
          <w:szCs w:val="22"/>
        </w:rPr>
        <w:t xml:space="preserve"> material events </w:t>
      </w:r>
      <w:r w:rsidR="00AF76DF">
        <w:rPr>
          <w:sz w:val="22"/>
          <w:szCs w:val="22"/>
        </w:rPr>
        <w:t xml:space="preserve">have </w:t>
      </w:r>
      <w:r w:rsidR="009A3FCC" w:rsidRPr="00F02921">
        <w:rPr>
          <w:sz w:val="22"/>
          <w:szCs w:val="22"/>
        </w:rPr>
        <w:t xml:space="preserve">occurred (such as </w:t>
      </w:r>
      <w:r w:rsidR="00D5497C">
        <w:rPr>
          <w:sz w:val="22"/>
          <w:szCs w:val="22"/>
        </w:rPr>
        <w:t xml:space="preserve">signing </w:t>
      </w:r>
      <w:r w:rsidR="0088531F">
        <w:rPr>
          <w:sz w:val="22"/>
          <w:szCs w:val="22"/>
        </w:rPr>
        <w:t>new major leases</w:t>
      </w:r>
      <w:r w:rsidR="009A3FCC" w:rsidRPr="00F02921">
        <w:rPr>
          <w:sz w:val="22"/>
          <w:szCs w:val="22"/>
        </w:rPr>
        <w:t xml:space="preserve">, </w:t>
      </w:r>
      <w:r w:rsidR="0088531F">
        <w:rPr>
          <w:sz w:val="22"/>
          <w:szCs w:val="22"/>
        </w:rPr>
        <w:t xml:space="preserve">construction </w:t>
      </w:r>
      <w:r w:rsidR="009A3FCC" w:rsidRPr="00F02921">
        <w:rPr>
          <w:sz w:val="22"/>
          <w:szCs w:val="22"/>
        </w:rPr>
        <w:t xml:space="preserve">completion, </w:t>
      </w:r>
      <w:r w:rsidR="00AF76DF">
        <w:rPr>
          <w:sz w:val="22"/>
          <w:szCs w:val="22"/>
        </w:rPr>
        <w:t xml:space="preserve">and </w:t>
      </w:r>
      <w:r w:rsidR="009A3FCC" w:rsidRPr="00F02921">
        <w:rPr>
          <w:sz w:val="22"/>
          <w:szCs w:val="22"/>
        </w:rPr>
        <w:t xml:space="preserve">significant change in </w:t>
      </w:r>
      <w:r w:rsidR="00AF76DF">
        <w:rPr>
          <w:sz w:val="22"/>
          <w:szCs w:val="22"/>
        </w:rPr>
        <w:t>r</w:t>
      </w:r>
      <w:r w:rsidR="009A3FCC" w:rsidRPr="00F02921">
        <w:rPr>
          <w:sz w:val="22"/>
          <w:szCs w:val="22"/>
        </w:rPr>
        <w:t xml:space="preserve">ental income) </w:t>
      </w:r>
      <w:r w:rsidR="00AF76DF">
        <w:rPr>
          <w:sz w:val="22"/>
          <w:szCs w:val="22"/>
        </w:rPr>
        <w:t>in accordance with</w:t>
      </w:r>
      <w:r w:rsidR="009A3FCC" w:rsidRPr="00F02921">
        <w:rPr>
          <w:sz w:val="22"/>
          <w:szCs w:val="22"/>
        </w:rPr>
        <w:t xml:space="preserve"> the Group’s policy. </w:t>
      </w:r>
    </w:p>
    <w:p w14:paraId="6D24B5A1" w14:textId="77777777" w:rsidR="00EB5E70" w:rsidRDefault="00EB5E70" w:rsidP="009A3FCC">
      <w:pPr>
        <w:autoSpaceDE w:val="0"/>
        <w:autoSpaceDN w:val="0"/>
        <w:adjustRightInd w:val="0"/>
        <w:ind w:left="567"/>
        <w:jc w:val="both"/>
        <w:rPr>
          <w:sz w:val="22"/>
          <w:szCs w:val="22"/>
          <w:rtl/>
          <w:lang w:bidi="he-IL"/>
        </w:rPr>
      </w:pPr>
    </w:p>
    <w:p w14:paraId="344C8D70" w14:textId="77777777" w:rsidR="001462BF" w:rsidRDefault="001462BF" w:rsidP="001462BF">
      <w:pPr>
        <w:autoSpaceDE w:val="0"/>
        <w:autoSpaceDN w:val="0"/>
        <w:adjustRightInd w:val="0"/>
        <w:ind w:left="567"/>
        <w:jc w:val="both"/>
        <w:rPr>
          <w:sz w:val="22"/>
          <w:szCs w:val="22"/>
        </w:rPr>
      </w:pPr>
      <w:r>
        <w:rPr>
          <w:sz w:val="22"/>
          <w:szCs w:val="22"/>
        </w:rPr>
        <w:t xml:space="preserve">The valuations of investment properties are based on recent transactions in respect of similar assets in similar locations and </w:t>
      </w:r>
      <w:proofErr w:type="gramStart"/>
      <w:r>
        <w:rPr>
          <w:sz w:val="22"/>
          <w:szCs w:val="22"/>
        </w:rPr>
        <w:t>conditions, and</w:t>
      </w:r>
      <w:proofErr w:type="gramEnd"/>
      <w:r>
        <w:rPr>
          <w:sz w:val="22"/>
          <w:szCs w:val="22"/>
        </w:rPr>
        <w:t xml:space="preserve"> are made using the DCF method.</w:t>
      </w:r>
    </w:p>
    <w:p w14:paraId="4A27354B" w14:textId="690966A7" w:rsidR="00C92456" w:rsidRPr="00F02921" w:rsidRDefault="009F4D82" w:rsidP="009F4D82">
      <w:pPr>
        <w:autoSpaceDE w:val="0"/>
        <w:autoSpaceDN w:val="0"/>
        <w:adjustRightInd w:val="0"/>
        <w:ind w:left="567"/>
        <w:jc w:val="both"/>
        <w:rPr>
          <w:sz w:val="22"/>
          <w:szCs w:val="22"/>
        </w:rPr>
      </w:pPr>
      <w:r w:rsidRPr="00F02921">
        <w:rPr>
          <w:sz w:val="22"/>
          <w:szCs w:val="22"/>
        </w:rPr>
        <w:t>Valuations reflect, when appropriate:</w:t>
      </w:r>
      <w:r w:rsidR="002C1EA8">
        <w:rPr>
          <w:sz w:val="22"/>
          <w:szCs w:val="22"/>
        </w:rPr>
        <w:t xml:space="preserve"> (</w:t>
      </w:r>
      <w:proofErr w:type="spellStart"/>
      <w:r w:rsidR="002C1EA8">
        <w:rPr>
          <w:sz w:val="22"/>
          <w:szCs w:val="22"/>
        </w:rPr>
        <w:t>i</w:t>
      </w:r>
      <w:proofErr w:type="spellEnd"/>
      <w:r w:rsidR="002C1EA8">
        <w:rPr>
          <w:sz w:val="22"/>
          <w:szCs w:val="22"/>
        </w:rPr>
        <w:t>)</w:t>
      </w:r>
      <w:r w:rsidRPr="00F02921">
        <w:rPr>
          <w:sz w:val="22"/>
          <w:szCs w:val="22"/>
        </w:rPr>
        <w:t xml:space="preserve"> the type of tenants </w:t>
      </w:r>
      <w:proofErr w:type="gramStart"/>
      <w:r w:rsidRPr="00F02921">
        <w:rPr>
          <w:sz w:val="22"/>
          <w:szCs w:val="22"/>
        </w:rPr>
        <w:t>actually in</w:t>
      </w:r>
      <w:proofErr w:type="gramEnd"/>
      <w:r w:rsidRPr="00F02921">
        <w:rPr>
          <w:sz w:val="22"/>
          <w:szCs w:val="22"/>
        </w:rPr>
        <w:t xml:space="preserve"> occupation or </w:t>
      </w:r>
      <w:r w:rsidR="00655D67">
        <w:rPr>
          <w:sz w:val="22"/>
          <w:szCs w:val="22"/>
        </w:rPr>
        <w:t xml:space="preserve">liable for the </w:t>
      </w:r>
      <w:r w:rsidRPr="00F02921">
        <w:rPr>
          <w:sz w:val="22"/>
          <w:szCs w:val="22"/>
        </w:rPr>
        <w:t xml:space="preserve">lease commitments or likely to be in occupation after </w:t>
      </w:r>
      <w:proofErr w:type="gramStart"/>
      <w:r w:rsidRPr="00F02921">
        <w:rPr>
          <w:sz w:val="22"/>
          <w:szCs w:val="22"/>
        </w:rPr>
        <w:t>letting</w:t>
      </w:r>
      <w:proofErr w:type="gramEnd"/>
      <w:r w:rsidRPr="00F02921">
        <w:rPr>
          <w:sz w:val="22"/>
          <w:szCs w:val="22"/>
        </w:rPr>
        <w:t xml:space="preserve"> vacant </w:t>
      </w:r>
      <w:r w:rsidR="002C1EA8">
        <w:rPr>
          <w:sz w:val="22"/>
          <w:szCs w:val="22"/>
        </w:rPr>
        <w:t>premises</w:t>
      </w:r>
      <w:r w:rsidRPr="00F02921">
        <w:rPr>
          <w:sz w:val="22"/>
          <w:szCs w:val="22"/>
        </w:rPr>
        <w:t xml:space="preserve">, and the market’s general perception of their creditworthiness; </w:t>
      </w:r>
      <w:r w:rsidR="002C1EA8">
        <w:rPr>
          <w:sz w:val="22"/>
          <w:szCs w:val="22"/>
        </w:rPr>
        <w:t xml:space="preserve">(ii) </w:t>
      </w:r>
      <w:r w:rsidRPr="00F02921">
        <w:rPr>
          <w:sz w:val="22"/>
          <w:szCs w:val="22"/>
        </w:rPr>
        <w:t xml:space="preserve">the allocation of maintenance and insurance responsibilities between the Group and the lessee; and </w:t>
      </w:r>
      <w:r w:rsidR="00795D6B">
        <w:rPr>
          <w:sz w:val="22"/>
          <w:szCs w:val="22"/>
        </w:rPr>
        <w:t xml:space="preserve">(iii) </w:t>
      </w:r>
      <w:r w:rsidRPr="00F02921">
        <w:rPr>
          <w:sz w:val="22"/>
          <w:szCs w:val="22"/>
        </w:rPr>
        <w:t>the remaining economic life of the property. When rent reviews or lease renewals are pending with anticipated reversionary increases, it is assumed that all notices, and when appropriate counter-notices, have been served validly and within the appropriate time.</w:t>
      </w:r>
    </w:p>
    <w:p w14:paraId="4FD2F15A" w14:textId="77777777" w:rsidR="00BC044B" w:rsidRPr="007C2983" w:rsidRDefault="00BC044B" w:rsidP="00A72037">
      <w:pPr>
        <w:rPr>
          <w:b/>
          <w:bCs/>
          <w:sz w:val="10"/>
          <w:szCs w:val="10"/>
          <w:lang w:bidi="he-IL"/>
        </w:rPr>
      </w:pPr>
    </w:p>
    <w:p w14:paraId="19BA1CC9" w14:textId="5290FF95" w:rsidR="00C35D07" w:rsidRPr="001D55D7" w:rsidRDefault="00C35D07" w:rsidP="000B59AD">
      <w:pPr>
        <w:ind w:left="720" w:hanging="720"/>
        <w:jc w:val="both"/>
        <w:outlineLvl w:val="4"/>
        <w:rPr>
          <w:sz w:val="22"/>
          <w:szCs w:val="22"/>
        </w:rPr>
      </w:pPr>
      <w:bookmarkStart w:id="135" w:name="H5_3Details_regarding_fair_value_measure"/>
      <w:r w:rsidRPr="001D55D7">
        <w:rPr>
          <w:b/>
          <w:bCs/>
          <w:sz w:val="22"/>
          <w:szCs w:val="22"/>
        </w:rPr>
        <w:t>(3)</w:t>
      </w:r>
      <w:r w:rsidRPr="001D55D7">
        <w:rPr>
          <w:b/>
          <w:bCs/>
          <w:sz w:val="22"/>
          <w:szCs w:val="22"/>
        </w:rPr>
        <w:tab/>
        <w:t>Details regarding fair value measurement of investment property</w:t>
      </w:r>
    </w:p>
    <w:bookmarkEnd w:id="135"/>
    <w:p w14:paraId="13EF10B5" w14:textId="77777777" w:rsidR="00C35D07" w:rsidRDefault="00C35D07" w:rsidP="000204C7">
      <w:pPr>
        <w:rPr>
          <w:b/>
          <w:bCs/>
          <w:sz w:val="22"/>
          <w:szCs w:val="22"/>
        </w:rPr>
      </w:pPr>
    </w:p>
    <w:p w14:paraId="5560A062" w14:textId="5CBB4D92" w:rsidR="000D4AF9" w:rsidRPr="000D4AF9" w:rsidRDefault="000D4AF9" w:rsidP="000D4AF9">
      <w:pPr>
        <w:autoSpaceDE w:val="0"/>
        <w:autoSpaceDN w:val="0"/>
        <w:adjustRightInd w:val="0"/>
        <w:ind w:left="567"/>
        <w:jc w:val="both"/>
        <w:rPr>
          <w:sz w:val="22"/>
          <w:szCs w:val="22"/>
        </w:rPr>
      </w:pPr>
      <w:r w:rsidRPr="000D4AF9">
        <w:rPr>
          <w:sz w:val="22"/>
          <w:szCs w:val="22"/>
        </w:rPr>
        <w:t xml:space="preserve">As of December 31, </w:t>
      </w:r>
      <w:r w:rsidR="004441C0">
        <w:rPr>
          <w:sz w:val="22"/>
          <w:szCs w:val="22"/>
        </w:rPr>
        <w:t>202</w:t>
      </w:r>
      <w:r w:rsidR="00C52BA0">
        <w:rPr>
          <w:sz w:val="22"/>
          <w:szCs w:val="22"/>
        </w:rPr>
        <w:t>4</w:t>
      </w:r>
      <w:r w:rsidRPr="000D4AF9">
        <w:rPr>
          <w:sz w:val="22"/>
          <w:szCs w:val="22"/>
        </w:rPr>
        <w:t>:</w:t>
      </w:r>
    </w:p>
    <w:tbl>
      <w:tblPr>
        <w:tblStyle w:val="af1"/>
        <w:tblW w:w="9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A0" w:firstRow="1" w:lastRow="0" w:firstColumn="1" w:lastColumn="0" w:noHBand="1" w:noVBand="1"/>
        <w:tblCaption w:val="AHR01"/>
        <w:tblDescription w:val="Details regarding fair value measurement of investment property for the year of report"/>
      </w:tblPr>
      <w:tblGrid>
        <w:gridCol w:w="1134"/>
        <w:gridCol w:w="1985"/>
        <w:gridCol w:w="1984"/>
        <w:gridCol w:w="1701"/>
        <w:gridCol w:w="1172"/>
        <w:gridCol w:w="2001"/>
      </w:tblGrid>
      <w:tr w:rsidR="007F0858" w:rsidRPr="000D4AF9" w14:paraId="2009F28A" w14:textId="77777777" w:rsidTr="005101BC">
        <w:trPr>
          <w:cantSplit/>
          <w:trHeight w:val="720"/>
          <w:tblHeader/>
        </w:trPr>
        <w:tc>
          <w:tcPr>
            <w:tcW w:w="1134" w:type="dxa"/>
            <w:vAlign w:val="bottom"/>
          </w:tcPr>
          <w:p w14:paraId="76F5A504" w14:textId="6B137729" w:rsidR="007F0858" w:rsidRPr="000D4AF9" w:rsidRDefault="007F0858" w:rsidP="001A6FB3">
            <w:pPr>
              <w:pBdr>
                <w:bottom w:val="single" w:sz="4" w:space="1" w:color="auto"/>
              </w:pBdr>
              <w:jc w:val="center"/>
              <w:rPr>
                <w:b/>
                <w:bCs/>
                <w:sz w:val="20"/>
              </w:rPr>
            </w:pPr>
            <w:bookmarkStart w:id="136" w:name="Title_21" w:colFirst="0" w:colLast="0"/>
            <w:r w:rsidRPr="000D4AF9">
              <w:rPr>
                <w:b/>
                <w:bCs/>
                <w:sz w:val="20"/>
              </w:rPr>
              <w:t>Country</w:t>
            </w:r>
          </w:p>
        </w:tc>
        <w:tc>
          <w:tcPr>
            <w:tcW w:w="1985" w:type="dxa"/>
            <w:vAlign w:val="bottom"/>
          </w:tcPr>
          <w:p w14:paraId="19D33E27" w14:textId="77777777" w:rsidR="007F0858" w:rsidRPr="000D4AF9" w:rsidRDefault="007F0858" w:rsidP="001A6FB3">
            <w:pPr>
              <w:jc w:val="center"/>
              <w:rPr>
                <w:b/>
                <w:bCs/>
                <w:sz w:val="20"/>
              </w:rPr>
            </w:pPr>
            <w:r w:rsidRPr="000D4AF9">
              <w:rPr>
                <w:b/>
                <w:bCs/>
                <w:sz w:val="20"/>
              </w:rPr>
              <w:t>Use of the</w:t>
            </w:r>
          </w:p>
          <w:p w14:paraId="48C88D5A" w14:textId="58041B03" w:rsidR="007F0858" w:rsidRPr="000D4AF9" w:rsidRDefault="007F0858" w:rsidP="001A6FB3">
            <w:pPr>
              <w:pBdr>
                <w:bottom w:val="single" w:sz="4" w:space="1" w:color="auto"/>
              </w:pBdr>
              <w:jc w:val="center"/>
              <w:rPr>
                <w:b/>
                <w:bCs/>
                <w:sz w:val="20"/>
              </w:rPr>
            </w:pPr>
            <w:r w:rsidRPr="000D4AF9">
              <w:rPr>
                <w:b/>
                <w:bCs/>
                <w:sz w:val="20"/>
              </w:rPr>
              <w:t>property</w:t>
            </w:r>
          </w:p>
        </w:tc>
        <w:tc>
          <w:tcPr>
            <w:tcW w:w="1984" w:type="dxa"/>
            <w:vAlign w:val="bottom"/>
          </w:tcPr>
          <w:p w14:paraId="5D3E7B56" w14:textId="77777777" w:rsidR="007F0858" w:rsidRPr="000D4AF9" w:rsidRDefault="007F0858" w:rsidP="001A6FB3">
            <w:pPr>
              <w:jc w:val="center"/>
              <w:rPr>
                <w:b/>
                <w:bCs/>
                <w:sz w:val="20"/>
              </w:rPr>
            </w:pPr>
            <w:r w:rsidRPr="000D4AF9">
              <w:rPr>
                <w:b/>
                <w:bCs/>
                <w:sz w:val="20"/>
              </w:rPr>
              <w:t>Fair Value</w:t>
            </w:r>
          </w:p>
          <w:p w14:paraId="50E39C1F" w14:textId="410E78F8" w:rsidR="007F0858" w:rsidRPr="000D4AF9" w:rsidRDefault="007F0858" w:rsidP="001A6FB3">
            <w:pPr>
              <w:pBdr>
                <w:bottom w:val="single" w:sz="4" w:space="1" w:color="auto"/>
              </w:pBdr>
              <w:jc w:val="center"/>
              <w:rPr>
                <w:b/>
                <w:bCs/>
                <w:sz w:val="20"/>
              </w:rPr>
            </w:pPr>
            <w:r w:rsidRPr="000D4AF9">
              <w:rPr>
                <w:b/>
                <w:bCs/>
                <w:sz w:val="20"/>
              </w:rPr>
              <w:t>(In EUR thousands)</w:t>
            </w:r>
          </w:p>
        </w:tc>
        <w:tc>
          <w:tcPr>
            <w:tcW w:w="1701" w:type="dxa"/>
            <w:vAlign w:val="bottom"/>
          </w:tcPr>
          <w:p w14:paraId="2C8633A0" w14:textId="77777777" w:rsidR="007F0858" w:rsidRPr="000D4AF9" w:rsidRDefault="007F0858" w:rsidP="001A6FB3">
            <w:pPr>
              <w:jc w:val="center"/>
              <w:rPr>
                <w:b/>
                <w:bCs/>
                <w:sz w:val="20"/>
              </w:rPr>
            </w:pPr>
            <w:r w:rsidRPr="000D4AF9">
              <w:rPr>
                <w:b/>
                <w:bCs/>
                <w:sz w:val="20"/>
              </w:rPr>
              <w:t>Yield rate</w:t>
            </w:r>
          </w:p>
          <w:p w14:paraId="46E936B7" w14:textId="33775DD0" w:rsidR="007F0858" w:rsidRPr="000D4AF9" w:rsidRDefault="007F0858" w:rsidP="001A6FB3">
            <w:pPr>
              <w:pBdr>
                <w:bottom w:val="single" w:sz="4" w:space="1" w:color="auto"/>
              </w:pBdr>
              <w:jc w:val="center"/>
              <w:rPr>
                <w:b/>
                <w:bCs/>
                <w:sz w:val="20"/>
              </w:rPr>
            </w:pPr>
            <w:r w:rsidRPr="000D4AF9">
              <w:rPr>
                <w:b/>
                <w:bCs/>
                <w:sz w:val="20"/>
              </w:rPr>
              <w:t>(in %)</w:t>
            </w:r>
          </w:p>
        </w:tc>
        <w:tc>
          <w:tcPr>
            <w:tcW w:w="1172" w:type="dxa"/>
            <w:vAlign w:val="bottom"/>
          </w:tcPr>
          <w:p w14:paraId="08D51667" w14:textId="77777777" w:rsidR="007F0858" w:rsidRPr="00533B91" w:rsidRDefault="007F0858" w:rsidP="001A6FB3">
            <w:pPr>
              <w:jc w:val="center"/>
              <w:rPr>
                <w:b/>
                <w:bCs/>
                <w:sz w:val="20"/>
              </w:rPr>
            </w:pPr>
            <w:r w:rsidRPr="00533B91">
              <w:rPr>
                <w:b/>
                <w:bCs/>
                <w:sz w:val="20"/>
              </w:rPr>
              <w:t>Occupancy</w:t>
            </w:r>
          </w:p>
          <w:p w14:paraId="7BE4E211" w14:textId="71C928E9" w:rsidR="007F0858" w:rsidRPr="00533B91" w:rsidRDefault="007F0858" w:rsidP="001A6FB3">
            <w:pPr>
              <w:pBdr>
                <w:bottom w:val="single" w:sz="4" w:space="1" w:color="auto"/>
              </w:pBdr>
              <w:jc w:val="center"/>
              <w:rPr>
                <w:b/>
                <w:bCs/>
                <w:sz w:val="20"/>
                <w:lang w:bidi="he-IL"/>
              </w:rPr>
            </w:pPr>
            <w:r w:rsidRPr="00533B91">
              <w:rPr>
                <w:b/>
                <w:bCs/>
                <w:sz w:val="20"/>
              </w:rPr>
              <w:t>(in %)</w:t>
            </w:r>
          </w:p>
        </w:tc>
        <w:tc>
          <w:tcPr>
            <w:tcW w:w="2001" w:type="dxa"/>
            <w:vAlign w:val="bottom"/>
          </w:tcPr>
          <w:p w14:paraId="1915CED5" w14:textId="77777777" w:rsidR="007F0858" w:rsidRPr="00164266" w:rsidRDefault="007F0858" w:rsidP="001A6FB3">
            <w:pPr>
              <w:jc w:val="center"/>
              <w:rPr>
                <w:b/>
                <w:bCs/>
                <w:spacing w:val="-4"/>
                <w:sz w:val="20"/>
              </w:rPr>
            </w:pPr>
            <w:r w:rsidRPr="00164266">
              <w:rPr>
                <w:b/>
                <w:bCs/>
                <w:spacing w:val="-4"/>
                <w:sz w:val="20"/>
              </w:rPr>
              <w:t>Actual weighted average rent per sqm</w:t>
            </w:r>
          </w:p>
          <w:p w14:paraId="16C1B358" w14:textId="74AC6F4F" w:rsidR="007F0858" w:rsidRPr="00C00D3D" w:rsidRDefault="007F0858" w:rsidP="001A6FB3">
            <w:pPr>
              <w:pBdr>
                <w:bottom w:val="single" w:sz="4" w:space="1" w:color="auto"/>
              </w:pBdr>
              <w:jc w:val="center"/>
              <w:rPr>
                <w:b/>
                <w:bCs/>
                <w:spacing w:val="-4"/>
                <w:sz w:val="20"/>
                <w:highlight w:val="yellow"/>
              </w:rPr>
            </w:pPr>
            <w:r w:rsidRPr="00164266">
              <w:rPr>
                <w:b/>
                <w:bCs/>
                <w:sz w:val="20"/>
              </w:rPr>
              <w:t>(In EUR/sqm)</w:t>
            </w:r>
          </w:p>
        </w:tc>
      </w:tr>
      <w:bookmarkEnd w:id="136"/>
      <w:tr w:rsidR="008708F0" w:rsidRPr="000D4AF9" w14:paraId="44501A05" w14:textId="77777777" w:rsidTr="005101BC">
        <w:tc>
          <w:tcPr>
            <w:tcW w:w="1134" w:type="dxa"/>
            <w:vAlign w:val="bottom"/>
          </w:tcPr>
          <w:p w14:paraId="08EA584A" w14:textId="4166DBD9" w:rsidR="008708F0" w:rsidRPr="00942183" w:rsidRDefault="008708F0" w:rsidP="008708F0">
            <w:pPr>
              <w:jc w:val="center"/>
              <w:rPr>
                <w:sz w:val="22"/>
                <w:szCs w:val="22"/>
              </w:rPr>
            </w:pPr>
            <w:r w:rsidRPr="00942183">
              <w:rPr>
                <w:sz w:val="22"/>
                <w:szCs w:val="22"/>
              </w:rPr>
              <w:t>Czech Republic</w:t>
            </w:r>
          </w:p>
        </w:tc>
        <w:tc>
          <w:tcPr>
            <w:tcW w:w="1985" w:type="dxa"/>
            <w:vAlign w:val="bottom"/>
          </w:tcPr>
          <w:p w14:paraId="2149C1B0" w14:textId="220CE91A" w:rsidR="008708F0" w:rsidRPr="00942183" w:rsidRDefault="008708F0" w:rsidP="008708F0">
            <w:pPr>
              <w:jc w:val="center"/>
              <w:rPr>
                <w:sz w:val="22"/>
                <w:szCs w:val="22"/>
              </w:rPr>
            </w:pPr>
            <w:r w:rsidRPr="00942183">
              <w:rPr>
                <w:sz w:val="22"/>
                <w:szCs w:val="22"/>
              </w:rPr>
              <w:t>Offices</w:t>
            </w:r>
          </w:p>
        </w:tc>
        <w:tc>
          <w:tcPr>
            <w:tcW w:w="1984" w:type="dxa"/>
            <w:vAlign w:val="bottom"/>
          </w:tcPr>
          <w:p w14:paraId="25983642" w14:textId="150D4BAB" w:rsidR="008708F0" w:rsidRPr="00942183" w:rsidRDefault="008708F0" w:rsidP="008708F0">
            <w:pPr>
              <w:jc w:val="center"/>
              <w:rPr>
                <w:b/>
                <w:bCs/>
                <w:sz w:val="22"/>
                <w:szCs w:val="22"/>
                <w:highlight w:val="yellow"/>
              </w:rPr>
            </w:pPr>
            <w:r w:rsidRPr="00942183">
              <w:rPr>
                <w:sz w:val="22"/>
                <w:szCs w:val="22"/>
              </w:rPr>
              <w:t>346,047</w:t>
            </w:r>
          </w:p>
        </w:tc>
        <w:tc>
          <w:tcPr>
            <w:tcW w:w="1701" w:type="dxa"/>
            <w:vAlign w:val="bottom"/>
          </w:tcPr>
          <w:p w14:paraId="5B665A17" w14:textId="53AB26CE" w:rsidR="008708F0" w:rsidRPr="008B15D6" w:rsidRDefault="008708F0" w:rsidP="008708F0">
            <w:pPr>
              <w:jc w:val="center"/>
              <w:rPr>
                <w:sz w:val="22"/>
                <w:szCs w:val="22"/>
              </w:rPr>
            </w:pPr>
            <w:r w:rsidRPr="00E43187">
              <w:rPr>
                <w:sz w:val="22"/>
                <w:szCs w:val="22"/>
              </w:rPr>
              <w:t>6.4</w:t>
            </w:r>
          </w:p>
        </w:tc>
        <w:tc>
          <w:tcPr>
            <w:tcW w:w="1172" w:type="dxa"/>
            <w:tcBorders>
              <w:top w:val="nil"/>
              <w:left w:val="nil"/>
              <w:bottom w:val="nil"/>
              <w:right w:val="nil"/>
            </w:tcBorders>
            <w:shd w:val="clear" w:color="auto" w:fill="auto"/>
            <w:vAlign w:val="bottom"/>
          </w:tcPr>
          <w:p w14:paraId="009B1594" w14:textId="232999B1" w:rsidR="008708F0" w:rsidRPr="00942183" w:rsidRDefault="008708F0" w:rsidP="008708F0">
            <w:pPr>
              <w:jc w:val="center"/>
              <w:rPr>
                <w:b/>
                <w:bCs/>
                <w:sz w:val="22"/>
                <w:szCs w:val="22"/>
                <w:lang w:bidi="he-IL"/>
              </w:rPr>
            </w:pPr>
            <w:r w:rsidRPr="00942183">
              <w:rPr>
                <w:sz w:val="22"/>
                <w:szCs w:val="22"/>
              </w:rPr>
              <w:t>95%</w:t>
            </w:r>
          </w:p>
        </w:tc>
        <w:tc>
          <w:tcPr>
            <w:tcW w:w="2001" w:type="dxa"/>
            <w:vAlign w:val="bottom"/>
          </w:tcPr>
          <w:p w14:paraId="58976D7C" w14:textId="67FC8A45" w:rsidR="008708F0" w:rsidRPr="00E43187" w:rsidRDefault="008708F0" w:rsidP="008708F0">
            <w:pPr>
              <w:jc w:val="center"/>
              <w:rPr>
                <w:sz w:val="22"/>
                <w:szCs w:val="22"/>
                <w:lang w:bidi="he-IL"/>
              </w:rPr>
            </w:pPr>
            <w:r w:rsidRPr="00E43187">
              <w:rPr>
                <w:sz w:val="22"/>
                <w:szCs w:val="22"/>
                <w:lang w:bidi="he-IL"/>
              </w:rPr>
              <w:t>15.6</w:t>
            </w:r>
          </w:p>
        </w:tc>
      </w:tr>
      <w:tr w:rsidR="008708F0" w:rsidRPr="000D4AF9" w14:paraId="7F1B98E0" w14:textId="77777777" w:rsidTr="005101BC">
        <w:tc>
          <w:tcPr>
            <w:tcW w:w="1134" w:type="dxa"/>
            <w:vAlign w:val="bottom"/>
          </w:tcPr>
          <w:p w14:paraId="5E23A9A7" w14:textId="6457590B" w:rsidR="008708F0" w:rsidRPr="00942183" w:rsidRDefault="008708F0" w:rsidP="008708F0">
            <w:pPr>
              <w:jc w:val="center"/>
              <w:rPr>
                <w:sz w:val="22"/>
                <w:szCs w:val="22"/>
              </w:rPr>
            </w:pPr>
            <w:r w:rsidRPr="00942183">
              <w:rPr>
                <w:sz w:val="22"/>
                <w:szCs w:val="22"/>
              </w:rPr>
              <w:t>Czech Republic</w:t>
            </w:r>
          </w:p>
        </w:tc>
        <w:tc>
          <w:tcPr>
            <w:tcW w:w="1985" w:type="dxa"/>
            <w:vAlign w:val="bottom"/>
          </w:tcPr>
          <w:p w14:paraId="19304835" w14:textId="05FFE998" w:rsidR="008708F0" w:rsidRPr="00942183" w:rsidRDefault="008708F0" w:rsidP="008708F0">
            <w:pPr>
              <w:jc w:val="center"/>
              <w:rPr>
                <w:sz w:val="22"/>
                <w:szCs w:val="22"/>
              </w:rPr>
            </w:pPr>
            <w:r w:rsidRPr="00942183">
              <w:rPr>
                <w:sz w:val="22"/>
                <w:szCs w:val="22"/>
              </w:rPr>
              <w:t>Residential for rent</w:t>
            </w:r>
          </w:p>
        </w:tc>
        <w:tc>
          <w:tcPr>
            <w:tcW w:w="1984" w:type="dxa"/>
            <w:vAlign w:val="bottom"/>
          </w:tcPr>
          <w:p w14:paraId="6C4ED93E" w14:textId="76645B6A" w:rsidR="008708F0" w:rsidRPr="00942183" w:rsidRDefault="008708F0" w:rsidP="008708F0">
            <w:pPr>
              <w:jc w:val="center"/>
              <w:rPr>
                <w:b/>
                <w:bCs/>
                <w:sz w:val="22"/>
                <w:szCs w:val="22"/>
              </w:rPr>
            </w:pPr>
            <w:r w:rsidRPr="00942183">
              <w:rPr>
                <w:sz w:val="22"/>
                <w:szCs w:val="22"/>
              </w:rPr>
              <w:t>200,856</w:t>
            </w:r>
          </w:p>
        </w:tc>
        <w:tc>
          <w:tcPr>
            <w:tcW w:w="1701" w:type="dxa"/>
            <w:vAlign w:val="bottom"/>
          </w:tcPr>
          <w:p w14:paraId="27F0FE03" w14:textId="6DA708E7" w:rsidR="008708F0" w:rsidRPr="008B15D6" w:rsidRDefault="008708F0" w:rsidP="008708F0">
            <w:pPr>
              <w:jc w:val="center"/>
              <w:rPr>
                <w:sz w:val="22"/>
                <w:szCs w:val="22"/>
              </w:rPr>
            </w:pPr>
            <w:r w:rsidRPr="00E43187">
              <w:rPr>
                <w:sz w:val="22"/>
                <w:szCs w:val="22"/>
              </w:rPr>
              <w:t>4.8</w:t>
            </w:r>
          </w:p>
        </w:tc>
        <w:tc>
          <w:tcPr>
            <w:tcW w:w="1172" w:type="dxa"/>
            <w:tcBorders>
              <w:top w:val="nil"/>
              <w:left w:val="nil"/>
              <w:bottom w:val="nil"/>
              <w:right w:val="nil"/>
            </w:tcBorders>
            <w:shd w:val="clear" w:color="auto" w:fill="auto"/>
            <w:vAlign w:val="bottom"/>
          </w:tcPr>
          <w:p w14:paraId="634D6E83" w14:textId="0DF9DF0A" w:rsidR="008708F0" w:rsidRPr="00942183" w:rsidRDefault="008708F0" w:rsidP="008708F0">
            <w:pPr>
              <w:jc w:val="center"/>
              <w:rPr>
                <w:b/>
                <w:bCs/>
                <w:sz w:val="22"/>
                <w:szCs w:val="22"/>
                <w:lang w:bidi="he-IL"/>
              </w:rPr>
            </w:pPr>
            <w:r w:rsidRPr="00942183">
              <w:rPr>
                <w:sz w:val="22"/>
                <w:szCs w:val="22"/>
              </w:rPr>
              <w:t>89%</w:t>
            </w:r>
          </w:p>
        </w:tc>
        <w:tc>
          <w:tcPr>
            <w:tcW w:w="2001" w:type="dxa"/>
            <w:vAlign w:val="bottom"/>
          </w:tcPr>
          <w:p w14:paraId="2C9584FD" w14:textId="3C0D8585" w:rsidR="008708F0" w:rsidRPr="00E43187" w:rsidRDefault="008708F0" w:rsidP="008708F0">
            <w:pPr>
              <w:jc w:val="center"/>
              <w:rPr>
                <w:sz w:val="22"/>
                <w:szCs w:val="22"/>
                <w:lang w:bidi="he-IL"/>
              </w:rPr>
            </w:pPr>
            <w:r w:rsidRPr="00E43187">
              <w:rPr>
                <w:sz w:val="22"/>
                <w:szCs w:val="22"/>
                <w:lang w:bidi="he-IL"/>
              </w:rPr>
              <w:t>17.6</w:t>
            </w:r>
          </w:p>
        </w:tc>
      </w:tr>
      <w:tr w:rsidR="008708F0" w:rsidRPr="000D4AF9" w14:paraId="77A82F0C" w14:textId="77777777" w:rsidTr="005101BC">
        <w:tc>
          <w:tcPr>
            <w:tcW w:w="1134" w:type="dxa"/>
            <w:vAlign w:val="bottom"/>
          </w:tcPr>
          <w:p w14:paraId="50030D4E" w14:textId="45B12397" w:rsidR="008708F0" w:rsidRPr="00942183" w:rsidRDefault="008708F0" w:rsidP="008708F0">
            <w:pPr>
              <w:jc w:val="center"/>
              <w:rPr>
                <w:sz w:val="22"/>
                <w:szCs w:val="22"/>
              </w:rPr>
            </w:pPr>
            <w:r w:rsidRPr="00942183">
              <w:rPr>
                <w:sz w:val="22"/>
                <w:szCs w:val="22"/>
              </w:rPr>
              <w:t>Romania</w:t>
            </w:r>
          </w:p>
        </w:tc>
        <w:tc>
          <w:tcPr>
            <w:tcW w:w="1985" w:type="dxa"/>
            <w:vAlign w:val="bottom"/>
          </w:tcPr>
          <w:p w14:paraId="20223ADC" w14:textId="37AF3A9D" w:rsidR="008708F0" w:rsidRPr="00942183" w:rsidRDefault="008708F0" w:rsidP="008708F0">
            <w:pPr>
              <w:jc w:val="center"/>
              <w:rPr>
                <w:sz w:val="22"/>
                <w:szCs w:val="22"/>
              </w:rPr>
            </w:pPr>
            <w:r w:rsidRPr="00942183">
              <w:rPr>
                <w:sz w:val="22"/>
                <w:szCs w:val="22"/>
              </w:rPr>
              <w:t>Offices</w:t>
            </w:r>
          </w:p>
        </w:tc>
        <w:tc>
          <w:tcPr>
            <w:tcW w:w="1984" w:type="dxa"/>
            <w:vAlign w:val="bottom"/>
          </w:tcPr>
          <w:p w14:paraId="5C38D560" w14:textId="2C442649" w:rsidR="008708F0" w:rsidRPr="00942183" w:rsidRDefault="008708F0" w:rsidP="008708F0">
            <w:pPr>
              <w:jc w:val="center"/>
              <w:rPr>
                <w:b/>
                <w:bCs/>
                <w:sz w:val="22"/>
                <w:szCs w:val="22"/>
                <w:highlight w:val="yellow"/>
              </w:rPr>
            </w:pPr>
            <w:r w:rsidRPr="00942183">
              <w:rPr>
                <w:sz w:val="22"/>
                <w:szCs w:val="22"/>
              </w:rPr>
              <w:t>598,662</w:t>
            </w:r>
          </w:p>
        </w:tc>
        <w:tc>
          <w:tcPr>
            <w:tcW w:w="1701" w:type="dxa"/>
            <w:vAlign w:val="bottom"/>
          </w:tcPr>
          <w:p w14:paraId="0B5E9A59" w14:textId="29C8C675" w:rsidR="008708F0" w:rsidRPr="008B15D6" w:rsidRDefault="008708F0" w:rsidP="008708F0">
            <w:pPr>
              <w:jc w:val="center"/>
              <w:rPr>
                <w:sz w:val="22"/>
                <w:szCs w:val="22"/>
              </w:rPr>
            </w:pPr>
            <w:r w:rsidRPr="00E43187">
              <w:rPr>
                <w:sz w:val="22"/>
                <w:szCs w:val="22"/>
              </w:rPr>
              <w:t>8.1</w:t>
            </w:r>
          </w:p>
        </w:tc>
        <w:tc>
          <w:tcPr>
            <w:tcW w:w="1172" w:type="dxa"/>
            <w:tcBorders>
              <w:top w:val="nil"/>
              <w:left w:val="nil"/>
              <w:bottom w:val="nil"/>
              <w:right w:val="nil"/>
            </w:tcBorders>
            <w:shd w:val="clear" w:color="auto" w:fill="auto"/>
            <w:vAlign w:val="bottom"/>
          </w:tcPr>
          <w:p w14:paraId="4753ECF9" w14:textId="45EE3DE7" w:rsidR="008708F0" w:rsidRPr="00942183" w:rsidRDefault="008708F0" w:rsidP="008708F0">
            <w:pPr>
              <w:jc w:val="center"/>
              <w:rPr>
                <w:b/>
                <w:bCs/>
                <w:sz w:val="22"/>
                <w:szCs w:val="22"/>
              </w:rPr>
            </w:pPr>
            <w:r w:rsidRPr="00942183">
              <w:rPr>
                <w:sz w:val="22"/>
                <w:szCs w:val="22"/>
              </w:rPr>
              <w:t>88%</w:t>
            </w:r>
          </w:p>
        </w:tc>
        <w:tc>
          <w:tcPr>
            <w:tcW w:w="2001" w:type="dxa"/>
            <w:vAlign w:val="bottom"/>
          </w:tcPr>
          <w:p w14:paraId="79B6DF79" w14:textId="16724A47" w:rsidR="008708F0" w:rsidRPr="00E43187" w:rsidRDefault="008708F0" w:rsidP="008708F0">
            <w:pPr>
              <w:jc w:val="center"/>
              <w:rPr>
                <w:sz w:val="22"/>
                <w:szCs w:val="22"/>
                <w:lang w:bidi="he-IL"/>
              </w:rPr>
            </w:pPr>
            <w:r w:rsidRPr="00E43187">
              <w:rPr>
                <w:sz w:val="22"/>
                <w:szCs w:val="22"/>
                <w:lang w:bidi="he-IL"/>
              </w:rPr>
              <w:t>15.2</w:t>
            </w:r>
          </w:p>
        </w:tc>
      </w:tr>
      <w:tr w:rsidR="008708F0" w:rsidRPr="000D4AF9" w14:paraId="2B430DAE" w14:textId="77777777" w:rsidTr="005101BC">
        <w:tc>
          <w:tcPr>
            <w:tcW w:w="1134" w:type="dxa"/>
            <w:vAlign w:val="bottom"/>
          </w:tcPr>
          <w:p w14:paraId="0A21D693" w14:textId="58685BF2" w:rsidR="008708F0" w:rsidRPr="00942183" w:rsidRDefault="008708F0" w:rsidP="008708F0">
            <w:pPr>
              <w:jc w:val="center"/>
              <w:rPr>
                <w:sz w:val="22"/>
                <w:szCs w:val="22"/>
              </w:rPr>
            </w:pPr>
            <w:r w:rsidRPr="00942183">
              <w:rPr>
                <w:sz w:val="22"/>
                <w:szCs w:val="22"/>
              </w:rPr>
              <w:t>Romania</w:t>
            </w:r>
          </w:p>
        </w:tc>
        <w:tc>
          <w:tcPr>
            <w:tcW w:w="1985" w:type="dxa"/>
            <w:vAlign w:val="bottom"/>
          </w:tcPr>
          <w:p w14:paraId="4F317894" w14:textId="369C349F" w:rsidR="008708F0" w:rsidRPr="00942183" w:rsidRDefault="008708F0" w:rsidP="008708F0">
            <w:pPr>
              <w:jc w:val="center"/>
              <w:rPr>
                <w:sz w:val="22"/>
                <w:szCs w:val="22"/>
              </w:rPr>
            </w:pPr>
            <w:r w:rsidRPr="00942183">
              <w:rPr>
                <w:sz w:val="22"/>
                <w:szCs w:val="22"/>
              </w:rPr>
              <w:t>Retail</w:t>
            </w:r>
          </w:p>
        </w:tc>
        <w:tc>
          <w:tcPr>
            <w:tcW w:w="1984" w:type="dxa"/>
            <w:vAlign w:val="bottom"/>
          </w:tcPr>
          <w:p w14:paraId="37EBA1EE" w14:textId="653416A4" w:rsidR="008708F0" w:rsidRPr="00942183" w:rsidRDefault="008708F0" w:rsidP="008708F0">
            <w:pPr>
              <w:jc w:val="center"/>
              <w:rPr>
                <w:b/>
                <w:bCs/>
                <w:sz w:val="22"/>
                <w:szCs w:val="22"/>
                <w:highlight w:val="yellow"/>
              </w:rPr>
            </w:pPr>
            <w:r w:rsidRPr="00942183">
              <w:rPr>
                <w:sz w:val="22"/>
                <w:szCs w:val="22"/>
              </w:rPr>
              <w:t>869,351</w:t>
            </w:r>
          </w:p>
        </w:tc>
        <w:tc>
          <w:tcPr>
            <w:tcW w:w="1701" w:type="dxa"/>
            <w:vAlign w:val="bottom"/>
          </w:tcPr>
          <w:p w14:paraId="65AFEAF8" w14:textId="48D05D2D" w:rsidR="008708F0" w:rsidRPr="008B15D6" w:rsidRDefault="008708F0" w:rsidP="008708F0">
            <w:pPr>
              <w:jc w:val="center"/>
              <w:rPr>
                <w:sz w:val="22"/>
                <w:szCs w:val="22"/>
                <w:lang w:bidi="he-IL"/>
              </w:rPr>
            </w:pPr>
            <w:r w:rsidRPr="00E43187">
              <w:rPr>
                <w:sz w:val="22"/>
                <w:szCs w:val="22"/>
              </w:rPr>
              <w:t>7.</w:t>
            </w:r>
            <w:r>
              <w:rPr>
                <w:sz w:val="22"/>
                <w:szCs w:val="22"/>
              </w:rPr>
              <w:t>8</w:t>
            </w:r>
          </w:p>
        </w:tc>
        <w:tc>
          <w:tcPr>
            <w:tcW w:w="1172" w:type="dxa"/>
            <w:tcBorders>
              <w:top w:val="nil"/>
              <w:left w:val="nil"/>
              <w:bottom w:val="nil"/>
              <w:right w:val="nil"/>
            </w:tcBorders>
            <w:shd w:val="clear" w:color="auto" w:fill="auto"/>
            <w:vAlign w:val="bottom"/>
          </w:tcPr>
          <w:p w14:paraId="28D61F2F" w14:textId="5FC99464" w:rsidR="008708F0" w:rsidRPr="00942183" w:rsidRDefault="008708F0" w:rsidP="008708F0">
            <w:pPr>
              <w:jc w:val="center"/>
              <w:rPr>
                <w:b/>
                <w:bCs/>
                <w:sz w:val="22"/>
                <w:szCs w:val="22"/>
              </w:rPr>
            </w:pPr>
            <w:r w:rsidRPr="00942183">
              <w:rPr>
                <w:sz w:val="22"/>
                <w:szCs w:val="22"/>
              </w:rPr>
              <w:t>99%</w:t>
            </w:r>
          </w:p>
        </w:tc>
        <w:tc>
          <w:tcPr>
            <w:tcW w:w="2001" w:type="dxa"/>
            <w:vAlign w:val="bottom"/>
          </w:tcPr>
          <w:p w14:paraId="397727EA" w14:textId="7C93514C" w:rsidR="008708F0" w:rsidRPr="00E43187" w:rsidRDefault="008708F0" w:rsidP="008708F0">
            <w:pPr>
              <w:jc w:val="center"/>
              <w:rPr>
                <w:sz w:val="22"/>
                <w:szCs w:val="22"/>
                <w:lang w:bidi="he-IL"/>
              </w:rPr>
            </w:pPr>
            <w:r w:rsidRPr="00E43187">
              <w:rPr>
                <w:sz w:val="22"/>
                <w:szCs w:val="22"/>
                <w:lang w:bidi="he-IL"/>
              </w:rPr>
              <w:t>29.6</w:t>
            </w:r>
          </w:p>
        </w:tc>
      </w:tr>
      <w:tr w:rsidR="008708F0" w:rsidRPr="000D4AF9" w14:paraId="343027A3" w14:textId="77777777" w:rsidTr="005101BC">
        <w:tc>
          <w:tcPr>
            <w:tcW w:w="1134" w:type="dxa"/>
            <w:vAlign w:val="bottom"/>
          </w:tcPr>
          <w:p w14:paraId="3D8DC1EF" w14:textId="219B8C35" w:rsidR="008708F0" w:rsidRPr="00942183" w:rsidRDefault="008708F0" w:rsidP="008708F0">
            <w:pPr>
              <w:jc w:val="center"/>
              <w:rPr>
                <w:sz w:val="22"/>
                <w:szCs w:val="22"/>
              </w:rPr>
            </w:pPr>
            <w:r w:rsidRPr="00942183">
              <w:rPr>
                <w:sz w:val="22"/>
                <w:szCs w:val="22"/>
              </w:rPr>
              <w:t>Serbia</w:t>
            </w:r>
          </w:p>
        </w:tc>
        <w:tc>
          <w:tcPr>
            <w:tcW w:w="1985" w:type="dxa"/>
            <w:vAlign w:val="bottom"/>
          </w:tcPr>
          <w:p w14:paraId="0255C7D1" w14:textId="675E9BED" w:rsidR="008708F0" w:rsidRPr="00942183" w:rsidRDefault="008708F0" w:rsidP="008708F0">
            <w:pPr>
              <w:jc w:val="center"/>
              <w:rPr>
                <w:sz w:val="22"/>
                <w:szCs w:val="22"/>
              </w:rPr>
            </w:pPr>
            <w:r w:rsidRPr="00942183">
              <w:rPr>
                <w:sz w:val="22"/>
                <w:szCs w:val="22"/>
              </w:rPr>
              <w:t>Offices</w:t>
            </w:r>
          </w:p>
        </w:tc>
        <w:tc>
          <w:tcPr>
            <w:tcW w:w="1984" w:type="dxa"/>
            <w:vAlign w:val="bottom"/>
          </w:tcPr>
          <w:p w14:paraId="2FDF562C" w14:textId="5B03AE29" w:rsidR="008708F0" w:rsidRPr="00942183" w:rsidRDefault="008708F0" w:rsidP="008708F0">
            <w:pPr>
              <w:jc w:val="center"/>
              <w:rPr>
                <w:b/>
                <w:bCs/>
                <w:sz w:val="22"/>
                <w:szCs w:val="22"/>
                <w:highlight w:val="yellow"/>
              </w:rPr>
            </w:pPr>
            <w:r w:rsidRPr="00942183">
              <w:rPr>
                <w:sz w:val="22"/>
                <w:szCs w:val="22"/>
              </w:rPr>
              <w:t>485,318</w:t>
            </w:r>
          </w:p>
        </w:tc>
        <w:tc>
          <w:tcPr>
            <w:tcW w:w="1701" w:type="dxa"/>
            <w:vAlign w:val="bottom"/>
          </w:tcPr>
          <w:p w14:paraId="25F9A723" w14:textId="551F5162" w:rsidR="008708F0" w:rsidRPr="008B15D6" w:rsidRDefault="008708F0" w:rsidP="008708F0">
            <w:pPr>
              <w:jc w:val="center"/>
              <w:rPr>
                <w:b/>
                <w:bCs/>
                <w:sz w:val="22"/>
                <w:szCs w:val="22"/>
                <w:highlight w:val="yellow"/>
              </w:rPr>
            </w:pPr>
            <w:r w:rsidRPr="00E43187">
              <w:rPr>
                <w:sz w:val="22"/>
                <w:szCs w:val="22"/>
              </w:rPr>
              <w:t>8.4</w:t>
            </w:r>
          </w:p>
        </w:tc>
        <w:tc>
          <w:tcPr>
            <w:tcW w:w="1172" w:type="dxa"/>
            <w:tcBorders>
              <w:top w:val="nil"/>
              <w:left w:val="nil"/>
              <w:bottom w:val="nil"/>
              <w:right w:val="nil"/>
            </w:tcBorders>
            <w:shd w:val="clear" w:color="auto" w:fill="auto"/>
            <w:vAlign w:val="bottom"/>
          </w:tcPr>
          <w:p w14:paraId="758DA953" w14:textId="534EB97C" w:rsidR="008708F0" w:rsidRPr="00942183" w:rsidRDefault="008708F0" w:rsidP="008708F0">
            <w:pPr>
              <w:jc w:val="center"/>
              <w:rPr>
                <w:b/>
                <w:bCs/>
                <w:sz w:val="22"/>
                <w:szCs w:val="22"/>
                <w:rtl/>
                <w:lang w:bidi="he-IL"/>
              </w:rPr>
            </w:pPr>
            <w:r w:rsidRPr="00942183">
              <w:rPr>
                <w:sz w:val="22"/>
                <w:szCs w:val="22"/>
              </w:rPr>
              <w:t>91%</w:t>
            </w:r>
          </w:p>
        </w:tc>
        <w:tc>
          <w:tcPr>
            <w:tcW w:w="2001" w:type="dxa"/>
            <w:vAlign w:val="bottom"/>
          </w:tcPr>
          <w:p w14:paraId="56A5DD85" w14:textId="2D81FE89" w:rsidR="008708F0" w:rsidRPr="00E43187" w:rsidRDefault="008708F0" w:rsidP="008708F0">
            <w:pPr>
              <w:jc w:val="center"/>
              <w:rPr>
                <w:sz w:val="22"/>
                <w:szCs w:val="22"/>
                <w:lang w:bidi="he-IL"/>
              </w:rPr>
            </w:pPr>
            <w:r w:rsidRPr="00E43187">
              <w:rPr>
                <w:sz w:val="22"/>
                <w:szCs w:val="22"/>
                <w:lang w:bidi="he-IL"/>
              </w:rPr>
              <w:t>16.0</w:t>
            </w:r>
          </w:p>
        </w:tc>
      </w:tr>
      <w:tr w:rsidR="008708F0" w:rsidRPr="000D4AF9" w14:paraId="6F28F23C" w14:textId="77777777" w:rsidTr="005101BC">
        <w:tc>
          <w:tcPr>
            <w:tcW w:w="1134" w:type="dxa"/>
            <w:vAlign w:val="bottom"/>
          </w:tcPr>
          <w:p w14:paraId="60E5459D" w14:textId="3390C8A9" w:rsidR="008708F0" w:rsidRPr="00942183" w:rsidRDefault="008708F0" w:rsidP="008708F0">
            <w:pPr>
              <w:jc w:val="center"/>
              <w:rPr>
                <w:sz w:val="22"/>
                <w:szCs w:val="22"/>
              </w:rPr>
            </w:pPr>
            <w:r w:rsidRPr="00942183">
              <w:rPr>
                <w:sz w:val="22"/>
                <w:szCs w:val="22"/>
              </w:rPr>
              <w:t>Serbia</w:t>
            </w:r>
          </w:p>
        </w:tc>
        <w:tc>
          <w:tcPr>
            <w:tcW w:w="1985" w:type="dxa"/>
            <w:vAlign w:val="bottom"/>
          </w:tcPr>
          <w:p w14:paraId="56AC82CF" w14:textId="546ED502" w:rsidR="008708F0" w:rsidRPr="00942183" w:rsidRDefault="008708F0" w:rsidP="008708F0">
            <w:pPr>
              <w:jc w:val="center"/>
              <w:rPr>
                <w:sz w:val="22"/>
                <w:szCs w:val="22"/>
              </w:rPr>
            </w:pPr>
            <w:r w:rsidRPr="00942183">
              <w:rPr>
                <w:sz w:val="22"/>
                <w:szCs w:val="22"/>
              </w:rPr>
              <w:t>Retail</w:t>
            </w:r>
          </w:p>
        </w:tc>
        <w:tc>
          <w:tcPr>
            <w:tcW w:w="1984" w:type="dxa"/>
            <w:vAlign w:val="bottom"/>
          </w:tcPr>
          <w:p w14:paraId="332312D2" w14:textId="45307E89" w:rsidR="008708F0" w:rsidRPr="00942183" w:rsidRDefault="008708F0" w:rsidP="008708F0">
            <w:pPr>
              <w:jc w:val="center"/>
              <w:rPr>
                <w:b/>
                <w:bCs/>
                <w:sz w:val="22"/>
                <w:szCs w:val="22"/>
              </w:rPr>
            </w:pPr>
            <w:r w:rsidRPr="00942183">
              <w:rPr>
                <w:sz w:val="22"/>
                <w:szCs w:val="22"/>
              </w:rPr>
              <w:t>14,000</w:t>
            </w:r>
          </w:p>
        </w:tc>
        <w:tc>
          <w:tcPr>
            <w:tcW w:w="1701" w:type="dxa"/>
            <w:vAlign w:val="bottom"/>
          </w:tcPr>
          <w:p w14:paraId="6395D109" w14:textId="3366EE9C" w:rsidR="008708F0" w:rsidRPr="008B15D6" w:rsidRDefault="008708F0" w:rsidP="008708F0">
            <w:pPr>
              <w:jc w:val="center"/>
              <w:rPr>
                <w:sz w:val="22"/>
                <w:szCs w:val="22"/>
              </w:rPr>
            </w:pPr>
            <w:r w:rsidRPr="00E43187">
              <w:rPr>
                <w:sz w:val="22"/>
                <w:szCs w:val="22"/>
              </w:rPr>
              <w:t>8.0</w:t>
            </w:r>
          </w:p>
        </w:tc>
        <w:tc>
          <w:tcPr>
            <w:tcW w:w="1172" w:type="dxa"/>
            <w:tcBorders>
              <w:top w:val="nil"/>
              <w:left w:val="nil"/>
              <w:bottom w:val="nil"/>
              <w:right w:val="nil"/>
            </w:tcBorders>
            <w:shd w:val="clear" w:color="auto" w:fill="auto"/>
            <w:vAlign w:val="bottom"/>
          </w:tcPr>
          <w:p w14:paraId="058142CE" w14:textId="0E2EBF3D" w:rsidR="008708F0" w:rsidRPr="00942183" w:rsidRDefault="008708F0" w:rsidP="008708F0">
            <w:pPr>
              <w:jc w:val="center"/>
              <w:rPr>
                <w:b/>
                <w:bCs/>
                <w:sz w:val="22"/>
                <w:szCs w:val="22"/>
                <w:rtl/>
                <w:lang w:bidi="he-IL"/>
              </w:rPr>
            </w:pPr>
            <w:r w:rsidRPr="00942183">
              <w:rPr>
                <w:sz w:val="22"/>
                <w:szCs w:val="22"/>
              </w:rPr>
              <w:t>100%</w:t>
            </w:r>
          </w:p>
        </w:tc>
        <w:tc>
          <w:tcPr>
            <w:tcW w:w="2001" w:type="dxa"/>
            <w:vAlign w:val="bottom"/>
          </w:tcPr>
          <w:p w14:paraId="4AEC87F7" w14:textId="0EDCB875" w:rsidR="008708F0" w:rsidRPr="00E43187" w:rsidRDefault="008708F0" w:rsidP="008708F0">
            <w:pPr>
              <w:jc w:val="center"/>
              <w:rPr>
                <w:sz w:val="22"/>
                <w:szCs w:val="22"/>
                <w:lang w:bidi="he-IL"/>
              </w:rPr>
            </w:pPr>
            <w:r w:rsidRPr="00E43187">
              <w:rPr>
                <w:sz w:val="22"/>
                <w:szCs w:val="22"/>
                <w:lang w:bidi="he-IL"/>
              </w:rPr>
              <w:t>5.9</w:t>
            </w:r>
          </w:p>
        </w:tc>
      </w:tr>
      <w:tr w:rsidR="008708F0" w:rsidRPr="000D4AF9" w14:paraId="42884738" w14:textId="77777777" w:rsidTr="005101BC">
        <w:tc>
          <w:tcPr>
            <w:tcW w:w="1134" w:type="dxa"/>
            <w:vAlign w:val="bottom"/>
          </w:tcPr>
          <w:p w14:paraId="03C54E1A" w14:textId="00067DF2" w:rsidR="008708F0" w:rsidRPr="00942183" w:rsidRDefault="008708F0" w:rsidP="008708F0">
            <w:pPr>
              <w:jc w:val="center"/>
              <w:rPr>
                <w:sz w:val="22"/>
                <w:szCs w:val="22"/>
              </w:rPr>
            </w:pPr>
            <w:r w:rsidRPr="00942183">
              <w:rPr>
                <w:sz w:val="22"/>
                <w:szCs w:val="22"/>
              </w:rPr>
              <w:t>Serbia</w:t>
            </w:r>
          </w:p>
        </w:tc>
        <w:tc>
          <w:tcPr>
            <w:tcW w:w="1985" w:type="dxa"/>
            <w:vAlign w:val="bottom"/>
          </w:tcPr>
          <w:p w14:paraId="4351E721" w14:textId="6C055AC3" w:rsidR="008708F0" w:rsidRPr="00942183" w:rsidRDefault="008708F0" w:rsidP="008708F0">
            <w:pPr>
              <w:jc w:val="center"/>
              <w:rPr>
                <w:sz w:val="22"/>
                <w:szCs w:val="22"/>
              </w:rPr>
            </w:pPr>
            <w:r w:rsidRPr="00942183">
              <w:rPr>
                <w:sz w:val="22"/>
                <w:szCs w:val="22"/>
              </w:rPr>
              <w:t>Residential for rent</w:t>
            </w:r>
          </w:p>
        </w:tc>
        <w:tc>
          <w:tcPr>
            <w:tcW w:w="1984" w:type="dxa"/>
            <w:vAlign w:val="bottom"/>
          </w:tcPr>
          <w:p w14:paraId="381CB2DB" w14:textId="0A33FAD5" w:rsidR="008708F0" w:rsidRPr="00942183" w:rsidRDefault="008708F0" w:rsidP="008708F0">
            <w:pPr>
              <w:jc w:val="center"/>
              <w:rPr>
                <w:b/>
                <w:bCs/>
                <w:sz w:val="22"/>
                <w:szCs w:val="22"/>
                <w:highlight w:val="yellow"/>
              </w:rPr>
            </w:pPr>
            <w:r w:rsidRPr="00942183">
              <w:rPr>
                <w:sz w:val="22"/>
                <w:szCs w:val="22"/>
              </w:rPr>
              <w:t>57,000</w:t>
            </w:r>
          </w:p>
        </w:tc>
        <w:tc>
          <w:tcPr>
            <w:tcW w:w="1701" w:type="dxa"/>
            <w:vAlign w:val="bottom"/>
          </w:tcPr>
          <w:p w14:paraId="40065B8B" w14:textId="7D714568" w:rsidR="008708F0" w:rsidRPr="008B15D6" w:rsidRDefault="008708F0" w:rsidP="008708F0">
            <w:pPr>
              <w:jc w:val="center"/>
              <w:rPr>
                <w:sz w:val="22"/>
                <w:szCs w:val="22"/>
              </w:rPr>
            </w:pPr>
            <w:r w:rsidRPr="00E43187">
              <w:rPr>
                <w:sz w:val="22"/>
                <w:szCs w:val="22"/>
              </w:rPr>
              <w:t>-</w:t>
            </w:r>
          </w:p>
        </w:tc>
        <w:tc>
          <w:tcPr>
            <w:tcW w:w="1172" w:type="dxa"/>
            <w:tcBorders>
              <w:top w:val="nil"/>
              <w:left w:val="nil"/>
              <w:bottom w:val="nil"/>
              <w:right w:val="nil"/>
            </w:tcBorders>
            <w:shd w:val="clear" w:color="auto" w:fill="auto"/>
            <w:vAlign w:val="bottom"/>
          </w:tcPr>
          <w:p w14:paraId="4EF2B11F" w14:textId="326B3DEF" w:rsidR="008708F0" w:rsidRPr="00942183" w:rsidRDefault="008708F0" w:rsidP="008708F0">
            <w:pPr>
              <w:jc w:val="center"/>
              <w:rPr>
                <w:b/>
                <w:bCs/>
                <w:sz w:val="22"/>
                <w:szCs w:val="22"/>
                <w:lang w:bidi="he-IL"/>
              </w:rPr>
            </w:pPr>
            <w:r w:rsidRPr="00942183">
              <w:rPr>
                <w:sz w:val="22"/>
                <w:szCs w:val="22"/>
              </w:rPr>
              <w:t>48%</w:t>
            </w:r>
          </w:p>
        </w:tc>
        <w:tc>
          <w:tcPr>
            <w:tcW w:w="2001" w:type="dxa"/>
            <w:vAlign w:val="bottom"/>
          </w:tcPr>
          <w:p w14:paraId="4F81D2FE" w14:textId="7D80AEFF" w:rsidR="008708F0" w:rsidRPr="00E43187" w:rsidRDefault="008708F0" w:rsidP="008708F0">
            <w:pPr>
              <w:jc w:val="center"/>
              <w:rPr>
                <w:sz w:val="22"/>
                <w:szCs w:val="22"/>
                <w:rtl/>
                <w:lang w:bidi="he-IL"/>
              </w:rPr>
            </w:pPr>
            <w:r w:rsidRPr="00E43187">
              <w:rPr>
                <w:sz w:val="22"/>
                <w:szCs w:val="22"/>
                <w:lang w:bidi="he-IL"/>
              </w:rPr>
              <w:t>20.4</w:t>
            </w:r>
          </w:p>
        </w:tc>
      </w:tr>
      <w:tr w:rsidR="008708F0" w:rsidRPr="000D4AF9" w14:paraId="04EB3462" w14:textId="77777777" w:rsidTr="005101BC">
        <w:tc>
          <w:tcPr>
            <w:tcW w:w="1134" w:type="dxa"/>
            <w:vAlign w:val="bottom"/>
          </w:tcPr>
          <w:p w14:paraId="032DA155" w14:textId="3AEE90DB" w:rsidR="008708F0" w:rsidRPr="00942183" w:rsidRDefault="008708F0" w:rsidP="008708F0">
            <w:pPr>
              <w:jc w:val="center"/>
              <w:rPr>
                <w:sz w:val="22"/>
                <w:szCs w:val="22"/>
              </w:rPr>
            </w:pPr>
            <w:r w:rsidRPr="00942183">
              <w:rPr>
                <w:sz w:val="22"/>
                <w:szCs w:val="22"/>
              </w:rPr>
              <w:t>Poland</w:t>
            </w:r>
          </w:p>
        </w:tc>
        <w:tc>
          <w:tcPr>
            <w:tcW w:w="1985" w:type="dxa"/>
            <w:vAlign w:val="bottom"/>
          </w:tcPr>
          <w:p w14:paraId="0892FF0B" w14:textId="6D38074F" w:rsidR="008708F0" w:rsidRPr="00942183" w:rsidRDefault="008708F0" w:rsidP="008708F0">
            <w:pPr>
              <w:jc w:val="center"/>
              <w:rPr>
                <w:sz w:val="22"/>
                <w:szCs w:val="22"/>
              </w:rPr>
            </w:pPr>
            <w:r w:rsidRPr="00942183">
              <w:rPr>
                <w:sz w:val="22"/>
                <w:szCs w:val="22"/>
              </w:rPr>
              <w:t>Offices</w:t>
            </w:r>
          </w:p>
        </w:tc>
        <w:tc>
          <w:tcPr>
            <w:tcW w:w="1984" w:type="dxa"/>
            <w:vAlign w:val="bottom"/>
          </w:tcPr>
          <w:p w14:paraId="0A4EEF37" w14:textId="05013329" w:rsidR="008708F0" w:rsidRPr="00942183" w:rsidRDefault="008708F0" w:rsidP="008708F0">
            <w:pPr>
              <w:jc w:val="center"/>
              <w:rPr>
                <w:b/>
                <w:bCs/>
                <w:sz w:val="22"/>
                <w:szCs w:val="22"/>
                <w:highlight w:val="yellow"/>
              </w:rPr>
            </w:pPr>
            <w:r w:rsidRPr="00942183">
              <w:rPr>
                <w:sz w:val="22"/>
                <w:szCs w:val="22"/>
              </w:rPr>
              <w:t>149,369</w:t>
            </w:r>
          </w:p>
        </w:tc>
        <w:tc>
          <w:tcPr>
            <w:tcW w:w="1701" w:type="dxa"/>
            <w:vAlign w:val="bottom"/>
          </w:tcPr>
          <w:p w14:paraId="113BCD84" w14:textId="4601B85C" w:rsidR="008708F0" w:rsidRPr="008B15D6" w:rsidRDefault="008708F0" w:rsidP="008708F0">
            <w:pPr>
              <w:jc w:val="center"/>
              <w:rPr>
                <w:sz w:val="22"/>
                <w:szCs w:val="22"/>
              </w:rPr>
            </w:pPr>
            <w:r w:rsidRPr="00E43187">
              <w:rPr>
                <w:sz w:val="22"/>
                <w:szCs w:val="22"/>
              </w:rPr>
              <w:t>8.2</w:t>
            </w:r>
          </w:p>
        </w:tc>
        <w:tc>
          <w:tcPr>
            <w:tcW w:w="1172" w:type="dxa"/>
            <w:tcBorders>
              <w:top w:val="nil"/>
              <w:left w:val="nil"/>
              <w:bottom w:val="nil"/>
              <w:right w:val="nil"/>
            </w:tcBorders>
            <w:shd w:val="clear" w:color="auto" w:fill="auto"/>
            <w:vAlign w:val="bottom"/>
          </w:tcPr>
          <w:p w14:paraId="3E48028B" w14:textId="5733CB32" w:rsidR="008708F0" w:rsidRPr="00942183" w:rsidRDefault="008708F0" w:rsidP="008708F0">
            <w:pPr>
              <w:jc w:val="center"/>
              <w:rPr>
                <w:b/>
                <w:bCs/>
                <w:sz w:val="22"/>
                <w:szCs w:val="22"/>
                <w:lang w:bidi="he-IL"/>
              </w:rPr>
            </w:pPr>
            <w:r w:rsidRPr="00942183">
              <w:rPr>
                <w:sz w:val="22"/>
                <w:szCs w:val="22"/>
              </w:rPr>
              <w:t>92%</w:t>
            </w:r>
          </w:p>
        </w:tc>
        <w:tc>
          <w:tcPr>
            <w:tcW w:w="2001" w:type="dxa"/>
            <w:vAlign w:val="bottom"/>
          </w:tcPr>
          <w:p w14:paraId="6B966D47" w14:textId="4B0A8E4B" w:rsidR="008708F0" w:rsidRPr="00E43187" w:rsidRDefault="008708F0" w:rsidP="008708F0">
            <w:pPr>
              <w:jc w:val="center"/>
              <w:rPr>
                <w:sz w:val="22"/>
                <w:szCs w:val="22"/>
                <w:lang w:bidi="he-IL"/>
              </w:rPr>
            </w:pPr>
            <w:r w:rsidRPr="00E43187">
              <w:rPr>
                <w:sz w:val="22"/>
                <w:szCs w:val="22"/>
                <w:lang w:bidi="he-IL"/>
              </w:rPr>
              <w:t>15.1</w:t>
            </w:r>
          </w:p>
        </w:tc>
      </w:tr>
      <w:tr w:rsidR="008708F0" w:rsidRPr="000D4AF9" w14:paraId="3DE40AB2" w14:textId="77777777" w:rsidTr="005101BC">
        <w:tc>
          <w:tcPr>
            <w:tcW w:w="1134" w:type="dxa"/>
            <w:vAlign w:val="bottom"/>
          </w:tcPr>
          <w:p w14:paraId="5762A0F0" w14:textId="197D552B" w:rsidR="008708F0" w:rsidRPr="00942183" w:rsidRDefault="008708F0" w:rsidP="008708F0">
            <w:pPr>
              <w:jc w:val="center"/>
              <w:rPr>
                <w:sz w:val="22"/>
                <w:szCs w:val="22"/>
              </w:rPr>
            </w:pPr>
            <w:r w:rsidRPr="00942183">
              <w:rPr>
                <w:sz w:val="22"/>
                <w:szCs w:val="22"/>
              </w:rPr>
              <w:t>Poland</w:t>
            </w:r>
          </w:p>
        </w:tc>
        <w:tc>
          <w:tcPr>
            <w:tcW w:w="1985" w:type="dxa"/>
            <w:vAlign w:val="bottom"/>
          </w:tcPr>
          <w:p w14:paraId="7DC50601" w14:textId="783902A6" w:rsidR="008708F0" w:rsidRPr="00942183" w:rsidRDefault="008708F0" w:rsidP="008708F0">
            <w:pPr>
              <w:jc w:val="center"/>
              <w:rPr>
                <w:sz w:val="22"/>
                <w:szCs w:val="22"/>
              </w:rPr>
            </w:pPr>
            <w:r w:rsidRPr="00942183">
              <w:rPr>
                <w:sz w:val="22"/>
                <w:szCs w:val="22"/>
              </w:rPr>
              <w:t>Residential for rent</w:t>
            </w:r>
          </w:p>
        </w:tc>
        <w:tc>
          <w:tcPr>
            <w:tcW w:w="1984" w:type="dxa"/>
            <w:vAlign w:val="bottom"/>
          </w:tcPr>
          <w:p w14:paraId="0A844702" w14:textId="1C9B3A2B" w:rsidR="008708F0" w:rsidRPr="00942183" w:rsidRDefault="008708F0" w:rsidP="008708F0">
            <w:pPr>
              <w:jc w:val="center"/>
              <w:rPr>
                <w:b/>
                <w:bCs/>
                <w:sz w:val="22"/>
                <w:szCs w:val="22"/>
              </w:rPr>
            </w:pPr>
            <w:r w:rsidRPr="00942183">
              <w:rPr>
                <w:sz w:val="22"/>
                <w:szCs w:val="22"/>
              </w:rPr>
              <w:t>267,529</w:t>
            </w:r>
          </w:p>
        </w:tc>
        <w:tc>
          <w:tcPr>
            <w:tcW w:w="1701" w:type="dxa"/>
            <w:vAlign w:val="bottom"/>
          </w:tcPr>
          <w:p w14:paraId="0FA4C7E9" w14:textId="77114005" w:rsidR="008708F0" w:rsidRPr="008B15D6" w:rsidRDefault="008708F0" w:rsidP="008708F0">
            <w:pPr>
              <w:jc w:val="center"/>
              <w:rPr>
                <w:sz w:val="22"/>
                <w:szCs w:val="22"/>
              </w:rPr>
            </w:pPr>
            <w:r w:rsidRPr="00E43187">
              <w:rPr>
                <w:sz w:val="22"/>
                <w:szCs w:val="22"/>
              </w:rPr>
              <w:t>5.2</w:t>
            </w:r>
          </w:p>
        </w:tc>
        <w:tc>
          <w:tcPr>
            <w:tcW w:w="1172" w:type="dxa"/>
            <w:tcBorders>
              <w:top w:val="nil"/>
              <w:left w:val="nil"/>
              <w:bottom w:val="nil"/>
              <w:right w:val="nil"/>
            </w:tcBorders>
            <w:shd w:val="clear" w:color="auto" w:fill="auto"/>
            <w:vAlign w:val="bottom"/>
          </w:tcPr>
          <w:p w14:paraId="3F95E141" w14:textId="7907210A" w:rsidR="008708F0" w:rsidRPr="00942183" w:rsidRDefault="008708F0" w:rsidP="008708F0">
            <w:pPr>
              <w:jc w:val="center"/>
              <w:rPr>
                <w:b/>
                <w:bCs/>
                <w:sz w:val="22"/>
                <w:szCs w:val="22"/>
                <w:lang w:bidi="he-IL"/>
              </w:rPr>
            </w:pPr>
            <w:r w:rsidRPr="00942183">
              <w:rPr>
                <w:sz w:val="22"/>
                <w:szCs w:val="22"/>
              </w:rPr>
              <w:t>50%</w:t>
            </w:r>
          </w:p>
        </w:tc>
        <w:tc>
          <w:tcPr>
            <w:tcW w:w="2001" w:type="dxa"/>
            <w:vAlign w:val="bottom"/>
          </w:tcPr>
          <w:p w14:paraId="73EF4983" w14:textId="6BD1F1AB" w:rsidR="008708F0" w:rsidRPr="00E43187" w:rsidRDefault="008708F0" w:rsidP="008708F0">
            <w:pPr>
              <w:jc w:val="center"/>
              <w:rPr>
                <w:sz w:val="22"/>
                <w:szCs w:val="22"/>
                <w:lang w:bidi="he-IL"/>
              </w:rPr>
            </w:pPr>
            <w:r w:rsidRPr="00E43187">
              <w:rPr>
                <w:sz w:val="22"/>
                <w:szCs w:val="22"/>
                <w:lang w:bidi="he-IL"/>
              </w:rPr>
              <w:t>18.5</w:t>
            </w:r>
          </w:p>
        </w:tc>
      </w:tr>
      <w:tr w:rsidR="008708F0" w:rsidRPr="000D4AF9" w14:paraId="698B929E" w14:textId="77777777" w:rsidTr="005101BC">
        <w:trPr>
          <w:trHeight w:val="70"/>
        </w:trPr>
        <w:tc>
          <w:tcPr>
            <w:tcW w:w="1134" w:type="dxa"/>
            <w:vAlign w:val="bottom"/>
          </w:tcPr>
          <w:p w14:paraId="366D5668" w14:textId="3E2784B4" w:rsidR="008708F0" w:rsidRPr="00942183" w:rsidRDefault="008708F0" w:rsidP="008708F0">
            <w:pPr>
              <w:jc w:val="center"/>
              <w:rPr>
                <w:sz w:val="22"/>
                <w:szCs w:val="22"/>
              </w:rPr>
            </w:pPr>
            <w:r w:rsidRPr="00942183">
              <w:rPr>
                <w:sz w:val="22"/>
                <w:szCs w:val="22"/>
              </w:rPr>
              <w:t>Bulgaria</w:t>
            </w:r>
          </w:p>
        </w:tc>
        <w:tc>
          <w:tcPr>
            <w:tcW w:w="1985" w:type="dxa"/>
            <w:vAlign w:val="bottom"/>
          </w:tcPr>
          <w:p w14:paraId="1B98A47B" w14:textId="0D1AC489" w:rsidR="008708F0" w:rsidRPr="00942183" w:rsidRDefault="008708F0" w:rsidP="008708F0">
            <w:pPr>
              <w:jc w:val="center"/>
              <w:rPr>
                <w:sz w:val="22"/>
                <w:szCs w:val="22"/>
              </w:rPr>
            </w:pPr>
            <w:r w:rsidRPr="00942183">
              <w:rPr>
                <w:sz w:val="22"/>
                <w:szCs w:val="22"/>
              </w:rPr>
              <w:t>Offices</w:t>
            </w:r>
          </w:p>
        </w:tc>
        <w:tc>
          <w:tcPr>
            <w:tcW w:w="1984" w:type="dxa"/>
            <w:vAlign w:val="bottom"/>
          </w:tcPr>
          <w:p w14:paraId="49EACE36" w14:textId="1D72148D" w:rsidR="008708F0" w:rsidRPr="00942183" w:rsidRDefault="008708F0" w:rsidP="008708F0">
            <w:pPr>
              <w:jc w:val="center"/>
              <w:rPr>
                <w:b/>
                <w:bCs/>
                <w:sz w:val="22"/>
                <w:szCs w:val="22"/>
                <w:highlight w:val="yellow"/>
              </w:rPr>
            </w:pPr>
            <w:r w:rsidRPr="00942183">
              <w:rPr>
                <w:sz w:val="22"/>
                <w:szCs w:val="22"/>
              </w:rPr>
              <w:t>26,092</w:t>
            </w:r>
          </w:p>
        </w:tc>
        <w:tc>
          <w:tcPr>
            <w:tcW w:w="1701" w:type="dxa"/>
            <w:vAlign w:val="bottom"/>
          </w:tcPr>
          <w:p w14:paraId="4FF5CB0D" w14:textId="7603588B" w:rsidR="008708F0" w:rsidRPr="008B15D6" w:rsidRDefault="008708F0" w:rsidP="008708F0">
            <w:pPr>
              <w:jc w:val="center"/>
              <w:rPr>
                <w:sz w:val="22"/>
                <w:szCs w:val="22"/>
              </w:rPr>
            </w:pPr>
            <w:r w:rsidRPr="00E43187">
              <w:rPr>
                <w:sz w:val="22"/>
                <w:szCs w:val="22"/>
              </w:rPr>
              <w:t>9.9</w:t>
            </w:r>
          </w:p>
        </w:tc>
        <w:tc>
          <w:tcPr>
            <w:tcW w:w="1172" w:type="dxa"/>
            <w:tcBorders>
              <w:top w:val="nil"/>
              <w:left w:val="nil"/>
              <w:bottom w:val="nil"/>
              <w:right w:val="nil"/>
            </w:tcBorders>
            <w:shd w:val="clear" w:color="auto" w:fill="auto"/>
            <w:vAlign w:val="bottom"/>
          </w:tcPr>
          <w:p w14:paraId="237B9EF8" w14:textId="218B81B5" w:rsidR="008708F0" w:rsidRPr="00942183" w:rsidRDefault="008708F0" w:rsidP="008708F0">
            <w:pPr>
              <w:jc w:val="center"/>
              <w:rPr>
                <w:b/>
                <w:bCs/>
                <w:sz w:val="22"/>
                <w:szCs w:val="22"/>
              </w:rPr>
            </w:pPr>
            <w:r w:rsidRPr="00942183">
              <w:rPr>
                <w:sz w:val="22"/>
                <w:szCs w:val="22"/>
              </w:rPr>
              <w:t>86%</w:t>
            </w:r>
          </w:p>
        </w:tc>
        <w:tc>
          <w:tcPr>
            <w:tcW w:w="2001" w:type="dxa"/>
            <w:vAlign w:val="bottom"/>
          </w:tcPr>
          <w:p w14:paraId="588E637D" w14:textId="7968B29F" w:rsidR="008708F0" w:rsidRPr="00E43187" w:rsidRDefault="008708F0" w:rsidP="008708F0">
            <w:pPr>
              <w:jc w:val="center"/>
              <w:rPr>
                <w:sz w:val="22"/>
                <w:szCs w:val="22"/>
                <w:lang w:bidi="he-IL"/>
              </w:rPr>
            </w:pPr>
            <w:r w:rsidRPr="00E43187">
              <w:rPr>
                <w:sz w:val="22"/>
                <w:szCs w:val="22"/>
                <w:lang w:bidi="he-IL"/>
              </w:rPr>
              <w:t>5.0</w:t>
            </w:r>
          </w:p>
        </w:tc>
      </w:tr>
    </w:tbl>
    <w:p w14:paraId="2A8499EE" w14:textId="77777777" w:rsidR="000D4AF9" w:rsidRDefault="000D4AF9" w:rsidP="000D4AF9">
      <w:pPr>
        <w:rPr>
          <w:b/>
          <w:bCs/>
          <w:sz w:val="10"/>
          <w:szCs w:val="10"/>
        </w:rPr>
      </w:pPr>
    </w:p>
    <w:p w14:paraId="00BB58E8" w14:textId="77777777" w:rsidR="00EB5E70" w:rsidRDefault="00EB5E70" w:rsidP="000D4AF9">
      <w:pPr>
        <w:rPr>
          <w:b/>
          <w:bCs/>
          <w:sz w:val="10"/>
          <w:szCs w:val="10"/>
        </w:rPr>
      </w:pPr>
    </w:p>
    <w:p w14:paraId="1FE1DCA6" w14:textId="77777777" w:rsidR="00EB5E70" w:rsidRDefault="00EB5E70" w:rsidP="000D4AF9">
      <w:pPr>
        <w:rPr>
          <w:b/>
          <w:bCs/>
          <w:sz w:val="10"/>
          <w:szCs w:val="10"/>
        </w:rPr>
      </w:pPr>
    </w:p>
    <w:p w14:paraId="3722A6FD" w14:textId="77777777" w:rsidR="00EB5E70" w:rsidRDefault="00EB5E70" w:rsidP="000D4AF9">
      <w:pPr>
        <w:rPr>
          <w:b/>
          <w:bCs/>
          <w:sz w:val="10"/>
          <w:szCs w:val="10"/>
        </w:rPr>
      </w:pPr>
    </w:p>
    <w:p w14:paraId="4387CE5D" w14:textId="77777777" w:rsidR="00EB5E70" w:rsidRDefault="00EB5E70" w:rsidP="000D4AF9">
      <w:pPr>
        <w:rPr>
          <w:b/>
          <w:bCs/>
          <w:sz w:val="10"/>
          <w:szCs w:val="10"/>
        </w:rPr>
      </w:pPr>
    </w:p>
    <w:p w14:paraId="50003E9B" w14:textId="77777777" w:rsidR="00EB5E70" w:rsidRDefault="00EB5E70" w:rsidP="000D4AF9">
      <w:pPr>
        <w:rPr>
          <w:b/>
          <w:bCs/>
          <w:sz w:val="10"/>
          <w:szCs w:val="10"/>
        </w:rPr>
      </w:pPr>
    </w:p>
    <w:p w14:paraId="026815B2" w14:textId="77777777" w:rsidR="00EB5E70" w:rsidRDefault="00EB5E70" w:rsidP="000D4AF9">
      <w:pPr>
        <w:rPr>
          <w:b/>
          <w:bCs/>
          <w:sz w:val="10"/>
          <w:szCs w:val="10"/>
        </w:rPr>
      </w:pPr>
    </w:p>
    <w:p w14:paraId="11DDFC95" w14:textId="77777777" w:rsidR="00EB5E70" w:rsidRDefault="00EB5E70" w:rsidP="000D4AF9">
      <w:pPr>
        <w:rPr>
          <w:b/>
          <w:bCs/>
          <w:sz w:val="10"/>
          <w:szCs w:val="10"/>
        </w:rPr>
      </w:pPr>
    </w:p>
    <w:p w14:paraId="3142A651" w14:textId="77777777" w:rsidR="00EB5E70" w:rsidRDefault="00EB5E70" w:rsidP="000D4AF9">
      <w:pPr>
        <w:rPr>
          <w:b/>
          <w:bCs/>
          <w:sz w:val="10"/>
          <w:szCs w:val="10"/>
        </w:rPr>
      </w:pPr>
    </w:p>
    <w:p w14:paraId="7A9EF3D7" w14:textId="77777777" w:rsidR="00EB5E70" w:rsidRDefault="00EB5E70" w:rsidP="000D4AF9">
      <w:pPr>
        <w:rPr>
          <w:b/>
          <w:bCs/>
          <w:sz w:val="10"/>
          <w:szCs w:val="10"/>
        </w:rPr>
      </w:pPr>
    </w:p>
    <w:p w14:paraId="71B4EBE8" w14:textId="77777777" w:rsidR="00EB5E70" w:rsidRDefault="00EB5E70" w:rsidP="000D4AF9">
      <w:pPr>
        <w:rPr>
          <w:b/>
          <w:bCs/>
          <w:sz w:val="10"/>
          <w:szCs w:val="10"/>
        </w:rPr>
      </w:pPr>
    </w:p>
    <w:p w14:paraId="1A032865" w14:textId="77777777" w:rsidR="00EB5E70" w:rsidRDefault="00EB5E70" w:rsidP="000D4AF9">
      <w:pPr>
        <w:rPr>
          <w:b/>
          <w:bCs/>
          <w:sz w:val="10"/>
          <w:szCs w:val="10"/>
        </w:rPr>
      </w:pPr>
    </w:p>
    <w:p w14:paraId="0F3CDB45" w14:textId="77777777" w:rsidR="00EB5E70" w:rsidRDefault="00EB5E70" w:rsidP="000D4AF9">
      <w:pPr>
        <w:rPr>
          <w:b/>
          <w:bCs/>
          <w:sz w:val="10"/>
          <w:szCs w:val="10"/>
        </w:rPr>
      </w:pPr>
    </w:p>
    <w:p w14:paraId="26D4C287" w14:textId="77777777" w:rsidR="00EB5E70" w:rsidRDefault="00EB5E70" w:rsidP="000D4AF9">
      <w:pPr>
        <w:rPr>
          <w:b/>
          <w:bCs/>
          <w:sz w:val="10"/>
          <w:szCs w:val="10"/>
        </w:rPr>
      </w:pPr>
    </w:p>
    <w:p w14:paraId="272259DB" w14:textId="77777777" w:rsidR="00EB5E70" w:rsidRDefault="00EB5E70" w:rsidP="000D4AF9">
      <w:pPr>
        <w:rPr>
          <w:b/>
          <w:bCs/>
          <w:sz w:val="10"/>
          <w:szCs w:val="10"/>
        </w:rPr>
      </w:pPr>
    </w:p>
    <w:p w14:paraId="3244E863" w14:textId="77777777" w:rsidR="00EB5E70" w:rsidRDefault="00EB5E70" w:rsidP="000D4AF9">
      <w:pPr>
        <w:rPr>
          <w:b/>
          <w:bCs/>
          <w:sz w:val="10"/>
          <w:szCs w:val="10"/>
        </w:rPr>
      </w:pPr>
    </w:p>
    <w:p w14:paraId="2A8F3DA5" w14:textId="77777777" w:rsidR="00EB5E70" w:rsidRDefault="00EB5E70" w:rsidP="000D4AF9">
      <w:pPr>
        <w:rPr>
          <w:b/>
          <w:bCs/>
          <w:sz w:val="10"/>
          <w:szCs w:val="10"/>
        </w:rPr>
      </w:pPr>
    </w:p>
    <w:p w14:paraId="08155E52" w14:textId="77777777" w:rsidR="00EB5E70" w:rsidRDefault="00EB5E70" w:rsidP="000D4AF9">
      <w:pPr>
        <w:rPr>
          <w:b/>
          <w:bCs/>
          <w:sz w:val="10"/>
          <w:szCs w:val="10"/>
        </w:rPr>
      </w:pPr>
    </w:p>
    <w:p w14:paraId="526CADD8" w14:textId="77777777" w:rsidR="00EB5E70" w:rsidRDefault="00EB5E70" w:rsidP="000D4AF9">
      <w:pPr>
        <w:rPr>
          <w:b/>
          <w:bCs/>
          <w:sz w:val="10"/>
          <w:szCs w:val="10"/>
          <w:rtl/>
          <w:lang w:bidi="he-IL"/>
        </w:rPr>
      </w:pPr>
    </w:p>
    <w:p w14:paraId="48F5A98B" w14:textId="77777777" w:rsidR="00DA7629" w:rsidRDefault="00DA7629" w:rsidP="000D4AF9">
      <w:pPr>
        <w:rPr>
          <w:b/>
          <w:bCs/>
          <w:sz w:val="10"/>
          <w:szCs w:val="10"/>
          <w:lang w:bidi="he-IL"/>
        </w:rPr>
      </w:pPr>
    </w:p>
    <w:p w14:paraId="7656E74B" w14:textId="77777777" w:rsidR="00EB5E70" w:rsidRDefault="00EB5E70" w:rsidP="000D4AF9">
      <w:pPr>
        <w:rPr>
          <w:b/>
          <w:bCs/>
          <w:sz w:val="10"/>
          <w:szCs w:val="10"/>
        </w:rPr>
      </w:pPr>
    </w:p>
    <w:p w14:paraId="1A013845" w14:textId="77777777" w:rsidR="00EB5E70" w:rsidRDefault="00EB5E70" w:rsidP="000D4AF9">
      <w:pPr>
        <w:rPr>
          <w:b/>
          <w:bCs/>
          <w:sz w:val="10"/>
          <w:szCs w:val="10"/>
        </w:rPr>
      </w:pPr>
    </w:p>
    <w:p w14:paraId="45926529" w14:textId="77777777" w:rsidR="00EB5E70" w:rsidRDefault="00EB5E70" w:rsidP="000D4AF9">
      <w:pPr>
        <w:rPr>
          <w:b/>
          <w:bCs/>
          <w:sz w:val="10"/>
          <w:szCs w:val="10"/>
        </w:rPr>
      </w:pPr>
    </w:p>
    <w:p w14:paraId="665A904A" w14:textId="77777777" w:rsidR="00EB5E70" w:rsidRDefault="00EB5E70" w:rsidP="000D4AF9">
      <w:pPr>
        <w:rPr>
          <w:b/>
          <w:bCs/>
          <w:sz w:val="10"/>
          <w:szCs w:val="10"/>
        </w:rPr>
      </w:pPr>
    </w:p>
    <w:p w14:paraId="41E1A634" w14:textId="77777777" w:rsidR="00EB5E70" w:rsidRPr="001D55D7" w:rsidRDefault="00EB5E70" w:rsidP="00EB5E70">
      <w:pPr>
        <w:rPr>
          <w:b/>
          <w:bCs/>
          <w:sz w:val="22"/>
          <w:szCs w:val="22"/>
          <w:lang w:bidi="he-IL"/>
        </w:rPr>
      </w:pPr>
      <w:r w:rsidRPr="00FF0EEB">
        <w:rPr>
          <w:b/>
          <w:bCs/>
          <w:sz w:val="22"/>
          <w:szCs w:val="22"/>
        </w:rPr>
        <w:t>Note 5 - Investment</w:t>
      </w:r>
      <w:r w:rsidRPr="001D55D7">
        <w:rPr>
          <w:b/>
          <w:bCs/>
          <w:sz w:val="22"/>
          <w:szCs w:val="22"/>
        </w:rPr>
        <w:t xml:space="preserve"> Property (cont'd)</w:t>
      </w:r>
    </w:p>
    <w:p w14:paraId="2FFF0CC5" w14:textId="77777777" w:rsidR="00EB5E70" w:rsidRDefault="00EB5E70" w:rsidP="000D4AF9">
      <w:pPr>
        <w:rPr>
          <w:b/>
          <w:bCs/>
          <w:sz w:val="10"/>
          <w:szCs w:val="10"/>
        </w:rPr>
      </w:pPr>
    </w:p>
    <w:p w14:paraId="64C86C99" w14:textId="77777777" w:rsidR="00EB5E70" w:rsidRPr="007C2983" w:rsidRDefault="00EB5E70" w:rsidP="000D4AF9">
      <w:pPr>
        <w:rPr>
          <w:b/>
          <w:bCs/>
          <w:sz w:val="10"/>
          <w:szCs w:val="10"/>
        </w:rPr>
      </w:pPr>
    </w:p>
    <w:p w14:paraId="416D8F3F" w14:textId="77777777" w:rsidR="00C52BA0" w:rsidRPr="000D4AF9" w:rsidRDefault="00C52BA0" w:rsidP="00C52BA0">
      <w:pPr>
        <w:autoSpaceDE w:val="0"/>
        <w:autoSpaceDN w:val="0"/>
        <w:adjustRightInd w:val="0"/>
        <w:ind w:left="567"/>
        <w:jc w:val="both"/>
        <w:rPr>
          <w:sz w:val="22"/>
          <w:szCs w:val="22"/>
        </w:rPr>
      </w:pPr>
      <w:bookmarkStart w:id="137" w:name="H5_4Sensitivity_analysis_for_change_in_f"/>
      <w:r w:rsidRPr="000D4AF9">
        <w:rPr>
          <w:sz w:val="22"/>
          <w:szCs w:val="22"/>
        </w:rPr>
        <w:t xml:space="preserve">As of December 31, </w:t>
      </w:r>
      <w:r>
        <w:rPr>
          <w:sz w:val="22"/>
          <w:szCs w:val="22"/>
        </w:rPr>
        <w:t>2023</w:t>
      </w:r>
      <w:r w:rsidRPr="000D4AF9">
        <w:rPr>
          <w:sz w:val="22"/>
          <w:szCs w:val="22"/>
        </w:rPr>
        <w:t>:</w:t>
      </w:r>
    </w:p>
    <w:tbl>
      <w:tblPr>
        <w:tblStyle w:val="af1"/>
        <w:tblW w:w="9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A0" w:firstRow="1" w:lastRow="0" w:firstColumn="1" w:lastColumn="0" w:noHBand="1" w:noVBand="1"/>
        <w:tblCaption w:val="AHR01"/>
        <w:tblDescription w:val="Details regarding fair value measurement of investment property for the year of report"/>
      </w:tblPr>
      <w:tblGrid>
        <w:gridCol w:w="1134"/>
        <w:gridCol w:w="1985"/>
        <w:gridCol w:w="1984"/>
        <w:gridCol w:w="1701"/>
        <w:gridCol w:w="1172"/>
        <w:gridCol w:w="2001"/>
      </w:tblGrid>
      <w:tr w:rsidR="00C52BA0" w:rsidRPr="000D4AF9" w14:paraId="014AF562" w14:textId="77777777" w:rsidTr="005101BC">
        <w:trPr>
          <w:cantSplit/>
          <w:trHeight w:val="720"/>
          <w:tblHeader/>
        </w:trPr>
        <w:tc>
          <w:tcPr>
            <w:tcW w:w="1134" w:type="dxa"/>
            <w:vAlign w:val="bottom"/>
          </w:tcPr>
          <w:p w14:paraId="231D34BD" w14:textId="77777777" w:rsidR="00C52BA0" w:rsidRPr="000D4AF9" w:rsidRDefault="00C52BA0" w:rsidP="00327BFD">
            <w:pPr>
              <w:pBdr>
                <w:bottom w:val="single" w:sz="4" w:space="1" w:color="auto"/>
              </w:pBdr>
              <w:jc w:val="center"/>
              <w:rPr>
                <w:b/>
                <w:bCs/>
                <w:sz w:val="20"/>
              </w:rPr>
            </w:pPr>
            <w:r w:rsidRPr="000D4AF9">
              <w:rPr>
                <w:b/>
                <w:bCs/>
                <w:sz w:val="20"/>
              </w:rPr>
              <w:t>Country</w:t>
            </w:r>
          </w:p>
        </w:tc>
        <w:tc>
          <w:tcPr>
            <w:tcW w:w="1985" w:type="dxa"/>
            <w:vAlign w:val="bottom"/>
          </w:tcPr>
          <w:p w14:paraId="327CE9C3" w14:textId="77777777" w:rsidR="00C52BA0" w:rsidRPr="000D4AF9" w:rsidRDefault="00C52BA0" w:rsidP="00327BFD">
            <w:pPr>
              <w:jc w:val="center"/>
              <w:rPr>
                <w:b/>
                <w:bCs/>
                <w:sz w:val="20"/>
              </w:rPr>
            </w:pPr>
            <w:r w:rsidRPr="000D4AF9">
              <w:rPr>
                <w:b/>
                <w:bCs/>
                <w:sz w:val="20"/>
              </w:rPr>
              <w:t>Use of the</w:t>
            </w:r>
          </w:p>
          <w:p w14:paraId="7D20B308" w14:textId="77777777" w:rsidR="00C52BA0" w:rsidRPr="000D4AF9" w:rsidRDefault="00C52BA0" w:rsidP="00327BFD">
            <w:pPr>
              <w:pBdr>
                <w:bottom w:val="single" w:sz="4" w:space="1" w:color="auto"/>
              </w:pBdr>
              <w:jc w:val="center"/>
              <w:rPr>
                <w:b/>
                <w:bCs/>
                <w:sz w:val="20"/>
              </w:rPr>
            </w:pPr>
            <w:r w:rsidRPr="000D4AF9">
              <w:rPr>
                <w:b/>
                <w:bCs/>
                <w:sz w:val="20"/>
              </w:rPr>
              <w:t>property</w:t>
            </w:r>
          </w:p>
        </w:tc>
        <w:tc>
          <w:tcPr>
            <w:tcW w:w="1984" w:type="dxa"/>
            <w:vAlign w:val="bottom"/>
          </w:tcPr>
          <w:p w14:paraId="6A8127E6" w14:textId="77777777" w:rsidR="00C52BA0" w:rsidRPr="000D4AF9" w:rsidRDefault="00C52BA0" w:rsidP="00327BFD">
            <w:pPr>
              <w:jc w:val="center"/>
              <w:rPr>
                <w:b/>
                <w:bCs/>
                <w:sz w:val="20"/>
              </w:rPr>
            </w:pPr>
            <w:r w:rsidRPr="000D4AF9">
              <w:rPr>
                <w:b/>
                <w:bCs/>
                <w:sz w:val="20"/>
              </w:rPr>
              <w:t>Fair Value</w:t>
            </w:r>
          </w:p>
          <w:p w14:paraId="77E49544" w14:textId="77777777" w:rsidR="00C52BA0" w:rsidRPr="000D4AF9" w:rsidRDefault="00C52BA0" w:rsidP="00327BFD">
            <w:pPr>
              <w:pBdr>
                <w:bottom w:val="single" w:sz="4" w:space="1" w:color="auto"/>
              </w:pBdr>
              <w:jc w:val="center"/>
              <w:rPr>
                <w:b/>
                <w:bCs/>
                <w:sz w:val="20"/>
              </w:rPr>
            </w:pPr>
            <w:r w:rsidRPr="000D4AF9">
              <w:rPr>
                <w:b/>
                <w:bCs/>
                <w:sz w:val="20"/>
              </w:rPr>
              <w:t>(In EUR thousands)</w:t>
            </w:r>
          </w:p>
        </w:tc>
        <w:tc>
          <w:tcPr>
            <w:tcW w:w="1701" w:type="dxa"/>
            <w:vAlign w:val="bottom"/>
          </w:tcPr>
          <w:p w14:paraId="173F556E" w14:textId="77777777" w:rsidR="00C52BA0" w:rsidRPr="000D4AF9" w:rsidRDefault="00C52BA0" w:rsidP="00327BFD">
            <w:pPr>
              <w:jc w:val="center"/>
              <w:rPr>
                <w:b/>
                <w:bCs/>
                <w:sz w:val="20"/>
              </w:rPr>
            </w:pPr>
            <w:r w:rsidRPr="000D4AF9">
              <w:rPr>
                <w:b/>
                <w:bCs/>
                <w:sz w:val="20"/>
              </w:rPr>
              <w:t>Yield rate</w:t>
            </w:r>
          </w:p>
          <w:p w14:paraId="73BD1D06" w14:textId="77777777" w:rsidR="00C52BA0" w:rsidRPr="000D4AF9" w:rsidRDefault="00C52BA0" w:rsidP="00327BFD">
            <w:pPr>
              <w:pBdr>
                <w:bottom w:val="single" w:sz="4" w:space="1" w:color="auto"/>
              </w:pBdr>
              <w:jc w:val="center"/>
              <w:rPr>
                <w:b/>
                <w:bCs/>
                <w:sz w:val="20"/>
              </w:rPr>
            </w:pPr>
            <w:r w:rsidRPr="000D4AF9">
              <w:rPr>
                <w:b/>
                <w:bCs/>
                <w:sz w:val="20"/>
              </w:rPr>
              <w:t>(in %)</w:t>
            </w:r>
          </w:p>
        </w:tc>
        <w:tc>
          <w:tcPr>
            <w:tcW w:w="1172" w:type="dxa"/>
            <w:vAlign w:val="bottom"/>
          </w:tcPr>
          <w:p w14:paraId="390F54A2" w14:textId="77777777" w:rsidR="00C52BA0" w:rsidRPr="00533B91" w:rsidRDefault="00C52BA0" w:rsidP="00327BFD">
            <w:pPr>
              <w:jc w:val="center"/>
              <w:rPr>
                <w:b/>
                <w:bCs/>
                <w:sz w:val="20"/>
              </w:rPr>
            </w:pPr>
            <w:r w:rsidRPr="00533B91">
              <w:rPr>
                <w:b/>
                <w:bCs/>
                <w:sz w:val="20"/>
              </w:rPr>
              <w:t>Occupancy</w:t>
            </w:r>
          </w:p>
          <w:p w14:paraId="1C2EA298" w14:textId="77777777" w:rsidR="00C52BA0" w:rsidRPr="00533B91" w:rsidRDefault="00C52BA0" w:rsidP="00327BFD">
            <w:pPr>
              <w:pBdr>
                <w:bottom w:val="single" w:sz="4" w:space="1" w:color="auto"/>
              </w:pBdr>
              <w:jc w:val="center"/>
              <w:rPr>
                <w:b/>
                <w:bCs/>
                <w:sz w:val="20"/>
                <w:lang w:bidi="he-IL"/>
              </w:rPr>
            </w:pPr>
            <w:r w:rsidRPr="00533B91">
              <w:rPr>
                <w:b/>
                <w:bCs/>
                <w:sz w:val="20"/>
              </w:rPr>
              <w:t>(in %)</w:t>
            </w:r>
          </w:p>
        </w:tc>
        <w:tc>
          <w:tcPr>
            <w:tcW w:w="2001" w:type="dxa"/>
            <w:vAlign w:val="bottom"/>
          </w:tcPr>
          <w:p w14:paraId="44206F98" w14:textId="77777777" w:rsidR="00C52BA0" w:rsidRPr="00164266" w:rsidRDefault="00C52BA0" w:rsidP="00327BFD">
            <w:pPr>
              <w:jc w:val="center"/>
              <w:rPr>
                <w:b/>
                <w:bCs/>
                <w:spacing w:val="-4"/>
                <w:sz w:val="20"/>
              </w:rPr>
            </w:pPr>
            <w:r w:rsidRPr="00164266">
              <w:rPr>
                <w:b/>
                <w:bCs/>
                <w:spacing w:val="-4"/>
                <w:sz w:val="20"/>
              </w:rPr>
              <w:t>Actual weighted average rent per sqm</w:t>
            </w:r>
          </w:p>
          <w:p w14:paraId="2B65F3E9" w14:textId="77777777" w:rsidR="00C52BA0" w:rsidRPr="00C00D3D" w:rsidRDefault="00C52BA0" w:rsidP="00327BFD">
            <w:pPr>
              <w:pBdr>
                <w:bottom w:val="single" w:sz="4" w:space="1" w:color="auto"/>
              </w:pBdr>
              <w:jc w:val="center"/>
              <w:rPr>
                <w:b/>
                <w:bCs/>
                <w:spacing w:val="-4"/>
                <w:sz w:val="20"/>
                <w:highlight w:val="yellow"/>
              </w:rPr>
            </w:pPr>
            <w:r w:rsidRPr="00164266">
              <w:rPr>
                <w:b/>
                <w:bCs/>
                <w:sz w:val="20"/>
              </w:rPr>
              <w:t>(In EUR/sqm)</w:t>
            </w:r>
          </w:p>
        </w:tc>
      </w:tr>
      <w:tr w:rsidR="00AA6B16" w:rsidRPr="000D4AF9" w14:paraId="29F4155E" w14:textId="77777777" w:rsidTr="005101BC">
        <w:tc>
          <w:tcPr>
            <w:tcW w:w="1134" w:type="dxa"/>
            <w:vAlign w:val="bottom"/>
          </w:tcPr>
          <w:p w14:paraId="33B46BDF" w14:textId="77777777" w:rsidR="00AA6B16" w:rsidRPr="001C1206" w:rsidRDefault="00AA6B16" w:rsidP="00AA6B16">
            <w:pPr>
              <w:jc w:val="center"/>
              <w:rPr>
                <w:sz w:val="22"/>
                <w:szCs w:val="22"/>
              </w:rPr>
            </w:pPr>
            <w:r w:rsidRPr="001C1206">
              <w:rPr>
                <w:sz w:val="22"/>
                <w:szCs w:val="22"/>
              </w:rPr>
              <w:t>Czech Republic</w:t>
            </w:r>
          </w:p>
        </w:tc>
        <w:tc>
          <w:tcPr>
            <w:tcW w:w="1985" w:type="dxa"/>
            <w:vAlign w:val="bottom"/>
          </w:tcPr>
          <w:p w14:paraId="2B9B177E" w14:textId="77777777" w:rsidR="00AA6B16" w:rsidRPr="001C1206" w:rsidRDefault="00AA6B16" w:rsidP="00AA6B16">
            <w:pPr>
              <w:jc w:val="center"/>
              <w:rPr>
                <w:sz w:val="22"/>
                <w:szCs w:val="22"/>
              </w:rPr>
            </w:pPr>
            <w:r w:rsidRPr="001C1206">
              <w:rPr>
                <w:sz w:val="22"/>
                <w:szCs w:val="22"/>
              </w:rPr>
              <w:t>Offices</w:t>
            </w:r>
          </w:p>
        </w:tc>
        <w:tc>
          <w:tcPr>
            <w:tcW w:w="1984" w:type="dxa"/>
            <w:vAlign w:val="bottom"/>
          </w:tcPr>
          <w:p w14:paraId="77E0F4B4" w14:textId="77777777" w:rsidR="00AA6B16" w:rsidRPr="00C00D3D" w:rsidRDefault="00AA6B16" w:rsidP="00AA6B16">
            <w:pPr>
              <w:jc w:val="center"/>
              <w:rPr>
                <w:b/>
                <w:bCs/>
                <w:sz w:val="22"/>
                <w:szCs w:val="22"/>
                <w:highlight w:val="yellow"/>
              </w:rPr>
            </w:pPr>
            <w:r>
              <w:rPr>
                <w:sz w:val="22"/>
                <w:szCs w:val="22"/>
              </w:rPr>
              <w:t>357,137</w:t>
            </w:r>
          </w:p>
        </w:tc>
        <w:tc>
          <w:tcPr>
            <w:tcW w:w="1701" w:type="dxa"/>
            <w:vAlign w:val="bottom"/>
          </w:tcPr>
          <w:p w14:paraId="27EE0BA8" w14:textId="17ED2D99" w:rsidR="00AA6B16" w:rsidRPr="008B4D00" w:rsidRDefault="00AA6B16" w:rsidP="00AA6B16">
            <w:pPr>
              <w:jc w:val="center"/>
              <w:rPr>
                <w:b/>
                <w:bCs/>
                <w:sz w:val="22"/>
                <w:szCs w:val="22"/>
              </w:rPr>
            </w:pPr>
            <w:r>
              <w:rPr>
                <w:sz w:val="22"/>
                <w:szCs w:val="22"/>
              </w:rPr>
              <w:t>6.0</w:t>
            </w:r>
          </w:p>
        </w:tc>
        <w:tc>
          <w:tcPr>
            <w:tcW w:w="1172" w:type="dxa"/>
            <w:tcBorders>
              <w:top w:val="nil"/>
              <w:left w:val="nil"/>
              <w:bottom w:val="nil"/>
              <w:right w:val="nil"/>
            </w:tcBorders>
            <w:shd w:val="clear" w:color="auto" w:fill="auto"/>
            <w:vAlign w:val="bottom"/>
          </w:tcPr>
          <w:p w14:paraId="724200D9" w14:textId="77777777" w:rsidR="00AA6B16" w:rsidRPr="007C2983" w:rsidRDefault="00AA6B16" w:rsidP="00AA6B16">
            <w:pPr>
              <w:jc w:val="center"/>
              <w:rPr>
                <w:b/>
                <w:bCs/>
                <w:sz w:val="22"/>
                <w:szCs w:val="22"/>
                <w:lang w:bidi="he-IL"/>
              </w:rPr>
            </w:pPr>
            <w:r w:rsidRPr="007C2983">
              <w:rPr>
                <w:sz w:val="22"/>
                <w:szCs w:val="22"/>
              </w:rPr>
              <w:t>9</w:t>
            </w:r>
            <w:r>
              <w:rPr>
                <w:rFonts w:hint="cs"/>
                <w:sz w:val="22"/>
                <w:szCs w:val="22"/>
                <w:rtl/>
                <w:lang w:bidi="he-IL"/>
              </w:rPr>
              <w:t>3</w:t>
            </w:r>
            <w:r w:rsidRPr="007C2983">
              <w:rPr>
                <w:sz w:val="22"/>
                <w:szCs w:val="22"/>
              </w:rPr>
              <w:t>%</w:t>
            </w:r>
          </w:p>
        </w:tc>
        <w:tc>
          <w:tcPr>
            <w:tcW w:w="2001" w:type="dxa"/>
            <w:vAlign w:val="bottom"/>
          </w:tcPr>
          <w:p w14:paraId="69277659" w14:textId="77777777" w:rsidR="00AA6B16" w:rsidRPr="002030C6" w:rsidRDefault="00AA6B16" w:rsidP="00AA6B16">
            <w:pPr>
              <w:jc w:val="center"/>
              <w:rPr>
                <w:b/>
                <w:bCs/>
                <w:sz w:val="22"/>
                <w:szCs w:val="22"/>
                <w:highlight w:val="yellow"/>
                <w:lang w:bidi="he-IL"/>
              </w:rPr>
            </w:pPr>
            <w:r>
              <w:rPr>
                <w:rFonts w:hint="cs"/>
                <w:sz w:val="22"/>
                <w:szCs w:val="22"/>
                <w:rtl/>
                <w:lang w:bidi="he-IL"/>
              </w:rPr>
              <w:t>14.9</w:t>
            </w:r>
          </w:p>
        </w:tc>
      </w:tr>
      <w:tr w:rsidR="00AA6B16" w:rsidRPr="000D4AF9" w14:paraId="6335C3A2" w14:textId="77777777" w:rsidTr="005101BC">
        <w:tc>
          <w:tcPr>
            <w:tcW w:w="1134" w:type="dxa"/>
            <w:vAlign w:val="bottom"/>
          </w:tcPr>
          <w:p w14:paraId="13E4733E" w14:textId="77777777" w:rsidR="00AA6B16" w:rsidRPr="001C1206" w:rsidRDefault="00AA6B16" w:rsidP="00AA6B16">
            <w:pPr>
              <w:jc w:val="center"/>
              <w:rPr>
                <w:sz w:val="22"/>
                <w:szCs w:val="22"/>
              </w:rPr>
            </w:pPr>
            <w:r w:rsidRPr="001C1206">
              <w:rPr>
                <w:sz w:val="22"/>
                <w:szCs w:val="22"/>
              </w:rPr>
              <w:t>Czech Republic</w:t>
            </w:r>
          </w:p>
        </w:tc>
        <w:tc>
          <w:tcPr>
            <w:tcW w:w="1985" w:type="dxa"/>
            <w:vAlign w:val="bottom"/>
          </w:tcPr>
          <w:p w14:paraId="3E25DEED" w14:textId="77777777" w:rsidR="00AA6B16" w:rsidRPr="001C1206" w:rsidRDefault="00AA6B16" w:rsidP="00AA6B16">
            <w:pPr>
              <w:jc w:val="center"/>
              <w:rPr>
                <w:sz w:val="22"/>
                <w:szCs w:val="22"/>
              </w:rPr>
            </w:pPr>
            <w:r>
              <w:rPr>
                <w:sz w:val="22"/>
                <w:szCs w:val="22"/>
              </w:rPr>
              <w:t>Residential for rent</w:t>
            </w:r>
          </w:p>
        </w:tc>
        <w:tc>
          <w:tcPr>
            <w:tcW w:w="1984" w:type="dxa"/>
            <w:vAlign w:val="bottom"/>
          </w:tcPr>
          <w:p w14:paraId="4DE5F5ED" w14:textId="77777777" w:rsidR="00AA6B16" w:rsidRPr="00C00D3D" w:rsidRDefault="00AA6B16" w:rsidP="00AA6B16">
            <w:pPr>
              <w:jc w:val="center"/>
              <w:rPr>
                <w:b/>
                <w:bCs/>
                <w:sz w:val="22"/>
                <w:szCs w:val="22"/>
              </w:rPr>
            </w:pPr>
            <w:r>
              <w:rPr>
                <w:sz w:val="22"/>
                <w:szCs w:val="22"/>
              </w:rPr>
              <w:t>133,989</w:t>
            </w:r>
          </w:p>
        </w:tc>
        <w:tc>
          <w:tcPr>
            <w:tcW w:w="1701" w:type="dxa"/>
            <w:vAlign w:val="bottom"/>
          </w:tcPr>
          <w:p w14:paraId="0A18580C" w14:textId="3688EC6F" w:rsidR="00AA6B16" w:rsidRPr="008B4D00" w:rsidRDefault="00AA6B16" w:rsidP="00AA6B16">
            <w:pPr>
              <w:jc w:val="center"/>
              <w:rPr>
                <w:b/>
                <w:bCs/>
                <w:sz w:val="22"/>
                <w:szCs w:val="22"/>
              </w:rPr>
            </w:pPr>
            <w:r>
              <w:rPr>
                <w:sz w:val="22"/>
                <w:szCs w:val="22"/>
              </w:rPr>
              <w:t>4.8</w:t>
            </w:r>
          </w:p>
        </w:tc>
        <w:tc>
          <w:tcPr>
            <w:tcW w:w="1172" w:type="dxa"/>
            <w:tcBorders>
              <w:top w:val="nil"/>
              <w:left w:val="nil"/>
              <w:bottom w:val="nil"/>
              <w:right w:val="nil"/>
            </w:tcBorders>
            <w:shd w:val="clear" w:color="auto" w:fill="auto"/>
            <w:vAlign w:val="bottom"/>
          </w:tcPr>
          <w:p w14:paraId="62F67AC1" w14:textId="77777777" w:rsidR="00AA6B16" w:rsidRPr="007C2983" w:rsidRDefault="00AA6B16" w:rsidP="00AA6B16">
            <w:pPr>
              <w:jc w:val="center"/>
              <w:rPr>
                <w:b/>
                <w:bCs/>
                <w:sz w:val="22"/>
                <w:szCs w:val="22"/>
                <w:lang w:bidi="he-IL"/>
              </w:rPr>
            </w:pPr>
            <w:r w:rsidRPr="007C2983">
              <w:rPr>
                <w:sz w:val="22"/>
                <w:szCs w:val="22"/>
              </w:rPr>
              <w:t>74%</w:t>
            </w:r>
          </w:p>
        </w:tc>
        <w:tc>
          <w:tcPr>
            <w:tcW w:w="2001" w:type="dxa"/>
            <w:vAlign w:val="bottom"/>
          </w:tcPr>
          <w:p w14:paraId="24D0395F" w14:textId="77777777" w:rsidR="00AA6B16" w:rsidRPr="002030C6" w:rsidRDefault="00AA6B16" w:rsidP="00AA6B16">
            <w:pPr>
              <w:jc w:val="center"/>
              <w:rPr>
                <w:b/>
                <w:bCs/>
                <w:sz w:val="22"/>
                <w:szCs w:val="22"/>
                <w:highlight w:val="yellow"/>
                <w:lang w:bidi="he-IL"/>
              </w:rPr>
            </w:pPr>
            <w:r>
              <w:rPr>
                <w:sz w:val="22"/>
                <w:szCs w:val="22"/>
              </w:rPr>
              <w:t>18.7</w:t>
            </w:r>
          </w:p>
        </w:tc>
      </w:tr>
      <w:tr w:rsidR="00AA6B16" w:rsidRPr="000D4AF9" w14:paraId="7ACC0EB5" w14:textId="77777777" w:rsidTr="005101BC">
        <w:tc>
          <w:tcPr>
            <w:tcW w:w="1134" w:type="dxa"/>
            <w:vAlign w:val="bottom"/>
          </w:tcPr>
          <w:p w14:paraId="209EFAB1" w14:textId="77777777" w:rsidR="00AA6B16" w:rsidRPr="001C1206" w:rsidRDefault="00AA6B16" w:rsidP="00AA6B16">
            <w:pPr>
              <w:jc w:val="center"/>
              <w:rPr>
                <w:sz w:val="22"/>
                <w:szCs w:val="22"/>
              </w:rPr>
            </w:pPr>
            <w:r w:rsidRPr="001C1206">
              <w:rPr>
                <w:sz w:val="22"/>
                <w:szCs w:val="22"/>
              </w:rPr>
              <w:t>Romania</w:t>
            </w:r>
          </w:p>
        </w:tc>
        <w:tc>
          <w:tcPr>
            <w:tcW w:w="1985" w:type="dxa"/>
            <w:vAlign w:val="bottom"/>
          </w:tcPr>
          <w:p w14:paraId="0E040DCE" w14:textId="77777777" w:rsidR="00AA6B16" w:rsidRPr="001C1206" w:rsidRDefault="00AA6B16" w:rsidP="00AA6B16">
            <w:pPr>
              <w:jc w:val="center"/>
              <w:rPr>
                <w:sz w:val="22"/>
                <w:szCs w:val="22"/>
              </w:rPr>
            </w:pPr>
            <w:r w:rsidRPr="001C1206">
              <w:rPr>
                <w:sz w:val="22"/>
                <w:szCs w:val="22"/>
              </w:rPr>
              <w:t>Offices</w:t>
            </w:r>
          </w:p>
        </w:tc>
        <w:tc>
          <w:tcPr>
            <w:tcW w:w="1984" w:type="dxa"/>
            <w:vAlign w:val="bottom"/>
          </w:tcPr>
          <w:p w14:paraId="4C923F79" w14:textId="77777777" w:rsidR="00AA6B16" w:rsidRPr="00161B5E" w:rsidRDefault="00AA6B16" w:rsidP="00AA6B16">
            <w:pPr>
              <w:jc w:val="center"/>
              <w:rPr>
                <w:b/>
                <w:bCs/>
                <w:sz w:val="22"/>
                <w:szCs w:val="22"/>
                <w:highlight w:val="yellow"/>
              </w:rPr>
            </w:pPr>
            <w:r>
              <w:rPr>
                <w:sz w:val="22"/>
                <w:szCs w:val="22"/>
              </w:rPr>
              <w:t>558,181</w:t>
            </w:r>
          </w:p>
        </w:tc>
        <w:tc>
          <w:tcPr>
            <w:tcW w:w="1701" w:type="dxa"/>
            <w:vAlign w:val="bottom"/>
          </w:tcPr>
          <w:p w14:paraId="2199E22C" w14:textId="4F5652C2" w:rsidR="00AA6B16" w:rsidRPr="008B4D00" w:rsidRDefault="00AA6B16" w:rsidP="00AA6B16">
            <w:pPr>
              <w:jc w:val="center"/>
              <w:rPr>
                <w:b/>
                <w:bCs/>
                <w:sz w:val="22"/>
                <w:szCs w:val="22"/>
                <w:highlight w:val="yellow"/>
              </w:rPr>
            </w:pPr>
            <w:r>
              <w:rPr>
                <w:sz w:val="22"/>
                <w:szCs w:val="22"/>
              </w:rPr>
              <w:t>7.9</w:t>
            </w:r>
          </w:p>
        </w:tc>
        <w:tc>
          <w:tcPr>
            <w:tcW w:w="1172" w:type="dxa"/>
            <w:tcBorders>
              <w:top w:val="nil"/>
              <w:left w:val="nil"/>
              <w:bottom w:val="nil"/>
              <w:right w:val="nil"/>
            </w:tcBorders>
            <w:shd w:val="clear" w:color="auto" w:fill="auto"/>
            <w:vAlign w:val="bottom"/>
          </w:tcPr>
          <w:p w14:paraId="278663F7" w14:textId="77777777" w:rsidR="00AA6B16" w:rsidRPr="007C2983" w:rsidRDefault="00AA6B16" w:rsidP="00AA6B16">
            <w:pPr>
              <w:jc w:val="center"/>
              <w:rPr>
                <w:b/>
                <w:bCs/>
                <w:sz w:val="22"/>
                <w:szCs w:val="22"/>
              </w:rPr>
            </w:pPr>
            <w:r w:rsidRPr="007C2983">
              <w:rPr>
                <w:sz w:val="22"/>
                <w:szCs w:val="22"/>
              </w:rPr>
              <w:t>87%</w:t>
            </w:r>
          </w:p>
        </w:tc>
        <w:tc>
          <w:tcPr>
            <w:tcW w:w="2001" w:type="dxa"/>
            <w:vAlign w:val="bottom"/>
          </w:tcPr>
          <w:p w14:paraId="69B5B420" w14:textId="77777777" w:rsidR="00AA6B16" w:rsidRPr="0020502A" w:rsidRDefault="00AA6B16" w:rsidP="00AA6B16">
            <w:pPr>
              <w:jc w:val="center"/>
              <w:rPr>
                <w:b/>
                <w:bCs/>
                <w:sz w:val="22"/>
                <w:szCs w:val="22"/>
                <w:highlight w:val="yellow"/>
                <w:lang w:bidi="he-IL"/>
              </w:rPr>
            </w:pPr>
            <w:r>
              <w:rPr>
                <w:sz w:val="22"/>
                <w:szCs w:val="22"/>
              </w:rPr>
              <w:t>14.9</w:t>
            </w:r>
          </w:p>
        </w:tc>
      </w:tr>
      <w:tr w:rsidR="00AA6B16" w:rsidRPr="000D4AF9" w14:paraId="1E909EE7" w14:textId="77777777" w:rsidTr="005101BC">
        <w:tc>
          <w:tcPr>
            <w:tcW w:w="1134" w:type="dxa"/>
            <w:vAlign w:val="bottom"/>
          </w:tcPr>
          <w:p w14:paraId="015D22DB" w14:textId="77777777" w:rsidR="00AA6B16" w:rsidRPr="001C1206" w:rsidRDefault="00AA6B16" w:rsidP="00AA6B16">
            <w:pPr>
              <w:jc w:val="center"/>
              <w:rPr>
                <w:sz w:val="22"/>
                <w:szCs w:val="22"/>
              </w:rPr>
            </w:pPr>
            <w:r w:rsidRPr="001C1206">
              <w:rPr>
                <w:sz w:val="22"/>
                <w:szCs w:val="22"/>
              </w:rPr>
              <w:t>Romania</w:t>
            </w:r>
          </w:p>
        </w:tc>
        <w:tc>
          <w:tcPr>
            <w:tcW w:w="1985" w:type="dxa"/>
            <w:vAlign w:val="bottom"/>
          </w:tcPr>
          <w:p w14:paraId="6D0ECAA7" w14:textId="77777777" w:rsidR="00AA6B16" w:rsidRPr="001C1206" w:rsidRDefault="00AA6B16" w:rsidP="00AA6B16">
            <w:pPr>
              <w:jc w:val="center"/>
              <w:rPr>
                <w:sz w:val="22"/>
                <w:szCs w:val="22"/>
              </w:rPr>
            </w:pPr>
            <w:r w:rsidRPr="001C1206">
              <w:rPr>
                <w:sz w:val="22"/>
                <w:szCs w:val="22"/>
              </w:rPr>
              <w:t>Retail</w:t>
            </w:r>
          </w:p>
        </w:tc>
        <w:tc>
          <w:tcPr>
            <w:tcW w:w="1984" w:type="dxa"/>
            <w:vAlign w:val="bottom"/>
          </w:tcPr>
          <w:p w14:paraId="6B81511E" w14:textId="77777777" w:rsidR="00AA6B16" w:rsidRPr="00161B5E" w:rsidRDefault="00AA6B16" w:rsidP="00AA6B16">
            <w:pPr>
              <w:jc w:val="center"/>
              <w:rPr>
                <w:b/>
                <w:bCs/>
                <w:sz w:val="22"/>
                <w:szCs w:val="22"/>
                <w:highlight w:val="yellow"/>
              </w:rPr>
            </w:pPr>
            <w:r>
              <w:rPr>
                <w:sz w:val="22"/>
                <w:szCs w:val="22"/>
              </w:rPr>
              <w:t>812,611</w:t>
            </w:r>
          </w:p>
        </w:tc>
        <w:tc>
          <w:tcPr>
            <w:tcW w:w="1701" w:type="dxa"/>
            <w:vAlign w:val="bottom"/>
          </w:tcPr>
          <w:p w14:paraId="5B11D938" w14:textId="65DCF0E6" w:rsidR="00AA6B16" w:rsidRPr="008B4D00" w:rsidRDefault="00AA6B16" w:rsidP="00AA6B16">
            <w:pPr>
              <w:jc w:val="center"/>
              <w:rPr>
                <w:b/>
                <w:bCs/>
                <w:sz w:val="22"/>
                <w:szCs w:val="22"/>
                <w:highlight w:val="yellow"/>
              </w:rPr>
            </w:pPr>
            <w:r>
              <w:rPr>
                <w:sz w:val="22"/>
                <w:szCs w:val="22"/>
              </w:rPr>
              <w:t>7.9</w:t>
            </w:r>
          </w:p>
        </w:tc>
        <w:tc>
          <w:tcPr>
            <w:tcW w:w="1172" w:type="dxa"/>
            <w:tcBorders>
              <w:top w:val="nil"/>
              <w:left w:val="nil"/>
              <w:bottom w:val="nil"/>
              <w:right w:val="nil"/>
            </w:tcBorders>
            <w:shd w:val="clear" w:color="auto" w:fill="auto"/>
            <w:vAlign w:val="bottom"/>
          </w:tcPr>
          <w:p w14:paraId="56C713C8" w14:textId="77777777" w:rsidR="00AA6B16" w:rsidRPr="007C2983" w:rsidRDefault="00AA6B16" w:rsidP="00AA6B16">
            <w:pPr>
              <w:jc w:val="center"/>
              <w:rPr>
                <w:b/>
                <w:bCs/>
                <w:sz w:val="22"/>
                <w:szCs w:val="22"/>
              </w:rPr>
            </w:pPr>
            <w:r w:rsidRPr="007C2983">
              <w:rPr>
                <w:sz w:val="22"/>
                <w:szCs w:val="22"/>
              </w:rPr>
              <w:t>98%</w:t>
            </w:r>
          </w:p>
        </w:tc>
        <w:tc>
          <w:tcPr>
            <w:tcW w:w="2001" w:type="dxa"/>
            <w:vAlign w:val="bottom"/>
          </w:tcPr>
          <w:p w14:paraId="2E4EC2B6" w14:textId="77777777" w:rsidR="00AA6B16" w:rsidRPr="0020502A" w:rsidRDefault="00AA6B16" w:rsidP="00AA6B16">
            <w:pPr>
              <w:jc w:val="center"/>
              <w:rPr>
                <w:b/>
                <w:bCs/>
                <w:sz w:val="22"/>
                <w:szCs w:val="22"/>
                <w:highlight w:val="yellow"/>
              </w:rPr>
            </w:pPr>
            <w:r>
              <w:rPr>
                <w:sz w:val="22"/>
                <w:szCs w:val="22"/>
              </w:rPr>
              <w:t>27.8</w:t>
            </w:r>
          </w:p>
        </w:tc>
      </w:tr>
      <w:tr w:rsidR="00AA6B16" w:rsidRPr="000D4AF9" w14:paraId="0CD9FE6F" w14:textId="77777777" w:rsidTr="005101BC">
        <w:tc>
          <w:tcPr>
            <w:tcW w:w="1134" w:type="dxa"/>
            <w:vAlign w:val="bottom"/>
          </w:tcPr>
          <w:p w14:paraId="2D2CD524" w14:textId="77777777" w:rsidR="00AA6B16" w:rsidRPr="001C1206" w:rsidRDefault="00AA6B16" w:rsidP="00AA6B16">
            <w:pPr>
              <w:jc w:val="center"/>
              <w:rPr>
                <w:sz w:val="22"/>
                <w:szCs w:val="22"/>
              </w:rPr>
            </w:pPr>
            <w:r w:rsidRPr="001C1206">
              <w:rPr>
                <w:sz w:val="22"/>
                <w:szCs w:val="22"/>
              </w:rPr>
              <w:t>Serbia</w:t>
            </w:r>
          </w:p>
        </w:tc>
        <w:tc>
          <w:tcPr>
            <w:tcW w:w="1985" w:type="dxa"/>
            <w:vAlign w:val="bottom"/>
          </w:tcPr>
          <w:p w14:paraId="2BF99C06" w14:textId="77777777" w:rsidR="00AA6B16" w:rsidRPr="001C1206" w:rsidRDefault="00AA6B16" w:rsidP="00AA6B16">
            <w:pPr>
              <w:jc w:val="center"/>
              <w:rPr>
                <w:sz w:val="22"/>
                <w:szCs w:val="22"/>
              </w:rPr>
            </w:pPr>
            <w:r w:rsidRPr="001C1206">
              <w:rPr>
                <w:sz w:val="22"/>
                <w:szCs w:val="22"/>
              </w:rPr>
              <w:t>Offices</w:t>
            </w:r>
          </w:p>
        </w:tc>
        <w:tc>
          <w:tcPr>
            <w:tcW w:w="1984" w:type="dxa"/>
            <w:vAlign w:val="bottom"/>
          </w:tcPr>
          <w:p w14:paraId="21E352C5" w14:textId="77777777" w:rsidR="00AA6B16" w:rsidRPr="00161B5E" w:rsidRDefault="00AA6B16" w:rsidP="00AA6B16">
            <w:pPr>
              <w:jc w:val="center"/>
              <w:rPr>
                <w:b/>
                <w:bCs/>
                <w:sz w:val="22"/>
                <w:szCs w:val="22"/>
                <w:highlight w:val="yellow"/>
              </w:rPr>
            </w:pPr>
            <w:r>
              <w:rPr>
                <w:sz w:val="22"/>
                <w:szCs w:val="22"/>
              </w:rPr>
              <w:t>471,618</w:t>
            </w:r>
          </w:p>
        </w:tc>
        <w:tc>
          <w:tcPr>
            <w:tcW w:w="1701" w:type="dxa"/>
            <w:vAlign w:val="bottom"/>
          </w:tcPr>
          <w:p w14:paraId="28EB1913" w14:textId="7A130B19" w:rsidR="00AA6B16" w:rsidRPr="008B4D00" w:rsidRDefault="00AA6B16" w:rsidP="00AA6B16">
            <w:pPr>
              <w:jc w:val="center"/>
              <w:rPr>
                <w:b/>
                <w:bCs/>
                <w:sz w:val="22"/>
                <w:szCs w:val="22"/>
              </w:rPr>
            </w:pPr>
            <w:r>
              <w:rPr>
                <w:sz w:val="22"/>
                <w:szCs w:val="22"/>
              </w:rPr>
              <w:t>8.4</w:t>
            </w:r>
          </w:p>
        </w:tc>
        <w:tc>
          <w:tcPr>
            <w:tcW w:w="1172" w:type="dxa"/>
            <w:tcBorders>
              <w:top w:val="nil"/>
              <w:left w:val="nil"/>
              <w:bottom w:val="nil"/>
              <w:right w:val="nil"/>
            </w:tcBorders>
            <w:shd w:val="clear" w:color="auto" w:fill="auto"/>
            <w:vAlign w:val="bottom"/>
          </w:tcPr>
          <w:p w14:paraId="5E2DA8A5" w14:textId="77777777" w:rsidR="00AA6B16" w:rsidRPr="007C2983" w:rsidRDefault="00AA6B16" w:rsidP="00AA6B16">
            <w:pPr>
              <w:jc w:val="center"/>
              <w:rPr>
                <w:b/>
                <w:bCs/>
                <w:sz w:val="22"/>
                <w:szCs w:val="22"/>
                <w:rtl/>
                <w:lang w:bidi="he-IL"/>
              </w:rPr>
            </w:pPr>
            <w:r w:rsidRPr="007C2983">
              <w:rPr>
                <w:sz w:val="22"/>
                <w:szCs w:val="22"/>
              </w:rPr>
              <w:t>87%</w:t>
            </w:r>
          </w:p>
        </w:tc>
        <w:tc>
          <w:tcPr>
            <w:tcW w:w="2001" w:type="dxa"/>
            <w:vAlign w:val="bottom"/>
          </w:tcPr>
          <w:p w14:paraId="18ABAB5E" w14:textId="77777777" w:rsidR="00AA6B16" w:rsidRPr="0020502A" w:rsidRDefault="00AA6B16" w:rsidP="00AA6B16">
            <w:pPr>
              <w:jc w:val="center"/>
              <w:rPr>
                <w:b/>
                <w:bCs/>
                <w:sz w:val="22"/>
                <w:szCs w:val="22"/>
                <w:highlight w:val="yellow"/>
                <w:lang w:bidi="he-IL"/>
              </w:rPr>
            </w:pPr>
            <w:r>
              <w:rPr>
                <w:sz w:val="22"/>
                <w:szCs w:val="22"/>
              </w:rPr>
              <w:t>15.2</w:t>
            </w:r>
          </w:p>
        </w:tc>
      </w:tr>
      <w:tr w:rsidR="00AA6B16" w:rsidRPr="000D4AF9" w14:paraId="696B3327" w14:textId="77777777" w:rsidTr="005101BC">
        <w:tc>
          <w:tcPr>
            <w:tcW w:w="1134" w:type="dxa"/>
            <w:vAlign w:val="bottom"/>
          </w:tcPr>
          <w:p w14:paraId="22028E2A" w14:textId="77777777" w:rsidR="00AA6B16" w:rsidRPr="001C1206" w:rsidRDefault="00AA6B16" w:rsidP="00AA6B16">
            <w:pPr>
              <w:jc w:val="center"/>
              <w:rPr>
                <w:sz w:val="22"/>
                <w:szCs w:val="22"/>
              </w:rPr>
            </w:pPr>
            <w:r w:rsidRPr="001C1206">
              <w:rPr>
                <w:sz w:val="22"/>
                <w:szCs w:val="22"/>
              </w:rPr>
              <w:t>Serbia</w:t>
            </w:r>
          </w:p>
        </w:tc>
        <w:tc>
          <w:tcPr>
            <w:tcW w:w="1985" w:type="dxa"/>
            <w:vAlign w:val="bottom"/>
          </w:tcPr>
          <w:p w14:paraId="5714B0AE" w14:textId="77777777" w:rsidR="00AA6B16" w:rsidRPr="001C1206" w:rsidRDefault="00AA6B16" w:rsidP="00AA6B16">
            <w:pPr>
              <w:jc w:val="center"/>
              <w:rPr>
                <w:sz w:val="22"/>
                <w:szCs w:val="22"/>
              </w:rPr>
            </w:pPr>
            <w:r w:rsidRPr="001C1206">
              <w:rPr>
                <w:sz w:val="22"/>
                <w:szCs w:val="22"/>
              </w:rPr>
              <w:t>Retail</w:t>
            </w:r>
          </w:p>
        </w:tc>
        <w:tc>
          <w:tcPr>
            <w:tcW w:w="1984" w:type="dxa"/>
            <w:vAlign w:val="bottom"/>
          </w:tcPr>
          <w:p w14:paraId="4FCAF1BB" w14:textId="77777777" w:rsidR="00AA6B16" w:rsidRPr="00161B5E" w:rsidRDefault="00AA6B16" w:rsidP="00AA6B16">
            <w:pPr>
              <w:jc w:val="center"/>
              <w:rPr>
                <w:b/>
                <w:bCs/>
                <w:sz w:val="22"/>
                <w:szCs w:val="22"/>
              </w:rPr>
            </w:pPr>
            <w:r>
              <w:rPr>
                <w:sz w:val="22"/>
                <w:szCs w:val="22"/>
              </w:rPr>
              <w:t>13,700</w:t>
            </w:r>
          </w:p>
        </w:tc>
        <w:tc>
          <w:tcPr>
            <w:tcW w:w="1701" w:type="dxa"/>
            <w:vAlign w:val="bottom"/>
          </w:tcPr>
          <w:p w14:paraId="37A869B4" w14:textId="06C568DC" w:rsidR="00AA6B16" w:rsidRPr="008B4D00" w:rsidRDefault="00AA6B16" w:rsidP="00AA6B16">
            <w:pPr>
              <w:jc w:val="center"/>
              <w:rPr>
                <w:b/>
                <w:bCs/>
                <w:sz w:val="22"/>
                <w:szCs w:val="22"/>
              </w:rPr>
            </w:pPr>
            <w:r>
              <w:rPr>
                <w:sz w:val="22"/>
                <w:szCs w:val="22"/>
              </w:rPr>
              <w:t>8.0</w:t>
            </w:r>
          </w:p>
        </w:tc>
        <w:tc>
          <w:tcPr>
            <w:tcW w:w="1172" w:type="dxa"/>
            <w:tcBorders>
              <w:top w:val="nil"/>
              <w:left w:val="nil"/>
              <w:bottom w:val="nil"/>
              <w:right w:val="nil"/>
            </w:tcBorders>
            <w:shd w:val="clear" w:color="auto" w:fill="auto"/>
            <w:vAlign w:val="bottom"/>
          </w:tcPr>
          <w:p w14:paraId="52EBDEE7" w14:textId="77777777" w:rsidR="00AA6B16" w:rsidRPr="007C2983" w:rsidRDefault="00AA6B16" w:rsidP="00AA6B16">
            <w:pPr>
              <w:jc w:val="center"/>
              <w:rPr>
                <w:b/>
                <w:bCs/>
                <w:sz w:val="22"/>
                <w:szCs w:val="22"/>
                <w:rtl/>
                <w:lang w:bidi="he-IL"/>
              </w:rPr>
            </w:pPr>
            <w:r w:rsidRPr="007C2983">
              <w:rPr>
                <w:sz w:val="22"/>
                <w:szCs w:val="22"/>
              </w:rPr>
              <w:t>100%</w:t>
            </w:r>
          </w:p>
        </w:tc>
        <w:tc>
          <w:tcPr>
            <w:tcW w:w="2001" w:type="dxa"/>
            <w:vAlign w:val="bottom"/>
          </w:tcPr>
          <w:p w14:paraId="3DD32CD1" w14:textId="77777777" w:rsidR="00AA6B16" w:rsidRPr="002030C6" w:rsidRDefault="00AA6B16" w:rsidP="00AA6B16">
            <w:pPr>
              <w:jc w:val="center"/>
              <w:rPr>
                <w:b/>
                <w:bCs/>
                <w:sz w:val="22"/>
                <w:szCs w:val="22"/>
                <w:highlight w:val="yellow"/>
              </w:rPr>
            </w:pPr>
            <w:r>
              <w:rPr>
                <w:sz w:val="22"/>
                <w:szCs w:val="22"/>
              </w:rPr>
              <w:t>5.8</w:t>
            </w:r>
          </w:p>
        </w:tc>
      </w:tr>
      <w:tr w:rsidR="00AA6B16" w:rsidRPr="000D4AF9" w14:paraId="6854589C" w14:textId="77777777" w:rsidTr="005101BC">
        <w:tc>
          <w:tcPr>
            <w:tcW w:w="1134" w:type="dxa"/>
            <w:vAlign w:val="bottom"/>
          </w:tcPr>
          <w:p w14:paraId="50964837" w14:textId="77777777" w:rsidR="00AA6B16" w:rsidRPr="001C1206" w:rsidRDefault="00AA6B16" w:rsidP="00AA6B16">
            <w:pPr>
              <w:jc w:val="center"/>
              <w:rPr>
                <w:sz w:val="22"/>
                <w:szCs w:val="22"/>
              </w:rPr>
            </w:pPr>
            <w:r w:rsidRPr="001C1206">
              <w:rPr>
                <w:sz w:val="22"/>
                <w:szCs w:val="22"/>
              </w:rPr>
              <w:t>Poland</w:t>
            </w:r>
          </w:p>
        </w:tc>
        <w:tc>
          <w:tcPr>
            <w:tcW w:w="1985" w:type="dxa"/>
            <w:vAlign w:val="bottom"/>
          </w:tcPr>
          <w:p w14:paraId="305D5926" w14:textId="77777777" w:rsidR="00AA6B16" w:rsidRPr="001C1206" w:rsidRDefault="00AA6B16" w:rsidP="00AA6B16">
            <w:pPr>
              <w:jc w:val="center"/>
              <w:rPr>
                <w:sz w:val="22"/>
                <w:szCs w:val="22"/>
              </w:rPr>
            </w:pPr>
            <w:r w:rsidRPr="001C1206">
              <w:rPr>
                <w:sz w:val="22"/>
                <w:szCs w:val="22"/>
              </w:rPr>
              <w:t>Offices</w:t>
            </w:r>
          </w:p>
        </w:tc>
        <w:tc>
          <w:tcPr>
            <w:tcW w:w="1984" w:type="dxa"/>
            <w:vAlign w:val="bottom"/>
          </w:tcPr>
          <w:p w14:paraId="0831C141" w14:textId="77777777" w:rsidR="00AA6B16" w:rsidRPr="00C00D3D" w:rsidRDefault="00AA6B16" w:rsidP="00AA6B16">
            <w:pPr>
              <w:jc w:val="center"/>
              <w:rPr>
                <w:b/>
                <w:bCs/>
                <w:sz w:val="22"/>
                <w:szCs w:val="22"/>
                <w:highlight w:val="yellow"/>
              </w:rPr>
            </w:pPr>
            <w:r>
              <w:rPr>
                <w:sz w:val="22"/>
                <w:szCs w:val="22"/>
              </w:rPr>
              <w:t>162,420</w:t>
            </w:r>
          </w:p>
        </w:tc>
        <w:tc>
          <w:tcPr>
            <w:tcW w:w="1701" w:type="dxa"/>
            <w:vAlign w:val="bottom"/>
          </w:tcPr>
          <w:p w14:paraId="77CF81CC" w14:textId="6A3D71D1" w:rsidR="00AA6B16" w:rsidRPr="008B4D00" w:rsidRDefault="00AA6B16" w:rsidP="00AA6B16">
            <w:pPr>
              <w:jc w:val="center"/>
              <w:rPr>
                <w:b/>
                <w:bCs/>
                <w:sz w:val="22"/>
                <w:szCs w:val="22"/>
              </w:rPr>
            </w:pPr>
            <w:r>
              <w:rPr>
                <w:sz w:val="22"/>
                <w:szCs w:val="22"/>
              </w:rPr>
              <w:t>8.2</w:t>
            </w:r>
          </w:p>
        </w:tc>
        <w:tc>
          <w:tcPr>
            <w:tcW w:w="1172" w:type="dxa"/>
            <w:tcBorders>
              <w:top w:val="nil"/>
              <w:left w:val="nil"/>
              <w:bottom w:val="nil"/>
              <w:right w:val="nil"/>
            </w:tcBorders>
            <w:shd w:val="clear" w:color="auto" w:fill="auto"/>
            <w:vAlign w:val="bottom"/>
          </w:tcPr>
          <w:p w14:paraId="6EB36F3C" w14:textId="77777777" w:rsidR="00AA6B16" w:rsidRPr="007C2983" w:rsidRDefault="00AA6B16" w:rsidP="00AA6B16">
            <w:pPr>
              <w:jc w:val="center"/>
              <w:rPr>
                <w:b/>
                <w:bCs/>
                <w:sz w:val="22"/>
                <w:szCs w:val="22"/>
                <w:lang w:bidi="he-IL"/>
              </w:rPr>
            </w:pPr>
            <w:r w:rsidRPr="007C2983">
              <w:rPr>
                <w:sz w:val="22"/>
                <w:szCs w:val="22"/>
              </w:rPr>
              <w:t>92%</w:t>
            </w:r>
          </w:p>
        </w:tc>
        <w:tc>
          <w:tcPr>
            <w:tcW w:w="2001" w:type="dxa"/>
            <w:vAlign w:val="bottom"/>
          </w:tcPr>
          <w:p w14:paraId="74BF4203" w14:textId="77777777" w:rsidR="00AA6B16" w:rsidRPr="002030C6" w:rsidRDefault="00AA6B16" w:rsidP="00AA6B16">
            <w:pPr>
              <w:jc w:val="center"/>
              <w:rPr>
                <w:b/>
                <w:bCs/>
                <w:sz w:val="22"/>
                <w:szCs w:val="22"/>
                <w:highlight w:val="yellow"/>
              </w:rPr>
            </w:pPr>
            <w:r>
              <w:rPr>
                <w:sz w:val="22"/>
                <w:szCs w:val="22"/>
              </w:rPr>
              <w:t>14.6</w:t>
            </w:r>
          </w:p>
        </w:tc>
      </w:tr>
      <w:tr w:rsidR="00AA6B16" w:rsidRPr="000D4AF9" w14:paraId="2D487ACF" w14:textId="77777777" w:rsidTr="005101BC">
        <w:tc>
          <w:tcPr>
            <w:tcW w:w="1134" w:type="dxa"/>
            <w:vAlign w:val="bottom"/>
          </w:tcPr>
          <w:p w14:paraId="06D84BB1" w14:textId="77777777" w:rsidR="00AA6B16" w:rsidRPr="001C1206" w:rsidRDefault="00AA6B16" w:rsidP="00AA6B16">
            <w:pPr>
              <w:jc w:val="center"/>
              <w:rPr>
                <w:sz w:val="22"/>
                <w:szCs w:val="22"/>
              </w:rPr>
            </w:pPr>
            <w:r w:rsidRPr="001C1206">
              <w:rPr>
                <w:sz w:val="22"/>
                <w:szCs w:val="22"/>
              </w:rPr>
              <w:t>Poland</w:t>
            </w:r>
          </w:p>
        </w:tc>
        <w:tc>
          <w:tcPr>
            <w:tcW w:w="1985" w:type="dxa"/>
            <w:vAlign w:val="bottom"/>
          </w:tcPr>
          <w:p w14:paraId="32DC71CF" w14:textId="77777777" w:rsidR="00AA6B16" w:rsidRPr="001C1206" w:rsidRDefault="00AA6B16" w:rsidP="00AA6B16">
            <w:pPr>
              <w:jc w:val="center"/>
              <w:rPr>
                <w:sz w:val="22"/>
                <w:szCs w:val="22"/>
              </w:rPr>
            </w:pPr>
            <w:r>
              <w:rPr>
                <w:sz w:val="22"/>
                <w:szCs w:val="22"/>
              </w:rPr>
              <w:t>Residential for rent</w:t>
            </w:r>
          </w:p>
        </w:tc>
        <w:tc>
          <w:tcPr>
            <w:tcW w:w="1984" w:type="dxa"/>
            <w:vAlign w:val="bottom"/>
          </w:tcPr>
          <w:p w14:paraId="4E06E7FE" w14:textId="77777777" w:rsidR="00AA6B16" w:rsidRPr="00C00D3D" w:rsidRDefault="00AA6B16" w:rsidP="00AA6B16">
            <w:pPr>
              <w:jc w:val="center"/>
              <w:rPr>
                <w:b/>
                <w:bCs/>
                <w:sz w:val="22"/>
                <w:szCs w:val="22"/>
              </w:rPr>
            </w:pPr>
            <w:r>
              <w:rPr>
                <w:sz w:val="22"/>
                <w:szCs w:val="22"/>
              </w:rPr>
              <w:t>103,222</w:t>
            </w:r>
          </w:p>
        </w:tc>
        <w:tc>
          <w:tcPr>
            <w:tcW w:w="1701" w:type="dxa"/>
            <w:vAlign w:val="bottom"/>
          </w:tcPr>
          <w:p w14:paraId="79FED449" w14:textId="22B7B589" w:rsidR="00AA6B16" w:rsidRPr="008B4D00" w:rsidRDefault="00AA6B16" w:rsidP="00AA6B16">
            <w:pPr>
              <w:jc w:val="center"/>
              <w:rPr>
                <w:b/>
                <w:bCs/>
                <w:sz w:val="22"/>
                <w:szCs w:val="22"/>
              </w:rPr>
            </w:pPr>
            <w:r>
              <w:rPr>
                <w:sz w:val="22"/>
                <w:szCs w:val="22"/>
              </w:rPr>
              <w:t>5.7</w:t>
            </w:r>
          </w:p>
        </w:tc>
        <w:tc>
          <w:tcPr>
            <w:tcW w:w="1172" w:type="dxa"/>
            <w:tcBorders>
              <w:top w:val="nil"/>
              <w:left w:val="nil"/>
              <w:bottom w:val="nil"/>
              <w:right w:val="nil"/>
            </w:tcBorders>
            <w:shd w:val="clear" w:color="auto" w:fill="auto"/>
            <w:vAlign w:val="bottom"/>
          </w:tcPr>
          <w:p w14:paraId="4022ECA1" w14:textId="77777777" w:rsidR="00AA6B16" w:rsidRPr="007C2983" w:rsidRDefault="00AA6B16" w:rsidP="00AA6B16">
            <w:pPr>
              <w:jc w:val="center"/>
              <w:rPr>
                <w:b/>
                <w:bCs/>
                <w:sz w:val="22"/>
                <w:szCs w:val="22"/>
                <w:lang w:bidi="he-IL"/>
              </w:rPr>
            </w:pPr>
            <w:r w:rsidRPr="007C2983">
              <w:rPr>
                <w:sz w:val="22"/>
                <w:szCs w:val="22"/>
              </w:rPr>
              <w:t>63%</w:t>
            </w:r>
          </w:p>
        </w:tc>
        <w:tc>
          <w:tcPr>
            <w:tcW w:w="2001" w:type="dxa"/>
            <w:vAlign w:val="bottom"/>
          </w:tcPr>
          <w:p w14:paraId="16DCBCED" w14:textId="77777777" w:rsidR="00AA6B16" w:rsidRPr="002030C6" w:rsidRDefault="00AA6B16" w:rsidP="00AA6B16">
            <w:pPr>
              <w:jc w:val="center"/>
              <w:rPr>
                <w:b/>
                <w:bCs/>
                <w:sz w:val="22"/>
                <w:szCs w:val="22"/>
                <w:highlight w:val="yellow"/>
              </w:rPr>
            </w:pPr>
            <w:r>
              <w:rPr>
                <w:sz w:val="22"/>
                <w:szCs w:val="22"/>
              </w:rPr>
              <w:t>18.5</w:t>
            </w:r>
          </w:p>
        </w:tc>
      </w:tr>
      <w:tr w:rsidR="00AA6B16" w:rsidRPr="000D4AF9" w14:paraId="77D34D75" w14:textId="77777777" w:rsidTr="005101BC">
        <w:trPr>
          <w:trHeight w:val="70"/>
        </w:trPr>
        <w:tc>
          <w:tcPr>
            <w:tcW w:w="1134" w:type="dxa"/>
            <w:vAlign w:val="bottom"/>
          </w:tcPr>
          <w:p w14:paraId="509C1F34" w14:textId="77777777" w:rsidR="00AA6B16" w:rsidRPr="001C1206" w:rsidRDefault="00AA6B16" w:rsidP="00AA6B16">
            <w:pPr>
              <w:jc w:val="center"/>
              <w:rPr>
                <w:sz w:val="22"/>
                <w:szCs w:val="22"/>
              </w:rPr>
            </w:pPr>
            <w:r w:rsidRPr="001C1206">
              <w:rPr>
                <w:sz w:val="22"/>
                <w:szCs w:val="22"/>
              </w:rPr>
              <w:t>Bulgaria</w:t>
            </w:r>
          </w:p>
        </w:tc>
        <w:tc>
          <w:tcPr>
            <w:tcW w:w="1985" w:type="dxa"/>
            <w:vAlign w:val="bottom"/>
          </w:tcPr>
          <w:p w14:paraId="1065FD16" w14:textId="77777777" w:rsidR="00AA6B16" w:rsidRPr="001C1206" w:rsidRDefault="00AA6B16" w:rsidP="00AA6B16">
            <w:pPr>
              <w:jc w:val="center"/>
              <w:rPr>
                <w:sz w:val="22"/>
                <w:szCs w:val="22"/>
              </w:rPr>
            </w:pPr>
            <w:r w:rsidRPr="001C1206">
              <w:rPr>
                <w:sz w:val="22"/>
                <w:szCs w:val="22"/>
              </w:rPr>
              <w:t>Offices</w:t>
            </w:r>
          </w:p>
        </w:tc>
        <w:tc>
          <w:tcPr>
            <w:tcW w:w="1984" w:type="dxa"/>
            <w:vAlign w:val="bottom"/>
          </w:tcPr>
          <w:p w14:paraId="33AAFDC0" w14:textId="77777777" w:rsidR="00AA6B16" w:rsidRPr="00C00D3D" w:rsidRDefault="00AA6B16" w:rsidP="00AA6B16">
            <w:pPr>
              <w:jc w:val="center"/>
              <w:rPr>
                <w:b/>
                <w:bCs/>
                <w:sz w:val="22"/>
                <w:szCs w:val="22"/>
                <w:highlight w:val="yellow"/>
              </w:rPr>
            </w:pPr>
            <w:r>
              <w:rPr>
                <w:sz w:val="22"/>
                <w:szCs w:val="22"/>
              </w:rPr>
              <w:t>22,959</w:t>
            </w:r>
          </w:p>
        </w:tc>
        <w:tc>
          <w:tcPr>
            <w:tcW w:w="1701" w:type="dxa"/>
            <w:vAlign w:val="bottom"/>
          </w:tcPr>
          <w:p w14:paraId="41D5708A" w14:textId="54BFD7ED" w:rsidR="00AA6B16" w:rsidRPr="008B4D00" w:rsidRDefault="00AA6B16" w:rsidP="00AA6B16">
            <w:pPr>
              <w:jc w:val="center"/>
              <w:rPr>
                <w:b/>
                <w:bCs/>
                <w:sz w:val="22"/>
                <w:szCs w:val="22"/>
              </w:rPr>
            </w:pPr>
            <w:r>
              <w:rPr>
                <w:sz w:val="22"/>
                <w:szCs w:val="22"/>
              </w:rPr>
              <w:t>9.9</w:t>
            </w:r>
          </w:p>
        </w:tc>
        <w:tc>
          <w:tcPr>
            <w:tcW w:w="1172" w:type="dxa"/>
            <w:tcBorders>
              <w:top w:val="nil"/>
              <w:left w:val="nil"/>
              <w:bottom w:val="nil"/>
              <w:right w:val="nil"/>
            </w:tcBorders>
            <w:shd w:val="clear" w:color="auto" w:fill="auto"/>
            <w:vAlign w:val="bottom"/>
          </w:tcPr>
          <w:p w14:paraId="344B240B" w14:textId="77777777" w:rsidR="00AA6B16" w:rsidRPr="00CF372C" w:rsidRDefault="00AA6B16" w:rsidP="00AA6B16">
            <w:pPr>
              <w:jc w:val="center"/>
              <w:rPr>
                <w:b/>
                <w:bCs/>
                <w:sz w:val="22"/>
                <w:szCs w:val="22"/>
              </w:rPr>
            </w:pPr>
            <w:r w:rsidRPr="00CF372C">
              <w:rPr>
                <w:sz w:val="22"/>
                <w:szCs w:val="22"/>
                <w:rtl/>
                <w:lang w:bidi="he-IL"/>
              </w:rPr>
              <w:t>82</w:t>
            </w:r>
            <w:r w:rsidRPr="00CF372C">
              <w:rPr>
                <w:sz w:val="22"/>
                <w:szCs w:val="22"/>
              </w:rPr>
              <w:t>%</w:t>
            </w:r>
          </w:p>
        </w:tc>
        <w:tc>
          <w:tcPr>
            <w:tcW w:w="2001" w:type="dxa"/>
            <w:vAlign w:val="bottom"/>
          </w:tcPr>
          <w:p w14:paraId="41B27F88" w14:textId="77777777" w:rsidR="00AA6B16" w:rsidRPr="002030C6" w:rsidRDefault="00AA6B16" w:rsidP="00AA6B16">
            <w:pPr>
              <w:jc w:val="center"/>
              <w:rPr>
                <w:b/>
                <w:bCs/>
                <w:sz w:val="22"/>
                <w:szCs w:val="22"/>
                <w:highlight w:val="yellow"/>
              </w:rPr>
            </w:pPr>
            <w:r>
              <w:rPr>
                <w:sz w:val="22"/>
                <w:szCs w:val="22"/>
              </w:rPr>
              <w:t>5</w:t>
            </w:r>
          </w:p>
        </w:tc>
      </w:tr>
    </w:tbl>
    <w:p w14:paraId="5CC30A43" w14:textId="77777777" w:rsidR="00C52BA0" w:rsidRDefault="00C52BA0" w:rsidP="00C92456">
      <w:pPr>
        <w:autoSpaceDE w:val="0"/>
        <w:autoSpaceDN w:val="0"/>
        <w:adjustRightInd w:val="0"/>
        <w:ind w:left="567"/>
        <w:jc w:val="both"/>
        <w:rPr>
          <w:b/>
          <w:bCs/>
          <w:sz w:val="22"/>
          <w:szCs w:val="22"/>
        </w:rPr>
      </w:pPr>
    </w:p>
    <w:p w14:paraId="7731D440" w14:textId="1D90570F" w:rsidR="00C35D07" w:rsidRPr="00F02921" w:rsidRDefault="00C35D07" w:rsidP="000B59AD">
      <w:pPr>
        <w:ind w:left="567" w:hanging="567"/>
        <w:jc w:val="both"/>
        <w:outlineLvl w:val="4"/>
        <w:rPr>
          <w:sz w:val="22"/>
          <w:szCs w:val="22"/>
        </w:rPr>
      </w:pPr>
      <w:r w:rsidRPr="00F02921">
        <w:rPr>
          <w:b/>
          <w:bCs/>
          <w:sz w:val="22"/>
          <w:szCs w:val="22"/>
        </w:rPr>
        <w:t>(4)</w:t>
      </w:r>
      <w:r w:rsidRPr="00F02921">
        <w:rPr>
          <w:b/>
          <w:bCs/>
          <w:sz w:val="22"/>
          <w:szCs w:val="22"/>
        </w:rPr>
        <w:tab/>
        <w:t xml:space="preserve">Sensitivity </w:t>
      </w:r>
      <w:r w:rsidR="00812774">
        <w:rPr>
          <w:b/>
          <w:bCs/>
          <w:sz w:val="22"/>
          <w:szCs w:val="22"/>
        </w:rPr>
        <w:t>a</w:t>
      </w:r>
      <w:r w:rsidRPr="00F02921">
        <w:rPr>
          <w:b/>
          <w:bCs/>
          <w:sz w:val="22"/>
          <w:szCs w:val="22"/>
        </w:rPr>
        <w:t xml:space="preserve">nalysis for change in fair value (AFI Cotroceni in Bucharest, Romania) </w:t>
      </w:r>
    </w:p>
    <w:bookmarkEnd w:id="137"/>
    <w:p w14:paraId="4DA88C2B" w14:textId="77777777" w:rsidR="00C35D07" w:rsidRPr="00F02921" w:rsidRDefault="00C35D07" w:rsidP="00BF44B2">
      <w:pPr>
        <w:autoSpaceDE w:val="0"/>
        <w:autoSpaceDN w:val="0"/>
        <w:adjustRightInd w:val="0"/>
        <w:ind w:left="1440"/>
        <w:jc w:val="both"/>
        <w:rPr>
          <w:sz w:val="22"/>
          <w:szCs w:val="22"/>
        </w:rPr>
      </w:pPr>
    </w:p>
    <w:p w14:paraId="56161D45" w14:textId="356137EE" w:rsidR="00C35D07" w:rsidRPr="00F02921" w:rsidRDefault="00C35D07" w:rsidP="000D4AF9">
      <w:pPr>
        <w:autoSpaceDE w:val="0"/>
        <w:autoSpaceDN w:val="0"/>
        <w:adjustRightInd w:val="0"/>
        <w:ind w:left="567"/>
        <w:jc w:val="both"/>
        <w:rPr>
          <w:sz w:val="22"/>
          <w:szCs w:val="22"/>
        </w:rPr>
      </w:pPr>
      <w:r w:rsidRPr="00F02921">
        <w:rPr>
          <w:sz w:val="22"/>
          <w:szCs w:val="22"/>
        </w:rPr>
        <w:t xml:space="preserve">A change in the main unobservable inputs in the fair value valuation of AFI Cotroceni, which is a </w:t>
      </w:r>
      <w:r w:rsidR="00D667C5" w:rsidRPr="00D667C5">
        <w:rPr>
          <w:sz w:val="22"/>
          <w:szCs w:val="22"/>
        </w:rPr>
        <w:t xml:space="preserve">significant </w:t>
      </w:r>
      <w:proofErr w:type="gramStart"/>
      <w:r w:rsidR="00D667C5" w:rsidRPr="00D667C5">
        <w:rPr>
          <w:sz w:val="22"/>
          <w:szCs w:val="22"/>
        </w:rPr>
        <w:t>asset of</w:t>
      </w:r>
      <w:proofErr w:type="gramEnd"/>
      <w:r w:rsidRPr="00F02921">
        <w:rPr>
          <w:sz w:val="22"/>
          <w:szCs w:val="22"/>
        </w:rPr>
        <w:t xml:space="preserve"> for the </w:t>
      </w:r>
      <w:r w:rsidR="00812774">
        <w:rPr>
          <w:sz w:val="22"/>
          <w:szCs w:val="22"/>
        </w:rPr>
        <w:t>C</w:t>
      </w:r>
      <w:r w:rsidRPr="00F02921">
        <w:rPr>
          <w:sz w:val="22"/>
          <w:szCs w:val="22"/>
        </w:rPr>
        <w:t>ompany, is</w:t>
      </w:r>
      <w:r w:rsidR="005B2F45">
        <w:rPr>
          <w:sz w:val="22"/>
          <w:szCs w:val="22"/>
        </w:rPr>
        <w:t xml:space="preserve"> described in the tables below:</w:t>
      </w:r>
    </w:p>
    <w:p w14:paraId="296DBD21" w14:textId="77777777" w:rsidR="00C35D07" w:rsidRPr="00F02921" w:rsidRDefault="00C35D07" w:rsidP="002C53D7">
      <w:pPr>
        <w:autoSpaceDE w:val="0"/>
        <w:autoSpaceDN w:val="0"/>
        <w:adjustRightInd w:val="0"/>
        <w:ind w:left="1440"/>
        <w:jc w:val="both"/>
        <w:rPr>
          <w:sz w:val="22"/>
          <w:szCs w:val="22"/>
        </w:rPr>
      </w:pPr>
      <w:r w:rsidRPr="00F02921">
        <w:rPr>
          <w:sz w:val="22"/>
          <w:szCs w:val="22"/>
        </w:rPr>
        <w:t xml:space="preserve"> </w:t>
      </w:r>
    </w:p>
    <w:p w14:paraId="71FD6564" w14:textId="77777777" w:rsidR="00C35D07" w:rsidRPr="00E23F46" w:rsidRDefault="00C35D07" w:rsidP="000D4AF9">
      <w:pPr>
        <w:autoSpaceDE w:val="0"/>
        <w:autoSpaceDN w:val="0"/>
        <w:adjustRightInd w:val="0"/>
        <w:ind w:left="567"/>
        <w:jc w:val="both"/>
        <w:rPr>
          <w:sz w:val="22"/>
          <w:szCs w:val="22"/>
        </w:rPr>
      </w:pPr>
      <w:r w:rsidRPr="00E23F46">
        <w:rPr>
          <w:sz w:val="22"/>
          <w:szCs w:val="22"/>
        </w:rPr>
        <w:t>Sensitivity analysis to change in yield rate:</w:t>
      </w:r>
    </w:p>
    <w:p w14:paraId="21279555" w14:textId="77777777" w:rsidR="00E23F46" w:rsidRDefault="00E23F46" w:rsidP="00E23F46">
      <w:pPr>
        <w:ind w:left="720"/>
        <w:jc w:val="both"/>
        <w:rPr>
          <w:rStyle w:val="Koteret"/>
          <w:b w:val="0"/>
          <w:bCs/>
          <w:i/>
          <w:iCs/>
        </w:rPr>
      </w:pPr>
    </w:p>
    <w:p w14:paraId="069895DB" w14:textId="77777777" w:rsidR="00E23F46" w:rsidRPr="00F02921" w:rsidRDefault="00E23F46" w:rsidP="00E23F46">
      <w:pPr>
        <w:ind w:left="720"/>
        <w:jc w:val="both"/>
        <w:rPr>
          <w:rStyle w:val="Koteret"/>
          <w:b w:val="0"/>
          <w:bCs/>
          <w:i/>
          <w:iCs/>
        </w:rPr>
      </w:pPr>
      <w:r w:rsidRPr="00F02921">
        <w:rPr>
          <w:rStyle w:val="Koteret"/>
          <w:b w:val="0"/>
          <w:bCs/>
          <w:i/>
          <w:iCs/>
        </w:rPr>
        <w:t>In thousands of Euros</w:t>
      </w:r>
    </w:p>
    <w:tbl>
      <w:tblPr>
        <w:tblStyle w:val="af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Caption w:val="AHR01"/>
        <w:tblDescription w:val="Sensitivity analysis to change in yield rate"/>
      </w:tblPr>
      <w:tblGrid>
        <w:gridCol w:w="3231"/>
        <w:gridCol w:w="1814"/>
        <w:gridCol w:w="1814"/>
        <w:gridCol w:w="1814"/>
      </w:tblGrid>
      <w:tr w:rsidR="00E23F46" w:rsidRPr="00E23F46" w14:paraId="622B08A3" w14:textId="77777777" w:rsidTr="005101BC">
        <w:trPr>
          <w:cantSplit/>
          <w:tblHeader/>
          <w:jc w:val="center"/>
        </w:trPr>
        <w:tc>
          <w:tcPr>
            <w:tcW w:w="3231" w:type="dxa"/>
          </w:tcPr>
          <w:p w14:paraId="26B999F9" w14:textId="77777777" w:rsidR="00E23F46" w:rsidRPr="00E23F46" w:rsidRDefault="00E23F46" w:rsidP="00BF44B2">
            <w:pPr>
              <w:autoSpaceDE w:val="0"/>
              <w:autoSpaceDN w:val="0"/>
              <w:adjustRightInd w:val="0"/>
              <w:jc w:val="both"/>
              <w:rPr>
                <w:sz w:val="22"/>
                <w:szCs w:val="22"/>
              </w:rPr>
            </w:pPr>
            <w:bookmarkStart w:id="138" w:name="Title_23" w:colFirst="0" w:colLast="0"/>
          </w:p>
        </w:tc>
        <w:tc>
          <w:tcPr>
            <w:tcW w:w="1814" w:type="dxa"/>
          </w:tcPr>
          <w:p w14:paraId="3BCC96DD" w14:textId="2E7328A5" w:rsidR="00284494" w:rsidRDefault="00E23F46" w:rsidP="00BC044B">
            <w:pPr>
              <w:pBdr>
                <w:bottom w:val="single" w:sz="4" w:space="1" w:color="auto"/>
              </w:pBdr>
              <w:autoSpaceDE w:val="0"/>
              <w:autoSpaceDN w:val="0"/>
              <w:adjustRightInd w:val="0"/>
              <w:jc w:val="center"/>
              <w:rPr>
                <w:b/>
                <w:bCs/>
                <w:sz w:val="22"/>
                <w:szCs w:val="22"/>
              </w:rPr>
            </w:pPr>
            <w:r w:rsidRPr="00284494">
              <w:rPr>
                <w:b/>
                <w:bCs/>
                <w:sz w:val="22"/>
                <w:szCs w:val="22"/>
              </w:rPr>
              <w:t>Increase</w:t>
            </w:r>
          </w:p>
          <w:p w14:paraId="3954ADC3" w14:textId="32C48004" w:rsidR="00E23F46" w:rsidRPr="00284494" w:rsidRDefault="00E23F46" w:rsidP="00BC044B">
            <w:pPr>
              <w:pBdr>
                <w:bottom w:val="single" w:sz="4" w:space="1" w:color="auto"/>
              </w:pBdr>
              <w:autoSpaceDE w:val="0"/>
              <w:autoSpaceDN w:val="0"/>
              <w:adjustRightInd w:val="0"/>
              <w:jc w:val="center"/>
              <w:rPr>
                <w:b/>
                <w:bCs/>
                <w:sz w:val="22"/>
                <w:szCs w:val="22"/>
              </w:rPr>
            </w:pPr>
            <w:r w:rsidRPr="00284494">
              <w:rPr>
                <w:b/>
                <w:bCs/>
                <w:sz w:val="22"/>
                <w:szCs w:val="22"/>
              </w:rPr>
              <w:t>of 0.5%</w:t>
            </w:r>
          </w:p>
        </w:tc>
        <w:tc>
          <w:tcPr>
            <w:tcW w:w="1814" w:type="dxa"/>
          </w:tcPr>
          <w:p w14:paraId="376FEA3A" w14:textId="12EAFF50" w:rsidR="00284494" w:rsidRDefault="00E23F46" w:rsidP="00BC044B">
            <w:pPr>
              <w:pBdr>
                <w:bottom w:val="single" w:sz="4" w:space="1" w:color="auto"/>
              </w:pBdr>
              <w:autoSpaceDE w:val="0"/>
              <w:autoSpaceDN w:val="0"/>
              <w:adjustRightInd w:val="0"/>
              <w:jc w:val="center"/>
              <w:rPr>
                <w:b/>
                <w:bCs/>
                <w:sz w:val="22"/>
                <w:szCs w:val="22"/>
              </w:rPr>
            </w:pPr>
            <w:r w:rsidRPr="00284494">
              <w:rPr>
                <w:b/>
                <w:bCs/>
                <w:sz w:val="22"/>
                <w:szCs w:val="22"/>
              </w:rPr>
              <w:t>Current</w:t>
            </w:r>
          </w:p>
          <w:p w14:paraId="009AF68C" w14:textId="5B798591" w:rsidR="00E23F46" w:rsidRPr="00284494" w:rsidRDefault="00E23F46" w:rsidP="00BC044B">
            <w:pPr>
              <w:pBdr>
                <w:bottom w:val="single" w:sz="4" w:space="1" w:color="auto"/>
              </w:pBdr>
              <w:autoSpaceDE w:val="0"/>
              <w:autoSpaceDN w:val="0"/>
              <w:adjustRightInd w:val="0"/>
              <w:jc w:val="center"/>
              <w:rPr>
                <w:b/>
                <w:bCs/>
                <w:sz w:val="22"/>
                <w:szCs w:val="22"/>
              </w:rPr>
            </w:pPr>
            <w:r w:rsidRPr="00284494">
              <w:rPr>
                <w:b/>
                <w:bCs/>
                <w:sz w:val="22"/>
                <w:szCs w:val="22"/>
              </w:rPr>
              <w:t>yield</w:t>
            </w:r>
          </w:p>
        </w:tc>
        <w:tc>
          <w:tcPr>
            <w:tcW w:w="1814" w:type="dxa"/>
          </w:tcPr>
          <w:p w14:paraId="6005E4FD" w14:textId="5C514A78" w:rsidR="00284494" w:rsidRDefault="00E23F46" w:rsidP="00BC044B">
            <w:pPr>
              <w:pBdr>
                <w:bottom w:val="single" w:sz="4" w:space="1" w:color="auto"/>
              </w:pBdr>
              <w:autoSpaceDE w:val="0"/>
              <w:autoSpaceDN w:val="0"/>
              <w:adjustRightInd w:val="0"/>
              <w:jc w:val="center"/>
              <w:rPr>
                <w:b/>
                <w:bCs/>
                <w:sz w:val="22"/>
                <w:szCs w:val="22"/>
              </w:rPr>
            </w:pPr>
            <w:r w:rsidRPr="00284494">
              <w:rPr>
                <w:b/>
                <w:bCs/>
                <w:sz w:val="22"/>
                <w:szCs w:val="22"/>
              </w:rPr>
              <w:t>Decrease</w:t>
            </w:r>
          </w:p>
          <w:p w14:paraId="53F11121" w14:textId="5D2EAB87" w:rsidR="00E23F46" w:rsidRPr="00284494" w:rsidRDefault="00E23F46" w:rsidP="00BC044B">
            <w:pPr>
              <w:pBdr>
                <w:bottom w:val="single" w:sz="4" w:space="1" w:color="auto"/>
              </w:pBdr>
              <w:autoSpaceDE w:val="0"/>
              <w:autoSpaceDN w:val="0"/>
              <w:adjustRightInd w:val="0"/>
              <w:jc w:val="center"/>
              <w:rPr>
                <w:b/>
                <w:bCs/>
                <w:sz w:val="22"/>
                <w:szCs w:val="22"/>
              </w:rPr>
            </w:pPr>
            <w:r w:rsidRPr="00284494">
              <w:rPr>
                <w:b/>
                <w:bCs/>
                <w:sz w:val="22"/>
                <w:szCs w:val="22"/>
              </w:rPr>
              <w:t>of 0.5%</w:t>
            </w:r>
          </w:p>
        </w:tc>
      </w:tr>
      <w:bookmarkEnd w:id="138"/>
      <w:tr w:rsidR="001A1788" w:rsidRPr="00E23F46" w14:paraId="6461DE0F" w14:textId="77777777" w:rsidTr="005101BC">
        <w:trPr>
          <w:jc w:val="center"/>
        </w:trPr>
        <w:tc>
          <w:tcPr>
            <w:tcW w:w="3231" w:type="dxa"/>
          </w:tcPr>
          <w:p w14:paraId="27F73EDE" w14:textId="61CB7373" w:rsidR="001A1788" w:rsidRPr="00164266" w:rsidRDefault="001A1788" w:rsidP="001A1788">
            <w:pPr>
              <w:autoSpaceDE w:val="0"/>
              <w:autoSpaceDN w:val="0"/>
              <w:adjustRightInd w:val="0"/>
              <w:rPr>
                <w:sz w:val="22"/>
                <w:szCs w:val="22"/>
              </w:rPr>
            </w:pPr>
            <w:r w:rsidRPr="00164266">
              <w:rPr>
                <w:sz w:val="22"/>
                <w:szCs w:val="22"/>
              </w:rPr>
              <w:t>Fair value December 31, 202</w:t>
            </w:r>
            <w:r>
              <w:rPr>
                <w:sz w:val="22"/>
                <w:szCs w:val="22"/>
              </w:rPr>
              <w:t xml:space="preserve">4 </w:t>
            </w:r>
            <w:r w:rsidRPr="00F40333">
              <w:rPr>
                <w:sz w:val="22"/>
                <w:szCs w:val="22"/>
              </w:rPr>
              <w:t>(*)</w:t>
            </w:r>
          </w:p>
        </w:tc>
        <w:tc>
          <w:tcPr>
            <w:tcW w:w="1814" w:type="dxa"/>
            <w:vAlign w:val="center"/>
          </w:tcPr>
          <w:p w14:paraId="53338278" w14:textId="1DCFB5F7" w:rsidR="001A1788" w:rsidRPr="0020502A" w:rsidRDefault="001A1788" w:rsidP="001A1788">
            <w:pPr>
              <w:autoSpaceDE w:val="0"/>
              <w:autoSpaceDN w:val="0"/>
              <w:adjustRightInd w:val="0"/>
              <w:jc w:val="right"/>
              <w:rPr>
                <w:sz w:val="22"/>
                <w:szCs w:val="22"/>
                <w:highlight w:val="yellow"/>
              </w:rPr>
            </w:pPr>
            <w:r>
              <w:rPr>
                <w:sz w:val="22"/>
                <w:szCs w:val="22"/>
              </w:rPr>
              <w:t xml:space="preserve">    553,623 </w:t>
            </w:r>
          </w:p>
        </w:tc>
        <w:tc>
          <w:tcPr>
            <w:tcW w:w="1814" w:type="dxa"/>
            <w:vAlign w:val="center"/>
          </w:tcPr>
          <w:p w14:paraId="7A211BCB" w14:textId="448477E8" w:rsidR="001A1788" w:rsidRPr="0020502A" w:rsidRDefault="001A1788" w:rsidP="001A1788">
            <w:pPr>
              <w:autoSpaceDE w:val="0"/>
              <w:autoSpaceDN w:val="0"/>
              <w:adjustRightInd w:val="0"/>
              <w:jc w:val="right"/>
              <w:rPr>
                <w:sz w:val="22"/>
                <w:szCs w:val="22"/>
                <w:highlight w:val="yellow"/>
              </w:rPr>
            </w:pPr>
            <w:r>
              <w:rPr>
                <w:sz w:val="22"/>
                <w:szCs w:val="22"/>
              </w:rPr>
              <w:t xml:space="preserve">    591,116 </w:t>
            </w:r>
          </w:p>
        </w:tc>
        <w:tc>
          <w:tcPr>
            <w:tcW w:w="1814" w:type="dxa"/>
            <w:vAlign w:val="center"/>
          </w:tcPr>
          <w:p w14:paraId="633431A8" w14:textId="28F8DB72" w:rsidR="001A1788" w:rsidRPr="0020502A" w:rsidRDefault="001A1788" w:rsidP="001A1788">
            <w:pPr>
              <w:autoSpaceDE w:val="0"/>
              <w:autoSpaceDN w:val="0"/>
              <w:adjustRightInd w:val="0"/>
              <w:jc w:val="right"/>
              <w:rPr>
                <w:sz w:val="22"/>
                <w:szCs w:val="22"/>
                <w:highlight w:val="yellow"/>
              </w:rPr>
            </w:pPr>
            <w:r>
              <w:rPr>
                <w:sz w:val="22"/>
                <w:szCs w:val="22"/>
              </w:rPr>
              <w:t xml:space="preserve">          634,022 </w:t>
            </w:r>
          </w:p>
        </w:tc>
      </w:tr>
      <w:tr w:rsidR="00D32D7A" w:rsidRPr="00E23F46" w14:paraId="3A6A69BB" w14:textId="77777777" w:rsidTr="005101BC">
        <w:trPr>
          <w:jc w:val="center"/>
        </w:trPr>
        <w:tc>
          <w:tcPr>
            <w:tcW w:w="3231" w:type="dxa"/>
          </w:tcPr>
          <w:p w14:paraId="1990D219" w14:textId="7D7DEC82" w:rsidR="00D32D7A" w:rsidRPr="00B23844" w:rsidRDefault="00D32D7A" w:rsidP="00D32D7A">
            <w:pPr>
              <w:autoSpaceDE w:val="0"/>
              <w:autoSpaceDN w:val="0"/>
              <w:adjustRightInd w:val="0"/>
              <w:rPr>
                <w:sz w:val="22"/>
                <w:szCs w:val="22"/>
              </w:rPr>
            </w:pPr>
            <w:r w:rsidRPr="00B23844">
              <w:rPr>
                <w:sz w:val="22"/>
                <w:szCs w:val="22"/>
              </w:rPr>
              <w:t>Fair value December 31, 202</w:t>
            </w:r>
            <w:r>
              <w:rPr>
                <w:sz w:val="22"/>
                <w:szCs w:val="22"/>
              </w:rPr>
              <w:t>3</w:t>
            </w:r>
          </w:p>
        </w:tc>
        <w:tc>
          <w:tcPr>
            <w:tcW w:w="1814" w:type="dxa"/>
            <w:vAlign w:val="center"/>
          </w:tcPr>
          <w:p w14:paraId="63D8CB18" w14:textId="6E97D289" w:rsidR="00D32D7A" w:rsidRPr="00BC044B" w:rsidRDefault="00D32D7A" w:rsidP="00D32D7A">
            <w:pPr>
              <w:autoSpaceDE w:val="0"/>
              <w:autoSpaceDN w:val="0"/>
              <w:adjustRightInd w:val="0"/>
              <w:jc w:val="right"/>
              <w:rPr>
                <w:sz w:val="22"/>
                <w:szCs w:val="22"/>
              </w:rPr>
            </w:pPr>
            <w:r>
              <w:rPr>
                <w:sz w:val="22"/>
                <w:szCs w:val="22"/>
              </w:rPr>
              <w:t xml:space="preserve">    509,950 </w:t>
            </w:r>
          </w:p>
        </w:tc>
        <w:tc>
          <w:tcPr>
            <w:tcW w:w="1814" w:type="dxa"/>
            <w:vAlign w:val="center"/>
          </w:tcPr>
          <w:p w14:paraId="0EF43289" w14:textId="0549E197" w:rsidR="00D32D7A" w:rsidRPr="00BC044B" w:rsidRDefault="00D32D7A" w:rsidP="00D32D7A">
            <w:pPr>
              <w:autoSpaceDE w:val="0"/>
              <w:autoSpaceDN w:val="0"/>
              <w:adjustRightInd w:val="0"/>
              <w:jc w:val="right"/>
              <w:rPr>
                <w:sz w:val="22"/>
                <w:szCs w:val="22"/>
              </w:rPr>
            </w:pPr>
            <w:r>
              <w:rPr>
                <w:sz w:val="22"/>
                <w:szCs w:val="22"/>
              </w:rPr>
              <w:t xml:space="preserve">    543,800 </w:t>
            </w:r>
          </w:p>
        </w:tc>
        <w:tc>
          <w:tcPr>
            <w:tcW w:w="1814" w:type="dxa"/>
            <w:vAlign w:val="center"/>
          </w:tcPr>
          <w:p w14:paraId="49436AF1" w14:textId="4751D25E" w:rsidR="00D32D7A" w:rsidRPr="00BC044B" w:rsidRDefault="00D32D7A" w:rsidP="00D32D7A">
            <w:pPr>
              <w:autoSpaceDE w:val="0"/>
              <w:autoSpaceDN w:val="0"/>
              <w:adjustRightInd w:val="0"/>
              <w:jc w:val="right"/>
              <w:rPr>
                <w:sz w:val="22"/>
                <w:szCs w:val="22"/>
              </w:rPr>
            </w:pPr>
            <w:r>
              <w:rPr>
                <w:sz w:val="22"/>
                <w:szCs w:val="22"/>
              </w:rPr>
              <w:t xml:space="preserve">           582,403 </w:t>
            </w:r>
          </w:p>
        </w:tc>
      </w:tr>
    </w:tbl>
    <w:p w14:paraId="1F66FE08" w14:textId="3773B268" w:rsidR="00E23F46" w:rsidRDefault="00F40333" w:rsidP="00BF44B2">
      <w:pPr>
        <w:autoSpaceDE w:val="0"/>
        <w:autoSpaceDN w:val="0"/>
        <w:adjustRightInd w:val="0"/>
        <w:ind w:left="1440"/>
        <w:jc w:val="both"/>
        <w:rPr>
          <w:sz w:val="16"/>
          <w:szCs w:val="16"/>
        </w:rPr>
      </w:pPr>
      <w:r>
        <w:rPr>
          <w:sz w:val="16"/>
          <w:szCs w:val="16"/>
        </w:rPr>
        <w:t xml:space="preserve">(*) excluding approx. EUR 29.6 million represents AFI Loft offices which completed on December 31, 2024. </w:t>
      </w:r>
    </w:p>
    <w:p w14:paraId="3AF1FD21" w14:textId="77777777" w:rsidR="00F40333" w:rsidRPr="0020502A" w:rsidRDefault="00F40333" w:rsidP="00BF44B2">
      <w:pPr>
        <w:autoSpaceDE w:val="0"/>
        <w:autoSpaceDN w:val="0"/>
        <w:adjustRightInd w:val="0"/>
        <w:ind w:left="1440"/>
        <w:jc w:val="both"/>
        <w:rPr>
          <w:sz w:val="16"/>
          <w:szCs w:val="16"/>
        </w:rPr>
      </w:pPr>
    </w:p>
    <w:p w14:paraId="4D2C3D3E" w14:textId="77777777" w:rsidR="00C35D07" w:rsidRDefault="00C35D07" w:rsidP="00E23F46">
      <w:pPr>
        <w:autoSpaceDE w:val="0"/>
        <w:autoSpaceDN w:val="0"/>
        <w:adjustRightInd w:val="0"/>
        <w:ind w:left="567"/>
        <w:jc w:val="both"/>
        <w:rPr>
          <w:sz w:val="22"/>
          <w:szCs w:val="22"/>
        </w:rPr>
      </w:pPr>
      <w:r w:rsidRPr="00E23F46">
        <w:rPr>
          <w:sz w:val="22"/>
          <w:szCs w:val="22"/>
        </w:rPr>
        <w:t>Sensitivity analysis to change in estimated rental values (ERV):</w:t>
      </w:r>
    </w:p>
    <w:p w14:paraId="3536402D" w14:textId="77777777" w:rsidR="00E23F46" w:rsidRPr="0020502A" w:rsidRDefault="00E23F46" w:rsidP="00E23F46">
      <w:pPr>
        <w:autoSpaceDE w:val="0"/>
        <w:autoSpaceDN w:val="0"/>
        <w:adjustRightInd w:val="0"/>
        <w:ind w:left="567"/>
        <w:jc w:val="both"/>
        <w:rPr>
          <w:sz w:val="16"/>
          <w:szCs w:val="16"/>
        </w:rPr>
      </w:pPr>
    </w:p>
    <w:p w14:paraId="7D48D137" w14:textId="77777777" w:rsidR="00E23F46" w:rsidRDefault="00E23F46" w:rsidP="00E23F46">
      <w:pPr>
        <w:ind w:left="720"/>
        <w:jc w:val="both"/>
        <w:rPr>
          <w:rStyle w:val="Koteret"/>
          <w:b w:val="0"/>
          <w:i/>
          <w:iCs/>
        </w:rPr>
      </w:pPr>
      <w:r w:rsidRPr="00E23F46">
        <w:rPr>
          <w:rStyle w:val="Koteret"/>
          <w:b w:val="0"/>
          <w:i/>
          <w:iCs/>
        </w:rPr>
        <w:t>In thousands of Euros</w:t>
      </w:r>
    </w:p>
    <w:tbl>
      <w:tblPr>
        <w:tblStyle w:val="af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Caption w:val="AHR01"/>
        <w:tblDescription w:val="Sensitivity analysis to change in estimated rental values (ERV)"/>
      </w:tblPr>
      <w:tblGrid>
        <w:gridCol w:w="3231"/>
        <w:gridCol w:w="1814"/>
        <w:gridCol w:w="1814"/>
        <w:gridCol w:w="1814"/>
      </w:tblGrid>
      <w:tr w:rsidR="0075219F" w:rsidRPr="00E23F46" w14:paraId="1D9BC53D" w14:textId="77777777" w:rsidTr="005101BC">
        <w:trPr>
          <w:cantSplit/>
          <w:tblHeader/>
          <w:jc w:val="center"/>
        </w:trPr>
        <w:tc>
          <w:tcPr>
            <w:tcW w:w="3231" w:type="dxa"/>
          </w:tcPr>
          <w:p w14:paraId="6D8F2722" w14:textId="77777777" w:rsidR="0075219F" w:rsidRPr="00E23F46" w:rsidRDefault="0075219F" w:rsidP="00BC044B">
            <w:pPr>
              <w:autoSpaceDE w:val="0"/>
              <w:autoSpaceDN w:val="0"/>
              <w:adjustRightInd w:val="0"/>
              <w:rPr>
                <w:sz w:val="22"/>
                <w:szCs w:val="22"/>
              </w:rPr>
            </w:pPr>
            <w:bookmarkStart w:id="139" w:name="Title_24" w:colFirst="0" w:colLast="0"/>
          </w:p>
        </w:tc>
        <w:tc>
          <w:tcPr>
            <w:tcW w:w="1814" w:type="dxa"/>
          </w:tcPr>
          <w:p w14:paraId="62775047" w14:textId="77777777" w:rsidR="00284494" w:rsidRDefault="0075219F" w:rsidP="00BC044B">
            <w:pPr>
              <w:pBdr>
                <w:bottom w:val="single" w:sz="4" w:space="1" w:color="auto"/>
              </w:pBdr>
              <w:autoSpaceDE w:val="0"/>
              <w:autoSpaceDN w:val="0"/>
              <w:adjustRightInd w:val="0"/>
              <w:jc w:val="center"/>
              <w:rPr>
                <w:b/>
                <w:bCs/>
                <w:sz w:val="22"/>
                <w:szCs w:val="22"/>
              </w:rPr>
            </w:pPr>
            <w:r w:rsidRPr="00284494">
              <w:rPr>
                <w:b/>
                <w:bCs/>
                <w:sz w:val="22"/>
                <w:szCs w:val="22"/>
              </w:rPr>
              <w:t xml:space="preserve">Increase </w:t>
            </w:r>
          </w:p>
          <w:p w14:paraId="27DD42CE" w14:textId="25F30498" w:rsidR="0075219F" w:rsidRPr="00284494" w:rsidRDefault="0075219F" w:rsidP="00BC044B">
            <w:pPr>
              <w:pBdr>
                <w:bottom w:val="single" w:sz="4" w:space="1" w:color="auto"/>
              </w:pBdr>
              <w:autoSpaceDE w:val="0"/>
              <w:autoSpaceDN w:val="0"/>
              <w:adjustRightInd w:val="0"/>
              <w:jc w:val="center"/>
              <w:rPr>
                <w:b/>
                <w:bCs/>
                <w:sz w:val="22"/>
                <w:szCs w:val="22"/>
              </w:rPr>
            </w:pPr>
            <w:r w:rsidRPr="00284494">
              <w:rPr>
                <w:b/>
                <w:bCs/>
                <w:sz w:val="22"/>
                <w:szCs w:val="22"/>
              </w:rPr>
              <w:t xml:space="preserve">of </w:t>
            </w:r>
            <w:r w:rsidR="00EF287D">
              <w:rPr>
                <w:b/>
                <w:bCs/>
                <w:sz w:val="22"/>
                <w:szCs w:val="22"/>
              </w:rPr>
              <w:t>5</w:t>
            </w:r>
            <w:r w:rsidRPr="00284494">
              <w:rPr>
                <w:b/>
                <w:bCs/>
                <w:sz w:val="22"/>
                <w:szCs w:val="22"/>
              </w:rPr>
              <w:t>%</w:t>
            </w:r>
          </w:p>
        </w:tc>
        <w:tc>
          <w:tcPr>
            <w:tcW w:w="1814" w:type="dxa"/>
          </w:tcPr>
          <w:p w14:paraId="0896E7E2" w14:textId="77777777" w:rsidR="00284494" w:rsidRDefault="0075219F" w:rsidP="00BC044B">
            <w:pPr>
              <w:pBdr>
                <w:bottom w:val="single" w:sz="4" w:space="1" w:color="auto"/>
              </w:pBdr>
              <w:autoSpaceDE w:val="0"/>
              <w:autoSpaceDN w:val="0"/>
              <w:adjustRightInd w:val="0"/>
              <w:jc w:val="center"/>
              <w:rPr>
                <w:b/>
                <w:bCs/>
                <w:sz w:val="22"/>
                <w:szCs w:val="22"/>
              </w:rPr>
            </w:pPr>
            <w:r w:rsidRPr="00284494">
              <w:rPr>
                <w:b/>
                <w:bCs/>
                <w:sz w:val="22"/>
                <w:szCs w:val="22"/>
              </w:rPr>
              <w:t xml:space="preserve">Current </w:t>
            </w:r>
          </w:p>
          <w:p w14:paraId="6E58B1A0" w14:textId="204A8BDD" w:rsidR="0075219F" w:rsidRPr="00284494" w:rsidRDefault="0075219F" w:rsidP="00BC044B">
            <w:pPr>
              <w:pBdr>
                <w:bottom w:val="single" w:sz="4" w:space="1" w:color="auto"/>
              </w:pBdr>
              <w:autoSpaceDE w:val="0"/>
              <w:autoSpaceDN w:val="0"/>
              <w:adjustRightInd w:val="0"/>
              <w:jc w:val="center"/>
              <w:rPr>
                <w:b/>
                <w:bCs/>
                <w:sz w:val="22"/>
                <w:szCs w:val="22"/>
              </w:rPr>
            </w:pPr>
            <w:r w:rsidRPr="00284494">
              <w:rPr>
                <w:b/>
                <w:bCs/>
                <w:sz w:val="22"/>
                <w:szCs w:val="22"/>
              </w:rPr>
              <w:t>ERV</w:t>
            </w:r>
          </w:p>
        </w:tc>
        <w:tc>
          <w:tcPr>
            <w:tcW w:w="1814" w:type="dxa"/>
          </w:tcPr>
          <w:p w14:paraId="66E4710E" w14:textId="77777777" w:rsidR="00284494" w:rsidRDefault="0075219F" w:rsidP="00BC044B">
            <w:pPr>
              <w:pBdr>
                <w:bottom w:val="single" w:sz="4" w:space="1" w:color="auto"/>
              </w:pBdr>
              <w:autoSpaceDE w:val="0"/>
              <w:autoSpaceDN w:val="0"/>
              <w:adjustRightInd w:val="0"/>
              <w:jc w:val="center"/>
              <w:rPr>
                <w:b/>
                <w:bCs/>
                <w:sz w:val="22"/>
                <w:szCs w:val="22"/>
              </w:rPr>
            </w:pPr>
            <w:r w:rsidRPr="00284494">
              <w:rPr>
                <w:b/>
                <w:bCs/>
                <w:sz w:val="22"/>
                <w:szCs w:val="22"/>
              </w:rPr>
              <w:t xml:space="preserve">Decrease </w:t>
            </w:r>
          </w:p>
          <w:p w14:paraId="5BA32A54" w14:textId="770410B5" w:rsidR="0075219F" w:rsidRPr="00284494" w:rsidRDefault="0075219F" w:rsidP="00BC044B">
            <w:pPr>
              <w:pBdr>
                <w:bottom w:val="single" w:sz="4" w:space="1" w:color="auto"/>
              </w:pBdr>
              <w:autoSpaceDE w:val="0"/>
              <w:autoSpaceDN w:val="0"/>
              <w:adjustRightInd w:val="0"/>
              <w:jc w:val="center"/>
              <w:rPr>
                <w:b/>
                <w:bCs/>
                <w:sz w:val="22"/>
                <w:szCs w:val="22"/>
              </w:rPr>
            </w:pPr>
            <w:r w:rsidRPr="00284494">
              <w:rPr>
                <w:b/>
                <w:bCs/>
                <w:sz w:val="22"/>
                <w:szCs w:val="22"/>
              </w:rPr>
              <w:t xml:space="preserve">of </w:t>
            </w:r>
            <w:r w:rsidR="00EF287D">
              <w:rPr>
                <w:b/>
                <w:bCs/>
                <w:sz w:val="22"/>
                <w:szCs w:val="22"/>
              </w:rPr>
              <w:t>5</w:t>
            </w:r>
            <w:r w:rsidRPr="00284494">
              <w:rPr>
                <w:b/>
                <w:bCs/>
                <w:sz w:val="22"/>
                <w:szCs w:val="22"/>
              </w:rPr>
              <w:t>%</w:t>
            </w:r>
          </w:p>
        </w:tc>
      </w:tr>
      <w:bookmarkEnd w:id="139"/>
      <w:tr w:rsidR="001A1788" w:rsidRPr="00E23F46" w14:paraId="25480D70" w14:textId="77777777" w:rsidTr="005101BC">
        <w:trPr>
          <w:jc w:val="center"/>
        </w:trPr>
        <w:tc>
          <w:tcPr>
            <w:tcW w:w="3231" w:type="dxa"/>
          </w:tcPr>
          <w:p w14:paraId="7BEA7E23" w14:textId="6DBCCE71" w:rsidR="001A1788" w:rsidRPr="00164266" w:rsidRDefault="001A1788" w:rsidP="001A1788">
            <w:pPr>
              <w:autoSpaceDE w:val="0"/>
              <w:autoSpaceDN w:val="0"/>
              <w:adjustRightInd w:val="0"/>
              <w:rPr>
                <w:sz w:val="22"/>
                <w:szCs w:val="22"/>
              </w:rPr>
            </w:pPr>
            <w:r w:rsidRPr="00164266">
              <w:rPr>
                <w:sz w:val="22"/>
                <w:szCs w:val="22"/>
              </w:rPr>
              <w:t>Fair value December 31, 202</w:t>
            </w:r>
            <w:r>
              <w:rPr>
                <w:sz w:val="22"/>
                <w:szCs w:val="22"/>
              </w:rPr>
              <w:t xml:space="preserve">4 </w:t>
            </w:r>
            <w:r w:rsidRPr="00F40333">
              <w:rPr>
                <w:sz w:val="22"/>
                <w:szCs w:val="22"/>
              </w:rPr>
              <w:t>(*)</w:t>
            </w:r>
          </w:p>
        </w:tc>
        <w:tc>
          <w:tcPr>
            <w:tcW w:w="1814" w:type="dxa"/>
            <w:vAlign w:val="center"/>
          </w:tcPr>
          <w:p w14:paraId="6DF601C5" w14:textId="6E0767EC" w:rsidR="001A1788" w:rsidRPr="00C00D3D" w:rsidRDefault="001A1788" w:rsidP="001A1788">
            <w:pPr>
              <w:autoSpaceDE w:val="0"/>
              <w:autoSpaceDN w:val="0"/>
              <w:adjustRightInd w:val="0"/>
              <w:jc w:val="right"/>
              <w:rPr>
                <w:b/>
                <w:bCs/>
                <w:sz w:val="22"/>
                <w:szCs w:val="22"/>
                <w:highlight w:val="yellow"/>
              </w:rPr>
            </w:pPr>
            <w:r>
              <w:rPr>
                <w:sz w:val="22"/>
                <w:szCs w:val="22"/>
              </w:rPr>
              <w:t xml:space="preserve">    615,134 </w:t>
            </w:r>
          </w:p>
        </w:tc>
        <w:tc>
          <w:tcPr>
            <w:tcW w:w="1814" w:type="dxa"/>
            <w:vAlign w:val="center"/>
          </w:tcPr>
          <w:p w14:paraId="11AEC28D" w14:textId="2D2ABBD3" w:rsidR="001A1788" w:rsidRPr="00C00D3D" w:rsidRDefault="001A1788" w:rsidP="001A1788">
            <w:pPr>
              <w:autoSpaceDE w:val="0"/>
              <w:autoSpaceDN w:val="0"/>
              <w:adjustRightInd w:val="0"/>
              <w:jc w:val="right"/>
              <w:rPr>
                <w:b/>
                <w:bCs/>
                <w:sz w:val="22"/>
                <w:szCs w:val="22"/>
                <w:highlight w:val="yellow"/>
              </w:rPr>
            </w:pPr>
            <w:r>
              <w:rPr>
                <w:sz w:val="22"/>
                <w:szCs w:val="22"/>
              </w:rPr>
              <w:t xml:space="preserve">    591,116 </w:t>
            </w:r>
          </w:p>
        </w:tc>
        <w:tc>
          <w:tcPr>
            <w:tcW w:w="1814" w:type="dxa"/>
            <w:vAlign w:val="center"/>
          </w:tcPr>
          <w:p w14:paraId="786A68EC" w14:textId="5B74677D" w:rsidR="001A1788" w:rsidRPr="00C00D3D" w:rsidRDefault="001A1788" w:rsidP="001A1788">
            <w:pPr>
              <w:autoSpaceDE w:val="0"/>
              <w:autoSpaceDN w:val="0"/>
              <w:adjustRightInd w:val="0"/>
              <w:jc w:val="right"/>
              <w:rPr>
                <w:b/>
                <w:bCs/>
                <w:sz w:val="22"/>
                <w:szCs w:val="22"/>
                <w:highlight w:val="yellow"/>
              </w:rPr>
            </w:pPr>
            <w:r>
              <w:rPr>
                <w:sz w:val="22"/>
                <w:szCs w:val="22"/>
              </w:rPr>
              <w:t xml:space="preserve">          567,098 </w:t>
            </w:r>
          </w:p>
        </w:tc>
      </w:tr>
      <w:tr w:rsidR="00D32D7A" w:rsidRPr="00BC044B" w14:paraId="1B83E941" w14:textId="77777777" w:rsidTr="005101BC">
        <w:trPr>
          <w:jc w:val="center"/>
        </w:trPr>
        <w:tc>
          <w:tcPr>
            <w:tcW w:w="3231" w:type="dxa"/>
          </w:tcPr>
          <w:p w14:paraId="58384426" w14:textId="3C8C93EE" w:rsidR="00D32D7A" w:rsidRPr="00B23844" w:rsidRDefault="00D32D7A" w:rsidP="00D32D7A">
            <w:pPr>
              <w:autoSpaceDE w:val="0"/>
              <w:autoSpaceDN w:val="0"/>
              <w:adjustRightInd w:val="0"/>
              <w:rPr>
                <w:sz w:val="22"/>
                <w:szCs w:val="22"/>
              </w:rPr>
            </w:pPr>
            <w:r w:rsidRPr="00B23844">
              <w:rPr>
                <w:sz w:val="22"/>
                <w:szCs w:val="22"/>
              </w:rPr>
              <w:t>Fair value December 31, 202</w:t>
            </w:r>
            <w:r>
              <w:rPr>
                <w:sz w:val="22"/>
                <w:szCs w:val="22"/>
              </w:rPr>
              <w:t>3</w:t>
            </w:r>
          </w:p>
        </w:tc>
        <w:tc>
          <w:tcPr>
            <w:tcW w:w="1814" w:type="dxa"/>
            <w:vAlign w:val="center"/>
          </w:tcPr>
          <w:p w14:paraId="019B4412" w14:textId="3AD9BE3A" w:rsidR="00D32D7A" w:rsidRPr="00056A1C" w:rsidRDefault="00D32D7A" w:rsidP="00D32D7A">
            <w:pPr>
              <w:autoSpaceDE w:val="0"/>
              <w:autoSpaceDN w:val="0"/>
              <w:adjustRightInd w:val="0"/>
              <w:jc w:val="right"/>
              <w:rPr>
                <w:sz w:val="22"/>
                <w:szCs w:val="22"/>
              </w:rPr>
            </w:pPr>
            <w:r>
              <w:rPr>
                <w:sz w:val="22"/>
                <w:szCs w:val="22"/>
              </w:rPr>
              <w:t xml:space="preserve">    564,953 </w:t>
            </w:r>
          </w:p>
        </w:tc>
        <w:tc>
          <w:tcPr>
            <w:tcW w:w="1814" w:type="dxa"/>
            <w:vAlign w:val="center"/>
          </w:tcPr>
          <w:p w14:paraId="3C8F06FC" w14:textId="5C5F1074" w:rsidR="00D32D7A" w:rsidRPr="00056A1C" w:rsidRDefault="00D32D7A" w:rsidP="00D32D7A">
            <w:pPr>
              <w:autoSpaceDE w:val="0"/>
              <w:autoSpaceDN w:val="0"/>
              <w:adjustRightInd w:val="0"/>
              <w:jc w:val="right"/>
              <w:rPr>
                <w:sz w:val="22"/>
                <w:szCs w:val="22"/>
              </w:rPr>
            </w:pPr>
            <w:r>
              <w:rPr>
                <w:sz w:val="22"/>
                <w:szCs w:val="22"/>
              </w:rPr>
              <w:t xml:space="preserve">    543,800 </w:t>
            </w:r>
          </w:p>
        </w:tc>
        <w:tc>
          <w:tcPr>
            <w:tcW w:w="1814" w:type="dxa"/>
            <w:vAlign w:val="center"/>
          </w:tcPr>
          <w:p w14:paraId="560BBDF9" w14:textId="19D611AA" w:rsidR="00D32D7A" w:rsidRPr="00056A1C" w:rsidRDefault="00D32D7A" w:rsidP="00D32D7A">
            <w:pPr>
              <w:autoSpaceDE w:val="0"/>
              <w:autoSpaceDN w:val="0"/>
              <w:adjustRightInd w:val="0"/>
              <w:jc w:val="right"/>
              <w:rPr>
                <w:sz w:val="22"/>
                <w:szCs w:val="22"/>
              </w:rPr>
            </w:pPr>
            <w:r>
              <w:rPr>
                <w:sz w:val="22"/>
                <w:szCs w:val="22"/>
              </w:rPr>
              <w:t xml:space="preserve">           522,603 </w:t>
            </w:r>
          </w:p>
        </w:tc>
      </w:tr>
    </w:tbl>
    <w:p w14:paraId="2DFDF55A" w14:textId="00D5E9E0" w:rsidR="00BC044B" w:rsidRDefault="00F40333" w:rsidP="00F40333">
      <w:pPr>
        <w:autoSpaceDE w:val="0"/>
        <w:autoSpaceDN w:val="0"/>
        <w:adjustRightInd w:val="0"/>
        <w:ind w:left="1440"/>
        <w:jc w:val="both"/>
        <w:rPr>
          <w:sz w:val="16"/>
          <w:szCs w:val="16"/>
        </w:rPr>
      </w:pPr>
      <w:r>
        <w:rPr>
          <w:sz w:val="16"/>
          <w:szCs w:val="16"/>
        </w:rPr>
        <w:t xml:space="preserve">(*) excluding approx. EUR 29.6 million represents AFI Loft offices which completed on December 31, 2024. </w:t>
      </w:r>
    </w:p>
    <w:p w14:paraId="69D167EC" w14:textId="77777777" w:rsidR="00F40333" w:rsidRPr="00F40333" w:rsidRDefault="00F40333" w:rsidP="00F40333">
      <w:pPr>
        <w:autoSpaceDE w:val="0"/>
        <w:autoSpaceDN w:val="0"/>
        <w:adjustRightInd w:val="0"/>
        <w:ind w:left="1440"/>
        <w:jc w:val="both"/>
        <w:rPr>
          <w:sz w:val="16"/>
          <w:szCs w:val="16"/>
        </w:rPr>
      </w:pPr>
    </w:p>
    <w:p w14:paraId="5ACF877E" w14:textId="7EA86118" w:rsidR="000265BA" w:rsidRPr="001D55D7" w:rsidRDefault="000265BA" w:rsidP="000B59AD">
      <w:pPr>
        <w:ind w:left="720" w:hanging="720"/>
        <w:jc w:val="both"/>
        <w:outlineLvl w:val="3"/>
        <w:rPr>
          <w:b/>
          <w:bCs/>
          <w:sz w:val="22"/>
          <w:szCs w:val="22"/>
        </w:rPr>
      </w:pPr>
      <w:bookmarkStart w:id="140" w:name="H4_CAmounts_that_were_recognized_in_the_"/>
      <w:r w:rsidRPr="001D55D7">
        <w:rPr>
          <w:b/>
          <w:bCs/>
          <w:sz w:val="22"/>
          <w:szCs w:val="22"/>
        </w:rPr>
        <w:t>C.</w:t>
      </w:r>
      <w:r w:rsidRPr="001D55D7">
        <w:rPr>
          <w:b/>
          <w:bCs/>
          <w:sz w:val="22"/>
          <w:szCs w:val="22"/>
        </w:rPr>
        <w:tab/>
        <w:t xml:space="preserve">Amounts that were recognized in the statement of income </w:t>
      </w:r>
    </w:p>
    <w:bookmarkEnd w:id="140"/>
    <w:p w14:paraId="668DE2DC" w14:textId="77777777" w:rsidR="000265BA" w:rsidRDefault="000265BA" w:rsidP="000265BA">
      <w:pPr>
        <w:ind w:left="720"/>
        <w:jc w:val="both"/>
        <w:rPr>
          <w:rStyle w:val="Koteret"/>
          <w:b w:val="0"/>
          <w:bCs/>
          <w:i/>
          <w:iCs/>
        </w:rPr>
      </w:pPr>
    </w:p>
    <w:p w14:paraId="6C44F5F3" w14:textId="77777777" w:rsidR="000265BA" w:rsidRPr="00E27878" w:rsidRDefault="000265BA" w:rsidP="000265BA">
      <w:pPr>
        <w:ind w:left="720"/>
        <w:jc w:val="both"/>
        <w:rPr>
          <w:bCs/>
          <w:i/>
          <w:iCs/>
          <w:sz w:val="18"/>
        </w:rPr>
      </w:pPr>
      <w:r w:rsidRPr="00F02921">
        <w:rPr>
          <w:rStyle w:val="Koteret"/>
          <w:b w:val="0"/>
          <w:bCs/>
          <w:i/>
          <w:iCs/>
        </w:rPr>
        <w:t>In thousands of Euros</w:t>
      </w:r>
    </w:p>
    <w:tbl>
      <w:tblPr>
        <w:tblW w:w="9257" w:type="dxa"/>
        <w:tblLayout w:type="fixed"/>
        <w:tblLook w:val="02A0" w:firstRow="1" w:lastRow="0" w:firstColumn="1" w:lastColumn="0" w:noHBand="1" w:noVBand="0"/>
        <w:tblCaption w:val="AHR02"/>
        <w:tblDescription w:val="Amounts that were recognized in the statement of income &#10;&#10;"/>
      </w:tblPr>
      <w:tblGrid>
        <w:gridCol w:w="5387"/>
        <w:gridCol w:w="1123"/>
        <w:gridCol w:w="1373"/>
        <w:gridCol w:w="1374"/>
      </w:tblGrid>
      <w:tr w:rsidR="00785A43" w:rsidRPr="00866299" w14:paraId="43537BDD" w14:textId="77777777" w:rsidTr="005101BC">
        <w:trPr>
          <w:cantSplit/>
          <w:trHeight w:val="265"/>
          <w:tblHeader/>
        </w:trPr>
        <w:tc>
          <w:tcPr>
            <w:tcW w:w="5387" w:type="dxa"/>
          </w:tcPr>
          <w:p w14:paraId="04E5E143" w14:textId="77777777" w:rsidR="00785A43" w:rsidRPr="0037067D" w:rsidRDefault="00785A43" w:rsidP="00833DB9">
            <w:pPr>
              <w:suppressAutoHyphens/>
              <w:jc w:val="right"/>
              <w:rPr>
                <w:rStyle w:val="Koteret"/>
                <w:sz w:val="22"/>
                <w:szCs w:val="22"/>
              </w:rPr>
            </w:pPr>
            <w:bookmarkStart w:id="141" w:name="Title_25" w:colFirst="0" w:colLast="0"/>
          </w:p>
        </w:tc>
        <w:tc>
          <w:tcPr>
            <w:tcW w:w="3870" w:type="dxa"/>
            <w:gridSpan w:val="3"/>
          </w:tcPr>
          <w:p w14:paraId="01FF89BB" w14:textId="77777777" w:rsidR="00785A43" w:rsidRPr="0037067D" w:rsidRDefault="00785A43" w:rsidP="001D34F1">
            <w:pPr>
              <w:pBdr>
                <w:bottom w:val="single" w:sz="4" w:space="1" w:color="auto"/>
              </w:pBdr>
              <w:suppressAutoHyphens/>
              <w:jc w:val="center"/>
              <w:rPr>
                <w:rStyle w:val="Koteret"/>
                <w:sz w:val="22"/>
                <w:szCs w:val="22"/>
              </w:rPr>
            </w:pPr>
            <w:r w:rsidRPr="0037067D">
              <w:rPr>
                <w:rStyle w:val="Koteret"/>
                <w:sz w:val="22"/>
                <w:szCs w:val="22"/>
              </w:rPr>
              <w:t>Year ended December 31,</w:t>
            </w:r>
          </w:p>
        </w:tc>
      </w:tr>
      <w:bookmarkEnd w:id="141"/>
      <w:tr w:rsidR="00C52BA0" w:rsidRPr="00866299" w14:paraId="0EF611F0" w14:textId="77777777" w:rsidTr="005101BC">
        <w:trPr>
          <w:cantSplit/>
          <w:trHeight w:val="253"/>
          <w:tblHeader/>
        </w:trPr>
        <w:tc>
          <w:tcPr>
            <w:tcW w:w="5387" w:type="dxa"/>
          </w:tcPr>
          <w:p w14:paraId="0EB3590A" w14:textId="77777777" w:rsidR="00C52BA0" w:rsidRPr="0037067D" w:rsidRDefault="00C52BA0" w:rsidP="00C52BA0">
            <w:pPr>
              <w:suppressAutoHyphens/>
              <w:jc w:val="right"/>
              <w:rPr>
                <w:rStyle w:val="Koteret"/>
                <w:sz w:val="22"/>
                <w:szCs w:val="22"/>
              </w:rPr>
            </w:pPr>
          </w:p>
        </w:tc>
        <w:tc>
          <w:tcPr>
            <w:tcW w:w="1123" w:type="dxa"/>
          </w:tcPr>
          <w:p w14:paraId="116B8D35" w14:textId="34D3E7B0" w:rsidR="00C52BA0" w:rsidRPr="0037067D" w:rsidRDefault="00C52BA0" w:rsidP="00C52BA0">
            <w:pPr>
              <w:pBdr>
                <w:bottom w:val="single" w:sz="4" w:space="1" w:color="auto"/>
              </w:pBdr>
              <w:suppressAutoHyphens/>
              <w:bidi/>
              <w:ind w:left="57"/>
              <w:jc w:val="center"/>
              <w:rPr>
                <w:rStyle w:val="Koteret"/>
                <w:b w:val="0"/>
                <w:bCs/>
                <w:sz w:val="22"/>
                <w:szCs w:val="22"/>
                <w:lang w:bidi="he-IL"/>
              </w:rPr>
            </w:pPr>
            <w:r w:rsidRPr="0037067D">
              <w:rPr>
                <w:rStyle w:val="Koteret"/>
                <w:rFonts w:hint="cs"/>
                <w:b w:val="0"/>
                <w:bCs/>
                <w:sz w:val="22"/>
                <w:szCs w:val="22"/>
                <w:rtl/>
                <w:lang w:bidi="he-IL"/>
              </w:rPr>
              <w:t>2024</w:t>
            </w:r>
          </w:p>
        </w:tc>
        <w:tc>
          <w:tcPr>
            <w:tcW w:w="1373" w:type="dxa"/>
          </w:tcPr>
          <w:p w14:paraId="6614E30C" w14:textId="664C9A52" w:rsidR="00C52BA0" w:rsidRPr="0037067D" w:rsidRDefault="00C52BA0" w:rsidP="00C52BA0">
            <w:pPr>
              <w:pBdr>
                <w:bottom w:val="single" w:sz="4" w:space="1" w:color="auto"/>
              </w:pBdr>
              <w:suppressAutoHyphens/>
              <w:bidi/>
              <w:ind w:left="57"/>
              <w:jc w:val="center"/>
              <w:rPr>
                <w:rStyle w:val="Koteret"/>
                <w:sz w:val="22"/>
                <w:szCs w:val="22"/>
              </w:rPr>
            </w:pPr>
            <w:r w:rsidRPr="0037067D">
              <w:rPr>
                <w:rStyle w:val="Koteret"/>
                <w:b w:val="0"/>
                <w:bCs/>
                <w:sz w:val="22"/>
                <w:szCs w:val="22"/>
                <w:rtl/>
              </w:rPr>
              <w:t>2023</w:t>
            </w:r>
          </w:p>
        </w:tc>
        <w:tc>
          <w:tcPr>
            <w:tcW w:w="1374" w:type="dxa"/>
          </w:tcPr>
          <w:p w14:paraId="4A57376C" w14:textId="77A8439F" w:rsidR="00C52BA0" w:rsidRPr="0037067D" w:rsidRDefault="00C52BA0" w:rsidP="00C52BA0">
            <w:pPr>
              <w:pBdr>
                <w:bottom w:val="single" w:sz="4" w:space="1" w:color="auto"/>
              </w:pBdr>
              <w:suppressAutoHyphens/>
              <w:bidi/>
              <w:ind w:left="57"/>
              <w:jc w:val="center"/>
              <w:rPr>
                <w:rStyle w:val="Koteret"/>
                <w:sz w:val="22"/>
                <w:szCs w:val="22"/>
              </w:rPr>
            </w:pPr>
            <w:r w:rsidRPr="0037067D">
              <w:rPr>
                <w:rStyle w:val="Koteret"/>
                <w:sz w:val="22"/>
                <w:szCs w:val="22"/>
              </w:rPr>
              <w:t>2022</w:t>
            </w:r>
          </w:p>
        </w:tc>
      </w:tr>
      <w:tr w:rsidR="0037067D" w:rsidRPr="00866299" w14:paraId="4BEC0849" w14:textId="77777777" w:rsidTr="005101BC">
        <w:trPr>
          <w:trHeight w:val="253"/>
        </w:trPr>
        <w:tc>
          <w:tcPr>
            <w:tcW w:w="5387" w:type="dxa"/>
          </w:tcPr>
          <w:p w14:paraId="111AE6A7" w14:textId="77777777" w:rsidR="0037067D" w:rsidRPr="0037067D" w:rsidRDefault="0037067D" w:rsidP="0037067D">
            <w:pPr>
              <w:suppressAutoHyphens/>
              <w:jc w:val="both"/>
              <w:rPr>
                <w:spacing w:val="-2"/>
                <w:sz w:val="22"/>
                <w:szCs w:val="22"/>
              </w:rPr>
            </w:pPr>
            <w:r w:rsidRPr="0037067D">
              <w:rPr>
                <w:spacing w:val="-2"/>
                <w:sz w:val="22"/>
                <w:szCs w:val="22"/>
              </w:rPr>
              <w:t>Rental income from investment property</w:t>
            </w:r>
          </w:p>
        </w:tc>
        <w:tc>
          <w:tcPr>
            <w:tcW w:w="1123" w:type="dxa"/>
            <w:vAlign w:val="bottom"/>
          </w:tcPr>
          <w:p w14:paraId="500F4C90" w14:textId="24DF2419" w:rsidR="0037067D" w:rsidRPr="0037067D" w:rsidRDefault="0037067D" w:rsidP="0037067D">
            <w:pPr>
              <w:suppressAutoHyphens/>
              <w:jc w:val="right"/>
              <w:rPr>
                <w:b/>
                <w:bCs/>
                <w:spacing w:val="-2"/>
                <w:sz w:val="22"/>
                <w:szCs w:val="22"/>
                <w:highlight w:val="yellow"/>
              </w:rPr>
            </w:pPr>
            <w:r w:rsidRPr="0037067D">
              <w:rPr>
                <w:sz w:val="22"/>
                <w:szCs w:val="22"/>
              </w:rPr>
              <w:t>200,552</w:t>
            </w:r>
          </w:p>
        </w:tc>
        <w:tc>
          <w:tcPr>
            <w:tcW w:w="1373" w:type="dxa"/>
            <w:vAlign w:val="bottom"/>
          </w:tcPr>
          <w:p w14:paraId="75F91D7B" w14:textId="79D60863" w:rsidR="0037067D" w:rsidRPr="0037067D" w:rsidRDefault="0037067D" w:rsidP="0037067D">
            <w:pPr>
              <w:suppressAutoHyphens/>
              <w:jc w:val="right"/>
              <w:rPr>
                <w:spacing w:val="-2"/>
                <w:sz w:val="22"/>
                <w:szCs w:val="22"/>
              </w:rPr>
            </w:pPr>
            <w:r w:rsidRPr="0037067D">
              <w:rPr>
                <w:sz w:val="22"/>
                <w:szCs w:val="22"/>
              </w:rPr>
              <w:t>170,142</w:t>
            </w:r>
          </w:p>
        </w:tc>
        <w:tc>
          <w:tcPr>
            <w:tcW w:w="1374" w:type="dxa"/>
            <w:vAlign w:val="bottom"/>
          </w:tcPr>
          <w:p w14:paraId="70ECEA79" w14:textId="39F6D43B" w:rsidR="0037067D" w:rsidRPr="0037067D" w:rsidRDefault="0037067D" w:rsidP="0037067D">
            <w:pPr>
              <w:suppressAutoHyphens/>
              <w:jc w:val="right"/>
              <w:rPr>
                <w:spacing w:val="-2"/>
                <w:sz w:val="22"/>
                <w:szCs w:val="22"/>
              </w:rPr>
            </w:pPr>
            <w:r w:rsidRPr="0037067D">
              <w:rPr>
                <w:spacing w:val="-2"/>
                <w:sz w:val="22"/>
                <w:szCs w:val="22"/>
              </w:rPr>
              <w:t>143,554</w:t>
            </w:r>
          </w:p>
        </w:tc>
      </w:tr>
      <w:tr w:rsidR="0037067D" w:rsidRPr="00866299" w14:paraId="606D2922" w14:textId="77777777" w:rsidTr="005101BC">
        <w:trPr>
          <w:trHeight w:val="253"/>
        </w:trPr>
        <w:tc>
          <w:tcPr>
            <w:tcW w:w="5387" w:type="dxa"/>
          </w:tcPr>
          <w:p w14:paraId="3906BAC0" w14:textId="4E6E0C74" w:rsidR="0037067D" w:rsidRPr="0037067D" w:rsidRDefault="0037067D" w:rsidP="0037067D">
            <w:pPr>
              <w:suppressAutoHyphens/>
              <w:jc w:val="both"/>
              <w:rPr>
                <w:spacing w:val="-2"/>
                <w:sz w:val="22"/>
                <w:szCs w:val="22"/>
              </w:rPr>
            </w:pPr>
            <w:r w:rsidRPr="0037067D">
              <w:rPr>
                <w:spacing w:val="-2"/>
                <w:sz w:val="22"/>
                <w:szCs w:val="22"/>
              </w:rPr>
              <w:t xml:space="preserve">Net direct operating </w:t>
            </w:r>
            <w:proofErr w:type="gramStart"/>
            <w:r w:rsidRPr="0037067D">
              <w:rPr>
                <w:spacing w:val="-2"/>
                <w:sz w:val="22"/>
                <w:szCs w:val="22"/>
              </w:rPr>
              <w:t>income/(</w:t>
            </w:r>
            <w:proofErr w:type="gramEnd"/>
            <w:r w:rsidRPr="0037067D">
              <w:rPr>
                <w:spacing w:val="-2"/>
                <w:sz w:val="22"/>
                <w:szCs w:val="22"/>
              </w:rPr>
              <w:t>expenses) arising from investment property that generated rental income during the period</w:t>
            </w:r>
          </w:p>
        </w:tc>
        <w:tc>
          <w:tcPr>
            <w:tcW w:w="1123" w:type="dxa"/>
            <w:vAlign w:val="bottom"/>
          </w:tcPr>
          <w:p w14:paraId="5237369C" w14:textId="1F78A5F4" w:rsidR="0037067D" w:rsidRPr="0037067D" w:rsidRDefault="0037067D" w:rsidP="0037067D">
            <w:pPr>
              <w:suppressAutoHyphens/>
              <w:jc w:val="right"/>
              <w:rPr>
                <w:b/>
                <w:bCs/>
                <w:spacing w:val="-2"/>
                <w:sz w:val="22"/>
                <w:szCs w:val="22"/>
                <w:highlight w:val="yellow"/>
              </w:rPr>
            </w:pPr>
            <w:r w:rsidRPr="0037067D">
              <w:rPr>
                <w:sz w:val="22"/>
                <w:szCs w:val="22"/>
              </w:rPr>
              <w:t>(5,328)</w:t>
            </w:r>
          </w:p>
        </w:tc>
        <w:tc>
          <w:tcPr>
            <w:tcW w:w="1373" w:type="dxa"/>
            <w:vAlign w:val="bottom"/>
          </w:tcPr>
          <w:p w14:paraId="2B36D6DD" w14:textId="4D38BCB1" w:rsidR="0037067D" w:rsidRPr="0037067D" w:rsidRDefault="0037067D" w:rsidP="0037067D">
            <w:pPr>
              <w:suppressAutoHyphens/>
              <w:jc w:val="right"/>
              <w:rPr>
                <w:spacing w:val="-2"/>
                <w:sz w:val="22"/>
                <w:szCs w:val="22"/>
              </w:rPr>
            </w:pPr>
            <w:r w:rsidRPr="0037067D">
              <w:rPr>
                <w:sz w:val="22"/>
                <w:szCs w:val="22"/>
              </w:rPr>
              <w:t>(4,460)</w:t>
            </w:r>
          </w:p>
        </w:tc>
        <w:tc>
          <w:tcPr>
            <w:tcW w:w="1374" w:type="dxa"/>
            <w:vAlign w:val="bottom"/>
          </w:tcPr>
          <w:p w14:paraId="71DDAE1B" w14:textId="17A48203" w:rsidR="0037067D" w:rsidRPr="0037067D" w:rsidRDefault="0037067D" w:rsidP="0037067D">
            <w:pPr>
              <w:suppressAutoHyphens/>
              <w:jc w:val="right"/>
              <w:rPr>
                <w:spacing w:val="-2"/>
                <w:sz w:val="22"/>
                <w:szCs w:val="22"/>
              </w:rPr>
            </w:pPr>
            <w:r w:rsidRPr="0037067D">
              <w:rPr>
                <w:sz w:val="22"/>
                <w:szCs w:val="22"/>
              </w:rPr>
              <w:t>(5,889)</w:t>
            </w:r>
          </w:p>
        </w:tc>
      </w:tr>
      <w:tr w:rsidR="0037067D" w:rsidRPr="00866299" w14:paraId="08469DA8" w14:textId="77777777" w:rsidTr="005101BC">
        <w:trPr>
          <w:trHeight w:val="288"/>
        </w:trPr>
        <w:tc>
          <w:tcPr>
            <w:tcW w:w="5387" w:type="dxa"/>
          </w:tcPr>
          <w:p w14:paraId="36E4C661" w14:textId="77777777" w:rsidR="0037067D" w:rsidRPr="0037067D" w:rsidRDefault="0037067D" w:rsidP="0037067D">
            <w:pPr>
              <w:suppressAutoHyphens/>
              <w:jc w:val="both"/>
              <w:rPr>
                <w:spacing w:val="-2"/>
                <w:sz w:val="22"/>
                <w:szCs w:val="22"/>
              </w:rPr>
            </w:pPr>
            <w:r w:rsidRPr="0037067D">
              <w:rPr>
                <w:spacing w:val="-2"/>
                <w:sz w:val="22"/>
                <w:szCs w:val="22"/>
              </w:rPr>
              <w:t>Change in fair value of investment property</w:t>
            </w:r>
          </w:p>
        </w:tc>
        <w:tc>
          <w:tcPr>
            <w:tcW w:w="1123" w:type="dxa"/>
            <w:vAlign w:val="bottom"/>
          </w:tcPr>
          <w:p w14:paraId="019B4B9D" w14:textId="33BE1657" w:rsidR="0037067D" w:rsidRPr="0037067D" w:rsidRDefault="0037067D" w:rsidP="0037067D">
            <w:pPr>
              <w:pBdr>
                <w:bottom w:val="single" w:sz="4" w:space="1" w:color="auto"/>
              </w:pBdr>
              <w:suppressAutoHyphens/>
              <w:jc w:val="right"/>
              <w:rPr>
                <w:b/>
                <w:bCs/>
                <w:sz w:val="22"/>
                <w:szCs w:val="22"/>
                <w:highlight w:val="yellow"/>
              </w:rPr>
            </w:pPr>
            <w:r w:rsidRPr="0037067D">
              <w:rPr>
                <w:sz w:val="22"/>
                <w:szCs w:val="22"/>
              </w:rPr>
              <w:t>56,182</w:t>
            </w:r>
          </w:p>
        </w:tc>
        <w:tc>
          <w:tcPr>
            <w:tcW w:w="1373" w:type="dxa"/>
            <w:vAlign w:val="bottom"/>
          </w:tcPr>
          <w:p w14:paraId="3DB06761" w14:textId="1D1C7A0B" w:rsidR="0037067D" w:rsidRPr="0037067D" w:rsidRDefault="0037067D" w:rsidP="0037067D">
            <w:pPr>
              <w:pBdr>
                <w:bottom w:val="single" w:sz="4" w:space="1" w:color="auto"/>
              </w:pBdr>
              <w:suppressAutoHyphens/>
              <w:jc w:val="right"/>
              <w:rPr>
                <w:spacing w:val="-2"/>
                <w:sz w:val="22"/>
                <w:szCs w:val="22"/>
              </w:rPr>
            </w:pPr>
            <w:r w:rsidRPr="0037067D">
              <w:rPr>
                <w:sz w:val="22"/>
                <w:szCs w:val="22"/>
              </w:rPr>
              <w:t>(25,539)</w:t>
            </w:r>
          </w:p>
        </w:tc>
        <w:tc>
          <w:tcPr>
            <w:tcW w:w="1374" w:type="dxa"/>
            <w:vAlign w:val="bottom"/>
          </w:tcPr>
          <w:p w14:paraId="337AC790" w14:textId="7B1B0E8B" w:rsidR="0037067D" w:rsidRPr="0037067D" w:rsidRDefault="0037067D" w:rsidP="0037067D">
            <w:pPr>
              <w:pBdr>
                <w:bottom w:val="single" w:sz="4" w:space="1" w:color="auto"/>
              </w:pBdr>
              <w:suppressAutoHyphens/>
              <w:jc w:val="right"/>
              <w:rPr>
                <w:spacing w:val="-2"/>
                <w:sz w:val="22"/>
                <w:szCs w:val="22"/>
              </w:rPr>
            </w:pPr>
            <w:r w:rsidRPr="0037067D">
              <w:rPr>
                <w:sz w:val="22"/>
                <w:szCs w:val="22"/>
              </w:rPr>
              <w:t>24,343</w:t>
            </w:r>
          </w:p>
        </w:tc>
      </w:tr>
      <w:tr w:rsidR="0037067D" w:rsidRPr="00866299" w14:paraId="6BB61772" w14:textId="77777777" w:rsidTr="005101BC">
        <w:trPr>
          <w:trHeight w:val="300"/>
        </w:trPr>
        <w:tc>
          <w:tcPr>
            <w:tcW w:w="5387" w:type="dxa"/>
          </w:tcPr>
          <w:p w14:paraId="181AEE4E" w14:textId="77777777" w:rsidR="0037067D" w:rsidRPr="0037067D" w:rsidRDefault="0037067D" w:rsidP="0037067D">
            <w:pPr>
              <w:suppressAutoHyphens/>
              <w:jc w:val="both"/>
              <w:rPr>
                <w:spacing w:val="-2"/>
                <w:sz w:val="22"/>
                <w:szCs w:val="22"/>
              </w:rPr>
            </w:pPr>
          </w:p>
        </w:tc>
        <w:tc>
          <w:tcPr>
            <w:tcW w:w="1123" w:type="dxa"/>
            <w:vAlign w:val="bottom"/>
          </w:tcPr>
          <w:p w14:paraId="5C34E99F" w14:textId="2A7E320E" w:rsidR="0037067D" w:rsidRPr="0037067D" w:rsidRDefault="0037067D" w:rsidP="0037067D">
            <w:pPr>
              <w:pBdr>
                <w:bottom w:val="double" w:sz="4" w:space="1" w:color="auto"/>
              </w:pBdr>
              <w:suppressAutoHyphens/>
              <w:jc w:val="right"/>
              <w:rPr>
                <w:b/>
                <w:bCs/>
                <w:sz w:val="22"/>
                <w:szCs w:val="22"/>
                <w:highlight w:val="yellow"/>
                <w:lang w:bidi="he-IL"/>
              </w:rPr>
            </w:pPr>
            <w:r w:rsidRPr="0037067D">
              <w:rPr>
                <w:sz w:val="22"/>
                <w:szCs w:val="22"/>
              </w:rPr>
              <w:t>251,406</w:t>
            </w:r>
          </w:p>
        </w:tc>
        <w:tc>
          <w:tcPr>
            <w:tcW w:w="1373" w:type="dxa"/>
            <w:vAlign w:val="bottom"/>
          </w:tcPr>
          <w:p w14:paraId="74F356F2" w14:textId="5809EB5F" w:rsidR="0037067D" w:rsidRPr="0037067D" w:rsidRDefault="0037067D" w:rsidP="0037067D">
            <w:pPr>
              <w:pBdr>
                <w:bottom w:val="double" w:sz="4" w:space="1" w:color="auto"/>
              </w:pBdr>
              <w:suppressAutoHyphens/>
              <w:jc w:val="right"/>
              <w:rPr>
                <w:spacing w:val="-2"/>
                <w:sz w:val="22"/>
                <w:szCs w:val="22"/>
              </w:rPr>
            </w:pPr>
            <w:r w:rsidRPr="0037067D">
              <w:rPr>
                <w:sz w:val="22"/>
                <w:szCs w:val="22"/>
              </w:rPr>
              <w:t>140,143</w:t>
            </w:r>
          </w:p>
        </w:tc>
        <w:tc>
          <w:tcPr>
            <w:tcW w:w="1374" w:type="dxa"/>
            <w:vAlign w:val="bottom"/>
          </w:tcPr>
          <w:p w14:paraId="365B681E" w14:textId="42EAB36F" w:rsidR="0037067D" w:rsidRPr="0037067D" w:rsidRDefault="0037067D" w:rsidP="0037067D">
            <w:pPr>
              <w:pBdr>
                <w:bottom w:val="double" w:sz="4" w:space="1" w:color="auto"/>
              </w:pBdr>
              <w:suppressAutoHyphens/>
              <w:jc w:val="right"/>
              <w:rPr>
                <w:spacing w:val="-2"/>
                <w:sz w:val="22"/>
                <w:szCs w:val="22"/>
              </w:rPr>
            </w:pPr>
            <w:r w:rsidRPr="0037067D">
              <w:rPr>
                <w:sz w:val="22"/>
                <w:szCs w:val="22"/>
              </w:rPr>
              <w:t>162,008</w:t>
            </w:r>
          </w:p>
        </w:tc>
      </w:tr>
    </w:tbl>
    <w:p w14:paraId="2BC85DC8" w14:textId="77777777" w:rsidR="00E64F80" w:rsidRDefault="00E64F80" w:rsidP="00030CEF">
      <w:pPr>
        <w:rPr>
          <w:b/>
          <w:bCs/>
          <w:sz w:val="26"/>
          <w:szCs w:val="26"/>
          <w:lang w:bidi="he-IL"/>
        </w:rPr>
      </w:pPr>
    </w:p>
    <w:p w14:paraId="726FF0F9" w14:textId="77777777" w:rsidR="0037067D" w:rsidRDefault="0037067D" w:rsidP="00030CEF">
      <w:pPr>
        <w:rPr>
          <w:b/>
          <w:bCs/>
          <w:sz w:val="26"/>
          <w:szCs w:val="26"/>
          <w:lang w:bidi="he-IL"/>
        </w:rPr>
      </w:pPr>
    </w:p>
    <w:p w14:paraId="264346D5" w14:textId="77777777" w:rsidR="0037067D" w:rsidRDefault="0037067D" w:rsidP="00030CEF">
      <w:pPr>
        <w:rPr>
          <w:b/>
          <w:bCs/>
          <w:sz w:val="26"/>
          <w:szCs w:val="26"/>
          <w:lang w:bidi="he-IL"/>
        </w:rPr>
      </w:pPr>
    </w:p>
    <w:p w14:paraId="2012C6BF" w14:textId="77777777" w:rsidR="0037067D" w:rsidRDefault="0037067D" w:rsidP="00030CEF">
      <w:pPr>
        <w:rPr>
          <w:b/>
          <w:bCs/>
          <w:sz w:val="26"/>
          <w:szCs w:val="26"/>
          <w:lang w:bidi="he-IL"/>
        </w:rPr>
      </w:pPr>
    </w:p>
    <w:p w14:paraId="77273ECD" w14:textId="77777777" w:rsidR="0037067D" w:rsidRDefault="0037067D" w:rsidP="00030CEF">
      <w:pPr>
        <w:rPr>
          <w:b/>
          <w:bCs/>
          <w:sz w:val="26"/>
          <w:szCs w:val="26"/>
          <w:lang w:bidi="he-IL"/>
        </w:rPr>
      </w:pPr>
    </w:p>
    <w:p w14:paraId="675898D5" w14:textId="77777777" w:rsidR="00B22C9B" w:rsidRDefault="00B22C9B" w:rsidP="00030CEF">
      <w:pPr>
        <w:rPr>
          <w:b/>
          <w:bCs/>
          <w:sz w:val="26"/>
          <w:szCs w:val="26"/>
          <w:lang w:bidi="he-IL"/>
        </w:rPr>
      </w:pPr>
    </w:p>
    <w:p w14:paraId="2BF59607" w14:textId="364C2FEB" w:rsidR="00C35D07" w:rsidRPr="001D55D7" w:rsidRDefault="00C35D07" w:rsidP="000B59AD">
      <w:pPr>
        <w:outlineLvl w:val="2"/>
        <w:rPr>
          <w:b/>
          <w:bCs/>
          <w:sz w:val="22"/>
          <w:szCs w:val="22"/>
        </w:rPr>
      </w:pPr>
      <w:bookmarkStart w:id="142" w:name="H3_Note_6__Investment_Property_under_Dev"/>
      <w:r w:rsidRPr="001D55D7">
        <w:rPr>
          <w:b/>
          <w:bCs/>
          <w:sz w:val="22"/>
          <w:szCs w:val="22"/>
        </w:rPr>
        <w:t xml:space="preserve">Note </w:t>
      </w:r>
      <w:r w:rsidR="00030CEF" w:rsidRPr="001D55D7">
        <w:rPr>
          <w:b/>
          <w:bCs/>
          <w:sz w:val="22"/>
          <w:szCs w:val="22"/>
        </w:rPr>
        <w:t>6</w:t>
      </w:r>
      <w:r w:rsidRPr="001D55D7">
        <w:rPr>
          <w:b/>
          <w:bCs/>
          <w:sz w:val="22"/>
          <w:szCs w:val="22"/>
        </w:rPr>
        <w:t xml:space="preserve"> - Investment Property under Development</w:t>
      </w:r>
    </w:p>
    <w:bookmarkEnd w:id="142"/>
    <w:p w14:paraId="07894810" w14:textId="77777777" w:rsidR="001C2D15" w:rsidRDefault="001C2D15" w:rsidP="004A3C21">
      <w:pPr>
        <w:ind w:left="720"/>
        <w:rPr>
          <w:sz w:val="22"/>
          <w:szCs w:val="22"/>
        </w:rPr>
      </w:pPr>
    </w:p>
    <w:p w14:paraId="389E4629" w14:textId="77777777" w:rsidR="001C2D15" w:rsidRPr="00F02921" w:rsidRDefault="001C2D15" w:rsidP="000B59AD">
      <w:pPr>
        <w:ind w:left="567" w:hanging="567"/>
        <w:jc w:val="both"/>
        <w:outlineLvl w:val="3"/>
        <w:rPr>
          <w:b/>
          <w:bCs/>
          <w:sz w:val="22"/>
          <w:szCs w:val="22"/>
        </w:rPr>
      </w:pPr>
      <w:r w:rsidRPr="00F02921">
        <w:rPr>
          <w:b/>
          <w:bCs/>
          <w:sz w:val="22"/>
          <w:szCs w:val="22"/>
        </w:rPr>
        <w:t>A.</w:t>
      </w:r>
      <w:r w:rsidRPr="00F02921">
        <w:rPr>
          <w:b/>
          <w:bCs/>
          <w:sz w:val="22"/>
          <w:szCs w:val="22"/>
        </w:rPr>
        <w:tab/>
        <w:t>Reconciliation of carrying amount</w:t>
      </w:r>
    </w:p>
    <w:p w14:paraId="2AF65D26" w14:textId="77777777" w:rsidR="001C2D15" w:rsidRDefault="001C2D15" w:rsidP="004A3C21">
      <w:pPr>
        <w:ind w:left="720"/>
        <w:rPr>
          <w:rStyle w:val="Koteret"/>
          <w:b w:val="0"/>
          <w:bCs/>
          <w:i/>
          <w:iCs/>
        </w:rPr>
      </w:pPr>
    </w:p>
    <w:p w14:paraId="486054DE" w14:textId="77777777" w:rsidR="00C35D07" w:rsidRPr="00F02921" w:rsidRDefault="00C35D07" w:rsidP="004A3C21">
      <w:pPr>
        <w:ind w:left="720"/>
        <w:rPr>
          <w:rStyle w:val="Koteret"/>
          <w:b w:val="0"/>
          <w:bCs/>
          <w:i/>
          <w:iCs/>
        </w:rPr>
      </w:pPr>
      <w:r w:rsidRPr="00F02921">
        <w:rPr>
          <w:rStyle w:val="Koteret"/>
          <w:b w:val="0"/>
          <w:bCs/>
          <w:i/>
          <w:iCs/>
        </w:rPr>
        <w:t>In thousands of Euros</w:t>
      </w:r>
    </w:p>
    <w:tbl>
      <w:tblPr>
        <w:tblW w:w="0" w:type="auto"/>
        <w:tblInd w:w="720" w:type="dxa"/>
        <w:tblLook w:val="06E0" w:firstRow="1" w:lastRow="1" w:firstColumn="1" w:lastColumn="0" w:noHBand="1" w:noVBand="1"/>
        <w:tblCaption w:val="AHR01"/>
        <w:tblDescription w:val="Reconciliation of carrying amount"/>
      </w:tblPr>
      <w:tblGrid>
        <w:gridCol w:w="5490"/>
        <w:gridCol w:w="1723"/>
        <w:gridCol w:w="1705"/>
      </w:tblGrid>
      <w:tr w:rsidR="001141B2" w:rsidRPr="00866299" w14:paraId="6C0A5296" w14:textId="77777777" w:rsidTr="005101BC">
        <w:trPr>
          <w:cantSplit/>
          <w:trHeight w:val="283"/>
          <w:tblHeader/>
        </w:trPr>
        <w:tc>
          <w:tcPr>
            <w:tcW w:w="5490" w:type="dxa"/>
            <w:shd w:val="clear" w:color="auto" w:fill="auto"/>
            <w:noWrap/>
            <w:vAlign w:val="bottom"/>
            <w:hideMark/>
          </w:tcPr>
          <w:p w14:paraId="32A4AF3A" w14:textId="77777777" w:rsidR="001141B2" w:rsidRPr="00866299" w:rsidRDefault="001141B2">
            <w:pPr>
              <w:spacing w:before="40"/>
              <w:rPr>
                <w:rFonts w:ascii="Arial" w:eastAsia="Arial" w:hAnsi="Arial" w:cs="Arial"/>
                <w:sz w:val="22"/>
                <w:szCs w:val="22"/>
              </w:rPr>
            </w:pPr>
            <w:bookmarkStart w:id="143" w:name="Title_26" w:colFirst="0" w:colLast="0"/>
          </w:p>
        </w:tc>
        <w:tc>
          <w:tcPr>
            <w:tcW w:w="1723" w:type="dxa"/>
            <w:shd w:val="clear" w:color="auto" w:fill="auto"/>
            <w:vAlign w:val="bottom"/>
            <w:hideMark/>
          </w:tcPr>
          <w:p w14:paraId="72E31118" w14:textId="2B280AE1" w:rsidR="001141B2" w:rsidRPr="00866299" w:rsidRDefault="00AD1E41" w:rsidP="001D34F1">
            <w:pPr>
              <w:pBdr>
                <w:bottom w:val="single" w:sz="4" w:space="0" w:color="000000"/>
              </w:pBdr>
              <w:bidi/>
              <w:spacing w:before="40"/>
              <w:ind w:left="57"/>
              <w:jc w:val="center"/>
              <w:rPr>
                <w:b/>
                <w:bCs/>
                <w:sz w:val="20"/>
              </w:rPr>
            </w:pPr>
            <w:r>
              <w:rPr>
                <w:b/>
                <w:bCs/>
                <w:color w:val="000000"/>
                <w:sz w:val="20"/>
              </w:rPr>
              <w:t>20</w:t>
            </w:r>
            <w:r w:rsidR="00C52BA0">
              <w:rPr>
                <w:b/>
                <w:bCs/>
                <w:color w:val="000000"/>
                <w:sz w:val="20"/>
              </w:rPr>
              <w:t>24</w:t>
            </w:r>
          </w:p>
        </w:tc>
        <w:tc>
          <w:tcPr>
            <w:tcW w:w="1705" w:type="dxa"/>
            <w:shd w:val="clear" w:color="auto" w:fill="auto"/>
            <w:vAlign w:val="bottom"/>
            <w:hideMark/>
          </w:tcPr>
          <w:p w14:paraId="0C13BB6F" w14:textId="12929850" w:rsidR="001141B2" w:rsidRPr="00866299" w:rsidRDefault="00C52BA0" w:rsidP="001D34F1">
            <w:pPr>
              <w:pBdr>
                <w:bottom w:val="single" w:sz="4" w:space="0" w:color="000000"/>
              </w:pBdr>
              <w:bidi/>
              <w:spacing w:before="40"/>
              <w:ind w:left="57"/>
              <w:jc w:val="center"/>
              <w:rPr>
                <w:b/>
                <w:bCs/>
                <w:sz w:val="20"/>
              </w:rPr>
            </w:pPr>
            <w:r>
              <w:rPr>
                <w:b/>
                <w:bCs/>
                <w:color w:val="000000"/>
                <w:sz w:val="20"/>
              </w:rPr>
              <w:t>2023</w:t>
            </w:r>
          </w:p>
        </w:tc>
      </w:tr>
      <w:bookmarkEnd w:id="143"/>
      <w:tr w:rsidR="0037067D" w:rsidRPr="00866299" w14:paraId="4EAC94BD" w14:textId="77777777" w:rsidTr="005101BC">
        <w:trPr>
          <w:trHeight w:val="283"/>
        </w:trPr>
        <w:tc>
          <w:tcPr>
            <w:tcW w:w="5490" w:type="dxa"/>
            <w:shd w:val="clear" w:color="auto" w:fill="auto"/>
            <w:noWrap/>
            <w:vAlign w:val="bottom"/>
            <w:hideMark/>
          </w:tcPr>
          <w:p w14:paraId="630F2659" w14:textId="77777777" w:rsidR="0037067D" w:rsidRPr="00866299" w:rsidRDefault="0037067D" w:rsidP="0037067D">
            <w:pPr>
              <w:spacing w:before="40"/>
              <w:rPr>
                <w:b/>
                <w:bCs/>
                <w:sz w:val="22"/>
                <w:szCs w:val="22"/>
              </w:rPr>
            </w:pPr>
            <w:r w:rsidRPr="00866299">
              <w:rPr>
                <w:b/>
                <w:bCs/>
                <w:color w:val="000000"/>
                <w:sz w:val="22"/>
                <w:szCs w:val="22"/>
              </w:rPr>
              <w:t xml:space="preserve">Balance </w:t>
            </w:r>
            <w:proofErr w:type="gramStart"/>
            <w:r w:rsidRPr="00866299">
              <w:rPr>
                <w:b/>
                <w:bCs/>
                <w:color w:val="000000"/>
                <w:sz w:val="22"/>
                <w:szCs w:val="22"/>
              </w:rPr>
              <w:t>at</w:t>
            </w:r>
            <w:proofErr w:type="gramEnd"/>
            <w:r w:rsidRPr="00866299">
              <w:rPr>
                <w:b/>
                <w:bCs/>
                <w:color w:val="000000"/>
                <w:sz w:val="22"/>
                <w:szCs w:val="22"/>
              </w:rPr>
              <w:t xml:space="preserve"> January 1</w:t>
            </w:r>
          </w:p>
        </w:tc>
        <w:tc>
          <w:tcPr>
            <w:tcW w:w="1723" w:type="dxa"/>
            <w:shd w:val="clear" w:color="auto" w:fill="auto"/>
            <w:noWrap/>
            <w:vAlign w:val="bottom"/>
          </w:tcPr>
          <w:p w14:paraId="573F06DD" w14:textId="6B087416" w:rsidR="0037067D" w:rsidRPr="00DE2AAB" w:rsidRDefault="0037067D" w:rsidP="00DE2AAB">
            <w:pPr>
              <w:spacing w:before="40"/>
              <w:jc w:val="right"/>
              <w:rPr>
                <w:b/>
                <w:bCs/>
                <w:sz w:val="22"/>
                <w:szCs w:val="22"/>
                <w:highlight w:val="yellow"/>
              </w:rPr>
            </w:pPr>
            <w:r w:rsidRPr="00DE2AAB">
              <w:rPr>
                <w:sz w:val="22"/>
                <w:szCs w:val="22"/>
              </w:rPr>
              <w:t>292,097</w:t>
            </w:r>
          </w:p>
        </w:tc>
        <w:tc>
          <w:tcPr>
            <w:tcW w:w="1705" w:type="dxa"/>
            <w:shd w:val="clear" w:color="auto" w:fill="auto"/>
            <w:noWrap/>
            <w:vAlign w:val="bottom"/>
          </w:tcPr>
          <w:p w14:paraId="27F720A8" w14:textId="13057E37" w:rsidR="0037067D" w:rsidRPr="00DE2AAB" w:rsidRDefault="0037067D" w:rsidP="00DE2AAB">
            <w:pPr>
              <w:spacing w:before="40"/>
              <w:jc w:val="right"/>
              <w:rPr>
                <w:sz w:val="22"/>
                <w:szCs w:val="22"/>
              </w:rPr>
            </w:pPr>
            <w:r w:rsidRPr="00DE2AAB">
              <w:rPr>
                <w:sz w:val="22"/>
                <w:szCs w:val="22"/>
              </w:rPr>
              <w:t>452,967</w:t>
            </w:r>
          </w:p>
        </w:tc>
      </w:tr>
      <w:tr w:rsidR="0037067D" w:rsidRPr="00866299" w14:paraId="41C0AC76" w14:textId="77777777" w:rsidTr="005101BC">
        <w:trPr>
          <w:trHeight w:val="283"/>
        </w:trPr>
        <w:tc>
          <w:tcPr>
            <w:tcW w:w="5490" w:type="dxa"/>
            <w:shd w:val="clear" w:color="auto" w:fill="auto"/>
            <w:noWrap/>
            <w:vAlign w:val="bottom"/>
          </w:tcPr>
          <w:p w14:paraId="4DD2E9FB" w14:textId="77777777" w:rsidR="0037067D" w:rsidRPr="00866299" w:rsidRDefault="0037067D" w:rsidP="0037067D">
            <w:pPr>
              <w:spacing w:before="40"/>
              <w:rPr>
                <w:b/>
                <w:bCs/>
                <w:color w:val="000000"/>
                <w:sz w:val="22"/>
                <w:szCs w:val="22"/>
              </w:rPr>
            </w:pPr>
            <w:r w:rsidRPr="002B698D">
              <w:rPr>
                <w:b/>
                <w:bCs/>
                <w:color w:val="000000"/>
                <w:sz w:val="22"/>
                <w:szCs w:val="22"/>
              </w:rPr>
              <w:t>Additions</w:t>
            </w:r>
          </w:p>
        </w:tc>
        <w:tc>
          <w:tcPr>
            <w:tcW w:w="1723" w:type="dxa"/>
            <w:shd w:val="clear" w:color="auto" w:fill="auto"/>
            <w:noWrap/>
            <w:vAlign w:val="bottom"/>
          </w:tcPr>
          <w:p w14:paraId="2F671B6D" w14:textId="77777777" w:rsidR="0037067D" w:rsidRPr="00DE2AAB" w:rsidRDefault="0037067D" w:rsidP="00DE2AAB">
            <w:pPr>
              <w:spacing w:before="40"/>
              <w:jc w:val="right"/>
              <w:rPr>
                <w:b/>
                <w:bCs/>
                <w:color w:val="000000"/>
                <w:sz w:val="22"/>
                <w:szCs w:val="22"/>
                <w:highlight w:val="yellow"/>
              </w:rPr>
            </w:pPr>
          </w:p>
        </w:tc>
        <w:tc>
          <w:tcPr>
            <w:tcW w:w="1705" w:type="dxa"/>
            <w:shd w:val="clear" w:color="auto" w:fill="auto"/>
            <w:noWrap/>
            <w:vAlign w:val="bottom"/>
          </w:tcPr>
          <w:p w14:paraId="2193E4E3" w14:textId="77777777" w:rsidR="0037067D" w:rsidRPr="00DE2AAB" w:rsidRDefault="0037067D" w:rsidP="00DE2AAB">
            <w:pPr>
              <w:spacing w:before="40"/>
              <w:jc w:val="right"/>
              <w:rPr>
                <w:color w:val="000000"/>
                <w:sz w:val="22"/>
                <w:szCs w:val="22"/>
              </w:rPr>
            </w:pPr>
          </w:p>
        </w:tc>
      </w:tr>
      <w:tr w:rsidR="0037067D" w:rsidRPr="00866299" w14:paraId="1221A399" w14:textId="77777777" w:rsidTr="005101BC">
        <w:trPr>
          <w:trHeight w:val="283"/>
        </w:trPr>
        <w:tc>
          <w:tcPr>
            <w:tcW w:w="5490" w:type="dxa"/>
            <w:shd w:val="clear" w:color="auto" w:fill="auto"/>
            <w:noWrap/>
            <w:vAlign w:val="bottom"/>
            <w:hideMark/>
          </w:tcPr>
          <w:p w14:paraId="17A4F619" w14:textId="1B774C04" w:rsidR="0037067D" w:rsidRPr="00866299" w:rsidRDefault="0037067D" w:rsidP="0037067D">
            <w:pPr>
              <w:spacing w:before="40"/>
              <w:ind w:left="170"/>
              <w:rPr>
                <w:sz w:val="22"/>
                <w:szCs w:val="22"/>
              </w:rPr>
            </w:pPr>
            <w:r w:rsidRPr="005A1BCA">
              <w:rPr>
                <w:color w:val="000000"/>
                <w:sz w:val="22"/>
                <w:szCs w:val="22"/>
              </w:rPr>
              <w:t>Acquisition</w:t>
            </w:r>
            <w:r>
              <w:rPr>
                <w:color w:val="000000"/>
                <w:sz w:val="22"/>
                <w:szCs w:val="22"/>
              </w:rPr>
              <w:t xml:space="preserve"> (1) (2) </w:t>
            </w:r>
          </w:p>
        </w:tc>
        <w:tc>
          <w:tcPr>
            <w:tcW w:w="1723" w:type="dxa"/>
            <w:shd w:val="clear" w:color="auto" w:fill="auto"/>
            <w:noWrap/>
            <w:vAlign w:val="bottom"/>
          </w:tcPr>
          <w:p w14:paraId="2E81DEA5" w14:textId="2BDD1EF3" w:rsidR="0037067D" w:rsidRPr="00DE2AAB" w:rsidRDefault="0037067D" w:rsidP="00DE2AAB">
            <w:pPr>
              <w:spacing w:before="40"/>
              <w:jc w:val="right"/>
              <w:rPr>
                <w:b/>
                <w:bCs/>
                <w:sz w:val="22"/>
                <w:szCs w:val="22"/>
                <w:highlight w:val="yellow"/>
              </w:rPr>
            </w:pPr>
            <w:r w:rsidRPr="00DE2AAB">
              <w:rPr>
                <w:sz w:val="22"/>
                <w:szCs w:val="22"/>
              </w:rPr>
              <w:t>39,178</w:t>
            </w:r>
          </w:p>
        </w:tc>
        <w:tc>
          <w:tcPr>
            <w:tcW w:w="1705" w:type="dxa"/>
            <w:shd w:val="clear" w:color="auto" w:fill="auto"/>
            <w:noWrap/>
            <w:vAlign w:val="bottom"/>
          </w:tcPr>
          <w:p w14:paraId="4747374F" w14:textId="0F84D645" w:rsidR="0037067D" w:rsidRPr="00DE2AAB" w:rsidRDefault="0037067D" w:rsidP="00DE2AAB">
            <w:pPr>
              <w:spacing w:before="40"/>
              <w:jc w:val="right"/>
              <w:rPr>
                <w:sz w:val="22"/>
                <w:szCs w:val="22"/>
              </w:rPr>
            </w:pPr>
            <w:r w:rsidRPr="00DE2AAB">
              <w:rPr>
                <w:sz w:val="22"/>
                <w:szCs w:val="22"/>
              </w:rPr>
              <w:t>2,292</w:t>
            </w:r>
          </w:p>
        </w:tc>
      </w:tr>
      <w:tr w:rsidR="0037067D" w:rsidRPr="00866299" w14:paraId="617CB366" w14:textId="77777777" w:rsidTr="005101BC">
        <w:trPr>
          <w:trHeight w:val="283"/>
        </w:trPr>
        <w:tc>
          <w:tcPr>
            <w:tcW w:w="5490" w:type="dxa"/>
            <w:shd w:val="clear" w:color="auto" w:fill="auto"/>
            <w:noWrap/>
            <w:vAlign w:val="bottom"/>
          </w:tcPr>
          <w:p w14:paraId="2F8DEC84" w14:textId="48942A96" w:rsidR="0037067D" w:rsidRPr="00102B43" w:rsidRDefault="0037067D" w:rsidP="0037067D">
            <w:pPr>
              <w:spacing w:before="40"/>
              <w:ind w:left="170"/>
              <w:rPr>
                <w:color w:val="000000"/>
                <w:sz w:val="22"/>
                <w:szCs w:val="22"/>
                <w:lang w:bidi="he-IL"/>
              </w:rPr>
            </w:pPr>
            <w:r w:rsidRPr="00102B43">
              <w:rPr>
                <w:color w:val="000000"/>
                <w:sz w:val="22"/>
                <w:szCs w:val="22"/>
              </w:rPr>
              <w:t>Transfer from inventories</w:t>
            </w:r>
          </w:p>
        </w:tc>
        <w:tc>
          <w:tcPr>
            <w:tcW w:w="1723" w:type="dxa"/>
            <w:shd w:val="clear" w:color="auto" w:fill="auto"/>
            <w:noWrap/>
            <w:vAlign w:val="bottom"/>
          </w:tcPr>
          <w:p w14:paraId="72B745D0" w14:textId="5D89B5CD" w:rsidR="0037067D" w:rsidRPr="00DE2AAB" w:rsidRDefault="0037067D" w:rsidP="00DE2AAB">
            <w:pPr>
              <w:spacing w:before="40"/>
              <w:jc w:val="right"/>
              <w:rPr>
                <w:b/>
                <w:bCs/>
                <w:color w:val="000000"/>
                <w:sz w:val="22"/>
                <w:szCs w:val="22"/>
                <w:highlight w:val="yellow"/>
              </w:rPr>
            </w:pPr>
            <w:r w:rsidRPr="00DE2AAB">
              <w:rPr>
                <w:sz w:val="22"/>
                <w:szCs w:val="22"/>
              </w:rPr>
              <w:t>-</w:t>
            </w:r>
          </w:p>
        </w:tc>
        <w:tc>
          <w:tcPr>
            <w:tcW w:w="1705" w:type="dxa"/>
            <w:shd w:val="clear" w:color="auto" w:fill="auto"/>
            <w:noWrap/>
            <w:vAlign w:val="bottom"/>
          </w:tcPr>
          <w:p w14:paraId="7BFE2FCD" w14:textId="4B151959" w:rsidR="0037067D" w:rsidRPr="00DE2AAB" w:rsidRDefault="0037067D" w:rsidP="00DE2AAB">
            <w:pPr>
              <w:spacing w:before="40"/>
              <w:jc w:val="right"/>
              <w:rPr>
                <w:color w:val="000000"/>
                <w:sz w:val="22"/>
                <w:szCs w:val="22"/>
              </w:rPr>
            </w:pPr>
            <w:r w:rsidRPr="00DE2AAB">
              <w:rPr>
                <w:color w:val="000000"/>
                <w:sz w:val="22"/>
                <w:szCs w:val="22"/>
              </w:rPr>
              <w:t>12,592</w:t>
            </w:r>
          </w:p>
        </w:tc>
      </w:tr>
      <w:tr w:rsidR="0037067D" w:rsidRPr="00866299" w14:paraId="3E09C956" w14:textId="77777777" w:rsidTr="005101BC">
        <w:trPr>
          <w:trHeight w:val="283"/>
        </w:trPr>
        <w:tc>
          <w:tcPr>
            <w:tcW w:w="5490" w:type="dxa"/>
            <w:shd w:val="clear" w:color="auto" w:fill="auto"/>
            <w:noWrap/>
            <w:vAlign w:val="bottom"/>
          </w:tcPr>
          <w:p w14:paraId="43D068DE" w14:textId="4304E240" w:rsidR="0037067D" w:rsidRPr="00102B43" w:rsidRDefault="0037067D" w:rsidP="0037067D">
            <w:pPr>
              <w:spacing w:before="40"/>
              <w:ind w:left="170"/>
              <w:rPr>
                <w:color w:val="000000"/>
                <w:sz w:val="22"/>
                <w:szCs w:val="22"/>
              </w:rPr>
            </w:pPr>
            <w:r w:rsidRPr="00096168">
              <w:rPr>
                <w:color w:val="000000"/>
                <w:sz w:val="22"/>
                <w:szCs w:val="22"/>
              </w:rPr>
              <w:t xml:space="preserve">Transfer from investment </w:t>
            </w:r>
            <w:r w:rsidRPr="001462BF">
              <w:rPr>
                <w:color w:val="000000"/>
                <w:sz w:val="22"/>
                <w:szCs w:val="22"/>
              </w:rPr>
              <w:t>property (3)</w:t>
            </w:r>
          </w:p>
        </w:tc>
        <w:tc>
          <w:tcPr>
            <w:tcW w:w="1723" w:type="dxa"/>
            <w:shd w:val="clear" w:color="auto" w:fill="auto"/>
            <w:noWrap/>
            <w:vAlign w:val="bottom"/>
          </w:tcPr>
          <w:p w14:paraId="2D53EF2E" w14:textId="1C38A91F" w:rsidR="0037067D" w:rsidRPr="00DE2AAB" w:rsidRDefault="0037067D" w:rsidP="00DE2AAB">
            <w:pPr>
              <w:spacing w:before="40"/>
              <w:jc w:val="right"/>
              <w:rPr>
                <w:b/>
                <w:bCs/>
                <w:color w:val="000000"/>
                <w:sz w:val="22"/>
                <w:szCs w:val="22"/>
                <w:highlight w:val="yellow"/>
              </w:rPr>
            </w:pPr>
            <w:r w:rsidRPr="00DE2AAB">
              <w:rPr>
                <w:sz w:val="22"/>
                <w:szCs w:val="22"/>
              </w:rPr>
              <w:t>15,949</w:t>
            </w:r>
          </w:p>
        </w:tc>
        <w:tc>
          <w:tcPr>
            <w:tcW w:w="1705" w:type="dxa"/>
            <w:shd w:val="clear" w:color="auto" w:fill="auto"/>
            <w:noWrap/>
            <w:vAlign w:val="bottom"/>
          </w:tcPr>
          <w:p w14:paraId="080B8C15" w14:textId="02FC0ED6" w:rsidR="0037067D" w:rsidRPr="00DE2AAB" w:rsidRDefault="0037067D" w:rsidP="00DE2AAB">
            <w:pPr>
              <w:spacing w:before="40"/>
              <w:jc w:val="right"/>
              <w:rPr>
                <w:color w:val="000000"/>
                <w:sz w:val="22"/>
                <w:szCs w:val="22"/>
              </w:rPr>
            </w:pPr>
            <w:r w:rsidRPr="00DE2AAB">
              <w:rPr>
                <w:color w:val="000000"/>
                <w:sz w:val="22"/>
                <w:szCs w:val="22"/>
              </w:rPr>
              <w:t>2,571</w:t>
            </w:r>
          </w:p>
        </w:tc>
      </w:tr>
      <w:tr w:rsidR="0037067D" w:rsidRPr="00866299" w14:paraId="1104EE96" w14:textId="77777777" w:rsidTr="005101BC">
        <w:trPr>
          <w:trHeight w:val="283"/>
        </w:trPr>
        <w:tc>
          <w:tcPr>
            <w:tcW w:w="5490" w:type="dxa"/>
            <w:shd w:val="clear" w:color="auto" w:fill="auto"/>
            <w:noWrap/>
            <w:vAlign w:val="bottom"/>
            <w:hideMark/>
          </w:tcPr>
          <w:p w14:paraId="07FB2780" w14:textId="77777777" w:rsidR="0037067D" w:rsidRPr="00866299" w:rsidRDefault="0037067D" w:rsidP="0037067D">
            <w:pPr>
              <w:spacing w:before="40"/>
              <w:ind w:left="170"/>
              <w:rPr>
                <w:sz w:val="22"/>
                <w:szCs w:val="22"/>
              </w:rPr>
            </w:pPr>
            <w:r w:rsidRPr="00866299">
              <w:rPr>
                <w:color w:val="000000"/>
                <w:sz w:val="22"/>
                <w:szCs w:val="22"/>
              </w:rPr>
              <w:t>Cost capitalized</w:t>
            </w:r>
          </w:p>
        </w:tc>
        <w:tc>
          <w:tcPr>
            <w:tcW w:w="1723" w:type="dxa"/>
            <w:shd w:val="clear" w:color="auto" w:fill="auto"/>
            <w:noWrap/>
            <w:vAlign w:val="bottom"/>
          </w:tcPr>
          <w:p w14:paraId="49270C00" w14:textId="175D721F" w:rsidR="0037067D" w:rsidRPr="00DE2AAB" w:rsidRDefault="0037067D" w:rsidP="00DE2AAB">
            <w:pPr>
              <w:spacing w:before="40"/>
              <w:jc w:val="right"/>
              <w:rPr>
                <w:b/>
                <w:bCs/>
                <w:sz w:val="22"/>
                <w:szCs w:val="22"/>
                <w:highlight w:val="yellow"/>
              </w:rPr>
            </w:pPr>
            <w:r w:rsidRPr="00DE2AAB">
              <w:rPr>
                <w:sz w:val="22"/>
                <w:szCs w:val="22"/>
              </w:rPr>
              <w:t>126,418</w:t>
            </w:r>
          </w:p>
        </w:tc>
        <w:tc>
          <w:tcPr>
            <w:tcW w:w="1705" w:type="dxa"/>
            <w:shd w:val="clear" w:color="auto" w:fill="auto"/>
            <w:noWrap/>
            <w:vAlign w:val="bottom"/>
          </w:tcPr>
          <w:p w14:paraId="7A04462C" w14:textId="7E5E15D4" w:rsidR="0037067D" w:rsidRPr="00DE2AAB" w:rsidRDefault="0037067D" w:rsidP="00DE2AAB">
            <w:pPr>
              <w:spacing w:before="40"/>
              <w:jc w:val="right"/>
              <w:rPr>
                <w:sz w:val="22"/>
                <w:szCs w:val="22"/>
              </w:rPr>
            </w:pPr>
            <w:r w:rsidRPr="00DE2AAB">
              <w:rPr>
                <w:sz w:val="22"/>
                <w:szCs w:val="22"/>
              </w:rPr>
              <w:t>124,763</w:t>
            </w:r>
          </w:p>
        </w:tc>
      </w:tr>
      <w:tr w:rsidR="0037067D" w:rsidRPr="00866299" w14:paraId="4102AAA7" w14:textId="77777777" w:rsidTr="005101BC">
        <w:trPr>
          <w:trHeight w:val="283"/>
        </w:trPr>
        <w:tc>
          <w:tcPr>
            <w:tcW w:w="5490" w:type="dxa"/>
            <w:shd w:val="clear" w:color="auto" w:fill="auto"/>
            <w:noWrap/>
            <w:vAlign w:val="bottom"/>
            <w:hideMark/>
          </w:tcPr>
          <w:p w14:paraId="0541B9DA" w14:textId="77777777" w:rsidR="0037067D" w:rsidRPr="00866299" w:rsidRDefault="0037067D" w:rsidP="0037067D">
            <w:pPr>
              <w:spacing w:before="40"/>
              <w:ind w:left="170"/>
              <w:rPr>
                <w:sz w:val="22"/>
                <w:szCs w:val="22"/>
              </w:rPr>
            </w:pPr>
            <w:r w:rsidRPr="00866299">
              <w:rPr>
                <w:color w:val="000000"/>
                <w:sz w:val="22"/>
                <w:szCs w:val="22"/>
              </w:rPr>
              <w:t xml:space="preserve">Interest capitalized </w:t>
            </w:r>
          </w:p>
        </w:tc>
        <w:tc>
          <w:tcPr>
            <w:tcW w:w="1723" w:type="dxa"/>
            <w:shd w:val="clear" w:color="auto" w:fill="auto"/>
            <w:noWrap/>
            <w:vAlign w:val="bottom"/>
          </w:tcPr>
          <w:p w14:paraId="45838D01" w14:textId="66D800CA" w:rsidR="0037067D" w:rsidRPr="00DE2AAB" w:rsidRDefault="0037067D" w:rsidP="00DE2AAB">
            <w:pPr>
              <w:spacing w:before="40"/>
              <w:jc w:val="right"/>
              <w:rPr>
                <w:b/>
                <w:bCs/>
                <w:sz w:val="22"/>
                <w:szCs w:val="22"/>
                <w:highlight w:val="yellow"/>
              </w:rPr>
            </w:pPr>
            <w:r w:rsidRPr="00DE2AAB">
              <w:rPr>
                <w:sz w:val="22"/>
                <w:szCs w:val="22"/>
              </w:rPr>
              <w:t>8,914</w:t>
            </w:r>
          </w:p>
        </w:tc>
        <w:tc>
          <w:tcPr>
            <w:tcW w:w="1705" w:type="dxa"/>
            <w:shd w:val="clear" w:color="auto" w:fill="auto"/>
            <w:noWrap/>
            <w:vAlign w:val="bottom"/>
          </w:tcPr>
          <w:p w14:paraId="62C52AAA" w14:textId="756401C7" w:rsidR="0037067D" w:rsidRPr="00DE2AAB" w:rsidRDefault="0037067D" w:rsidP="00DE2AAB">
            <w:pPr>
              <w:spacing w:before="40"/>
              <w:jc w:val="right"/>
              <w:rPr>
                <w:sz w:val="22"/>
                <w:szCs w:val="22"/>
              </w:rPr>
            </w:pPr>
            <w:r w:rsidRPr="00DE2AAB">
              <w:rPr>
                <w:sz w:val="22"/>
                <w:szCs w:val="22"/>
              </w:rPr>
              <w:t>9,838</w:t>
            </w:r>
          </w:p>
        </w:tc>
      </w:tr>
      <w:tr w:rsidR="0037067D" w:rsidRPr="00866299" w14:paraId="5BCD665F" w14:textId="77777777" w:rsidTr="005101BC">
        <w:trPr>
          <w:trHeight w:val="283"/>
        </w:trPr>
        <w:tc>
          <w:tcPr>
            <w:tcW w:w="5490" w:type="dxa"/>
            <w:shd w:val="clear" w:color="auto" w:fill="auto"/>
            <w:noWrap/>
            <w:vAlign w:val="bottom"/>
          </w:tcPr>
          <w:p w14:paraId="1E599BEA" w14:textId="77777777" w:rsidR="0037067D" w:rsidRPr="00866299" w:rsidRDefault="0037067D" w:rsidP="0037067D">
            <w:pPr>
              <w:spacing w:before="40"/>
              <w:rPr>
                <w:b/>
                <w:bCs/>
                <w:color w:val="000000"/>
                <w:sz w:val="22"/>
                <w:szCs w:val="22"/>
              </w:rPr>
            </w:pPr>
            <w:r w:rsidRPr="002B698D">
              <w:rPr>
                <w:b/>
                <w:bCs/>
                <w:color w:val="000000"/>
                <w:sz w:val="22"/>
                <w:szCs w:val="22"/>
              </w:rPr>
              <w:t>Disposals</w:t>
            </w:r>
          </w:p>
        </w:tc>
        <w:tc>
          <w:tcPr>
            <w:tcW w:w="1723" w:type="dxa"/>
            <w:shd w:val="clear" w:color="auto" w:fill="auto"/>
            <w:noWrap/>
            <w:vAlign w:val="bottom"/>
          </w:tcPr>
          <w:p w14:paraId="6EBF3247" w14:textId="77777777" w:rsidR="0037067D" w:rsidRPr="00DE2AAB" w:rsidRDefault="0037067D" w:rsidP="00DE2AAB">
            <w:pPr>
              <w:spacing w:before="40"/>
              <w:jc w:val="right"/>
              <w:rPr>
                <w:b/>
                <w:bCs/>
                <w:color w:val="000000"/>
                <w:sz w:val="22"/>
                <w:szCs w:val="22"/>
                <w:highlight w:val="yellow"/>
              </w:rPr>
            </w:pPr>
          </w:p>
        </w:tc>
        <w:tc>
          <w:tcPr>
            <w:tcW w:w="1705" w:type="dxa"/>
            <w:shd w:val="clear" w:color="auto" w:fill="auto"/>
            <w:noWrap/>
            <w:vAlign w:val="bottom"/>
          </w:tcPr>
          <w:p w14:paraId="37F8B891" w14:textId="77777777" w:rsidR="0037067D" w:rsidRPr="00DE2AAB" w:rsidRDefault="0037067D" w:rsidP="00DE2AAB">
            <w:pPr>
              <w:spacing w:before="40"/>
              <w:jc w:val="right"/>
              <w:rPr>
                <w:color w:val="000000"/>
                <w:sz w:val="22"/>
                <w:szCs w:val="22"/>
              </w:rPr>
            </w:pPr>
          </w:p>
        </w:tc>
      </w:tr>
      <w:tr w:rsidR="0037067D" w:rsidRPr="00866299" w14:paraId="4CB0E613" w14:textId="77777777" w:rsidTr="005101BC">
        <w:trPr>
          <w:trHeight w:val="283"/>
        </w:trPr>
        <w:tc>
          <w:tcPr>
            <w:tcW w:w="5490" w:type="dxa"/>
            <w:shd w:val="clear" w:color="auto" w:fill="auto"/>
            <w:noWrap/>
            <w:vAlign w:val="bottom"/>
            <w:hideMark/>
          </w:tcPr>
          <w:p w14:paraId="71DD203A" w14:textId="3EB10043" w:rsidR="0037067D" w:rsidRPr="00866299" w:rsidRDefault="0037067D" w:rsidP="0037067D">
            <w:pPr>
              <w:spacing w:before="40"/>
              <w:ind w:left="170"/>
              <w:rPr>
                <w:sz w:val="22"/>
                <w:szCs w:val="22"/>
                <w:rtl/>
                <w:lang w:bidi="he-IL"/>
              </w:rPr>
            </w:pPr>
            <w:r w:rsidRPr="00866299">
              <w:rPr>
                <w:color w:val="000000"/>
                <w:sz w:val="22"/>
                <w:szCs w:val="22"/>
              </w:rPr>
              <w:t xml:space="preserve">Transfer to investment property, </w:t>
            </w:r>
            <w:r w:rsidRPr="001462BF">
              <w:rPr>
                <w:color w:val="000000"/>
                <w:sz w:val="22"/>
                <w:szCs w:val="22"/>
              </w:rPr>
              <w:t>net (see Note 5(A)(2))</w:t>
            </w:r>
          </w:p>
        </w:tc>
        <w:tc>
          <w:tcPr>
            <w:tcW w:w="1723" w:type="dxa"/>
            <w:shd w:val="clear" w:color="auto" w:fill="auto"/>
            <w:noWrap/>
            <w:vAlign w:val="bottom"/>
          </w:tcPr>
          <w:p w14:paraId="4B2A497B" w14:textId="07A3206D" w:rsidR="0037067D" w:rsidRPr="00DE2AAB" w:rsidRDefault="0037067D" w:rsidP="00DE2AAB">
            <w:pPr>
              <w:spacing w:before="40"/>
              <w:jc w:val="right"/>
              <w:rPr>
                <w:b/>
                <w:bCs/>
                <w:sz w:val="22"/>
                <w:szCs w:val="22"/>
                <w:highlight w:val="yellow"/>
              </w:rPr>
            </w:pPr>
            <w:r w:rsidRPr="00DE2AAB">
              <w:rPr>
                <w:sz w:val="22"/>
                <w:szCs w:val="22"/>
              </w:rPr>
              <w:t>(161,328)</w:t>
            </w:r>
          </w:p>
        </w:tc>
        <w:tc>
          <w:tcPr>
            <w:tcW w:w="1705" w:type="dxa"/>
            <w:shd w:val="clear" w:color="auto" w:fill="auto"/>
            <w:noWrap/>
            <w:vAlign w:val="bottom"/>
          </w:tcPr>
          <w:p w14:paraId="3051C9A1" w14:textId="13D6EFFE" w:rsidR="0037067D" w:rsidRPr="00DE2AAB" w:rsidRDefault="0037067D" w:rsidP="00DE2AAB">
            <w:pPr>
              <w:spacing w:before="40"/>
              <w:jc w:val="right"/>
              <w:rPr>
                <w:sz w:val="22"/>
                <w:szCs w:val="22"/>
              </w:rPr>
            </w:pPr>
            <w:r w:rsidRPr="00DE2AAB">
              <w:rPr>
                <w:sz w:val="22"/>
                <w:szCs w:val="22"/>
              </w:rPr>
              <w:t>(318,900)</w:t>
            </w:r>
          </w:p>
        </w:tc>
      </w:tr>
      <w:tr w:rsidR="0037067D" w:rsidRPr="00866299" w14:paraId="502ECC81" w14:textId="77777777" w:rsidTr="005101BC">
        <w:trPr>
          <w:trHeight w:val="283"/>
        </w:trPr>
        <w:tc>
          <w:tcPr>
            <w:tcW w:w="5490" w:type="dxa"/>
            <w:shd w:val="clear" w:color="auto" w:fill="auto"/>
            <w:noWrap/>
            <w:vAlign w:val="bottom"/>
          </w:tcPr>
          <w:p w14:paraId="08B98538" w14:textId="50089200" w:rsidR="0037067D" w:rsidRPr="00866299" w:rsidRDefault="0037067D" w:rsidP="0037067D">
            <w:pPr>
              <w:spacing w:before="40"/>
              <w:ind w:left="170"/>
              <w:rPr>
                <w:color w:val="000000"/>
                <w:sz w:val="22"/>
                <w:szCs w:val="22"/>
              </w:rPr>
            </w:pPr>
            <w:r w:rsidRPr="00096168">
              <w:rPr>
                <w:color w:val="000000"/>
                <w:sz w:val="22"/>
                <w:szCs w:val="22"/>
              </w:rPr>
              <w:t>Transfer to fixed asset</w:t>
            </w:r>
            <w:r>
              <w:rPr>
                <w:color w:val="000000"/>
                <w:sz w:val="22"/>
                <w:szCs w:val="22"/>
              </w:rPr>
              <w:t>s</w:t>
            </w:r>
          </w:p>
        </w:tc>
        <w:tc>
          <w:tcPr>
            <w:tcW w:w="1723" w:type="dxa"/>
            <w:shd w:val="clear" w:color="auto" w:fill="auto"/>
            <w:noWrap/>
            <w:vAlign w:val="bottom"/>
          </w:tcPr>
          <w:p w14:paraId="503862D3" w14:textId="0FE2C3E2" w:rsidR="0037067D" w:rsidRPr="00DE2AAB" w:rsidRDefault="0037067D" w:rsidP="00DE2AAB">
            <w:pPr>
              <w:spacing w:before="40"/>
              <w:jc w:val="right"/>
              <w:rPr>
                <w:b/>
                <w:bCs/>
                <w:sz w:val="22"/>
                <w:szCs w:val="22"/>
                <w:highlight w:val="yellow"/>
              </w:rPr>
            </w:pPr>
            <w:r w:rsidRPr="00DE2AAB">
              <w:rPr>
                <w:sz w:val="22"/>
                <w:szCs w:val="22"/>
              </w:rPr>
              <w:t>-</w:t>
            </w:r>
          </w:p>
        </w:tc>
        <w:tc>
          <w:tcPr>
            <w:tcW w:w="1705" w:type="dxa"/>
            <w:shd w:val="clear" w:color="auto" w:fill="auto"/>
            <w:noWrap/>
            <w:vAlign w:val="bottom"/>
          </w:tcPr>
          <w:p w14:paraId="1E341C4F" w14:textId="174E461C" w:rsidR="0037067D" w:rsidRPr="00DE2AAB" w:rsidRDefault="0037067D" w:rsidP="00DE2AAB">
            <w:pPr>
              <w:spacing w:before="40"/>
              <w:jc w:val="right"/>
              <w:rPr>
                <w:sz w:val="22"/>
                <w:szCs w:val="22"/>
                <w:lang w:bidi="he-IL"/>
              </w:rPr>
            </w:pPr>
            <w:r w:rsidRPr="00DE2AAB">
              <w:rPr>
                <w:sz w:val="22"/>
                <w:szCs w:val="22"/>
              </w:rPr>
              <w:t>(3,500)</w:t>
            </w:r>
          </w:p>
        </w:tc>
      </w:tr>
      <w:tr w:rsidR="0037067D" w:rsidRPr="00866299" w14:paraId="2E540AED" w14:textId="77777777" w:rsidTr="005101BC">
        <w:trPr>
          <w:trHeight w:val="283"/>
        </w:trPr>
        <w:tc>
          <w:tcPr>
            <w:tcW w:w="5490" w:type="dxa"/>
            <w:shd w:val="clear" w:color="auto" w:fill="auto"/>
            <w:noWrap/>
            <w:vAlign w:val="bottom"/>
          </w:tcPr>
          <w:p w14:paraId="397756C5" w14:textId="77777777" w:rsidR="0037067D" w:rsidRPr="00866299" w:rsidRDefault="0037067D" w:rsidP="0037067D">
            <w:pPr>
              <w:spacing w:before="40"/>
              <w:rPr>
                <w:b/>
                <w:bCs/>
                <w:color w:val="000000"/>
                <w:sz w:val="22"/>
                <w:szCs w:val="22"/>
              </w:rPr>
            </w:pPr>
            <w:r w:rsidRPr="002B698D">
              <w:rPr>
                <w:b/>
                <w:bCs/>
                <w:color w:val="000000"/>
                <w:sz w:val="22"/>
                <w:szCs w:val="22"/>
              </w:rPr>
              <w:t>Other</w:t>
            </w:r>
          </w:p>
        </w:tc>
        <w:tc>
          <w:tcPr>
            <w:tcW w:w="1723" w:type="dxa"/>
            <w:shd w:val="clear" w:color="auto" w:fill="auto"/>
            <w:noWrap/>
            <w:vAlign w:val="bottom"/>
          </w:tcPr>
          <w:p w14:paraId="3248A4AD" w14:textId="77777777" w:rsidR="0037067D" w:rsidRPr="00DE2AAB" w:rsidRDefault="0037067D" w:rsidP="00DE2AAB">
            <w:pPr>
              <w:spacing w:before="40"/>
              <w:jc w:val="right"/>
              <w:rPr>
                <w:b/>
                <w:bCs/>
                <w:color w:val="000000"/>
                <w:sz w:val="22"/>
                <w:szCs w:val="22"/>
                <w:highlight w:val="yellow"/>
              </w:rPr>
            </w:pPr>
          </w:p>
        </w:tc>
        <w:tc>
          <w:tcPr>
            <w:tcW w:w="1705" w:type="dxa"/>
            <w:shd w:val="clear" w:color="auto" w:fill="auto"/>
            <w:noWrap/>
            <w:vAlign w:val="bottom"/>
          </w:tcPr>
          <w:p w14:paraId="27E243E9" w14:textId="77777777" w:rsidR="0037067D" w:rsidRPr="00DE2AAB" w:rsidRDefault="0037067D" w:rsidP="00DE2AAB">
            <w:pPr>
              <w:spacing w:before="40"/>
              <w:jc w:val="right"/>
              <w:rPr>
                <w:color w:val="000000"/>
                <w:sz w:val="22"/>
                <w:szCs w:val="22"/>
              </w:rPr>
            </w:pPr>
          </w:p>
        </w:tc>
      </w:tr>
      <w:tr w:rsidR="0037067D" w:rsidRPr="00866299" w14:paraId="5EB3B662" w14:textId="77777777" w:rsidTr="005101BC">
        <w:trPr>
          <w:trHeight w:val="283"/>
        </w:trPr>
        <w:tc>
          <w:tcPr>
            <w:tcW w:w="5490" w:type="dxa"/>
            <w:shd w:val="clear" w:color="auto" w:fill="auto"/>
            <w:noWrap/>
            <w:vAlign w:val="bottom"/>
            <w:hideMark/>
          </w:tcPr>
          <w:p w14:paraId="6933F24C" w14:textId="32E8E584" w:rsidR="0037067D" w:rsidRPr="00866299" w:rsidRDefault="0037067D" w:rsidP="0037067D">
            <w:pPr>
              <w:spacing w:before="40"/>
              <w:ind w:left="170"/>
              <w:rPr>
                <w:sz w:val="22"/>
                <w:szCs w:val="22"/>
              </w:rPr>
            </w:pPr>
            <w:r w:rsidRPr="008D5D38">
              <w:rPr>
                <w:color w:val="000000"/>
                <w:sz w:val="22"/>
                <w:szCs w:val="22"/>
              </w:rPr>
              <w:t xml:space="preserve">Fair value adjustments </w:t>
            </w:r>
          </w:p>
        </w:tc>
        <w:tc>
          <w:tcPr>
            <w:tcW w:w="1723" w:type="dxa"/>
            <w:shd w:val="clear" w:color="auto" w:fill="auto"/>
            <w:noWrap/>
            <w:vAlign w:val="bottom"/>
          </w:tcPr>
          <w:p w14:paraId="08E34366" w14:textId="43BE3123" w:rsidR="0037067D" w:rsidRPr="00DE2AAB" w:rsidRDefault="0037067D" w:rsidP="00DE2AAB">
            <w:pPr>
              <w:spacing w:before="40"/>
              <w:jc w:val="right"/>
              <w:rPr>
                <w:b/>
                <w:bCs/>
                <w:sz w:val="22"/>
                <w:szCs w:val="22"/>
                <w:highlight w:val="yellow"/>
              </w:rPr>
            </w:pPr>
            <w:r w:rsidRPr="00DE2AAB">
              <w:rPr>
                <w:sz w:val="22"/>
                <w:szCs w:val="22"/>
              </w:rPr>
              <w:t>6,246</w:t>
            </w:r>
          </w:p>
        </w:tc>
        <w:tc>
          <w:tcPr>
            <w:tcW w:w="1705" w:type="dxa"/>
            <w:shd w:val="clear" w:color="auto" w:fill="auto"/>
            <w:noWrap/>
            <w:vAlign w:val="bottom"/>
          </w:tcPr>
          <w:p w14:paraId="119D6837" w14:textId="4186C332" w:rsidR="0037067D" w:rsidRPr="00DE2AAB" w:rsidRDefault="0037067D" w:rsidP="00DE2AAB">
            <w:pPr>
              <w:spacing w:before="40"/>
              <w:jc w:val="right"/>
              <w:rPr>
                <w:sz w:val="22"/>
                <w:szCs w:val="22"/>
              </w:rPr>
            </w:pPr>
            <w:r w:rsidRPr="00DE2AAB">
              <w:rPr>
                <w:sz w:val="22"/>
                <w:szCs w:val="22"/>
              </w:rPr>
              <w:t>6,297</w:t>
            </w:r>
          </w:p>
        </w:tc>
      </w:tr>
      <w:tr w:rsidR="0037067D" w:rsidRPr="00866299" w14:paraId="120A4C17" w14:textId="77777777" w:rsidTr="005101BC">
        <w:trPr>
          <w:trHeight w:val="283"/>
        </w:trPr>
        <w:tc>
          <w:tcPr>
            <w:tcW w:w="5490" w:type="dxa"/>
            <w:shd w:val="clear" w:color="auto" w:fill="auto"/>
            <w:noWrap/>
            <w:vAlign w:val="bottom"/>
            <w:hideMark/>
          </w:tcPr>
          <w:p w14:paraId="2F68B47B" w14:textId="77777777" w:rsidR="0037067D" w:rsidRPr="00866299" w:rsidRDefault="0037067D" w:rsidP="0037067D">
            <w:pPr>
              <w:spacing w:before="40"/>
              <w:ind w:left="170"/>
              <w:rPr>
                <w:sz w:val="22"/>
                <w:szCs w:val="22"/>
              </w:rPr>
            </w:pPr>
            <w:r w:rsidRPr="00866299">
              <w:rPr>
                <w:color w:val="000000"/>
                <w:sz w:val="22"/>
                <w:szCs w:val="22"/>
              </w:rPr>
              <w:t>Effect of movement in foreign exchange</w:t>
            </w:r>
          </w:p>
        </w:tc>
        <w:tc>
          <w:tcPr>
            <w:tcW w:w="1723" w:type="dxa"/>
            <w:shd w:val="clear" w:color="auto" w:fill="auto"/>
            <w:noWrap/>
            <w:vAlign w:val="bottom"/>
          </w:tcPr>
          <w:p w14:paraId="5EE09538" w14:textId="4A086748" w:rsidR="0037067D" w:rsidRPr="00DE2AAB" w:rsidRDefault="0037067D" w:rsidP="00DE2AAB">
            <w:pPr>
              <w:pBdr>
                <w:bottom w:val="single" w:sz="4" w:space="0" w:color="000000"/>
              </w:pBdr>
              <w:spacing w:before="40"/>
              <w:jc w:val="right"/>
              <w:rPr>
                <w:b/>
                <w:bCs/>
                <w:sz w:val="22"/>
                <w:szCs w:val="22"/>
                <w:highlight w:val="yellow"/>
              </w:rPr>
            </w:pPr>
            <w:r w:rsidRPr="00DE2AAB">
              <w:rPr>
                <w:sz w:val="22"/>
                <w:szCs w:val="22"/>
              </w:rPr>
              <w:t>1,175</w:t>
            </w:r>
          </w:p>
        </w:tc>
        <w:tc>
          <w:tcPr>
            <w:tcW w:w="1705" w:type="dxa"/>
            <w:shd w:val="clear" w:color="auto" w:fill="auto"/>
            <w:noWrap/>
            <w:vAlign w:val="bottom"/>
          </w:tcPr>
          <w:p w14:paraId="68C96A92" w14:textId="6141CDD2" w:rsidR="0037067D" w:rsidRPr="00DE2AAB" w:rsidRDefault="0037067D" w:rsidP="00DE2AAB">
            <w:pPr>
              <w:pBdr>
                <w:bottom w:val="single" w:sz="4" w:space="0" w:color="000000"/>
              </w:pBdr>
              <w:spacing w:before="40"/>
              <w:jc w:val="right"/>
              <w:rPr>
                <w:sz w:val="22"/>
                <w:szCs w:val="22"/>
              </w:rPr>
            </w:pPr>
            <w:r w:rsidRPr="00DE2AAB">
              <w:rPr>
                <w:sz w:val="22"/>
                <w:szCs w:val="22"/>
              </w:rPr>
              <w:t>3,177</w:t>
            </w:r>
          </w:p>
        </w:tc>
      </w:tr>
      <w:tr w:rsidR="0037067D" w:rsidRPr="00866299" w14:paraId="5F59514B" w14:textId="77777777" w:rsidTr="005101BC">
        <w:trPr>
          <w:trHeight w:val="283"/>
        </w:trPr>
        <w:tc>
          <w:tcPr>
            <w:tcW w:w="5490" w:type="dxa"/>
            <w:shd w:val="clear" w:color="auto" w:fill="auto"/>
            <w:noWrap/>
            <w:vAlign w:val="bottom"/>
            <w:hideMark/>
          </w:tcPr>
          <w:p w14:paraId="3015DB29" w14:textId="77777777" w:rsidR="0037067D" w:rsidRPr="00866299" w:rsidRDefault="0037067D" w:rsidP="0037067D">
            <w:pPr>
              <w:spacing w:before="40"/>
              <w:rPr>
                <w:b/>
                <w:bCs/>
                <w:sz w:val="22"/>
                <w:szCs w:val="22"/>
              </w:rPr>
            </w:pPr>
            <w:r w:rsidRPr="00866299">
              <w:rPr>
                <w:b/>
                <w:bCs/>
                <w:color w:val="000000"/>
                <w:sz w:val="22"/>
                <w:szCs w:val="22"/>
              </w:rPr>
              <w:t xml:space="preserve">Balance </w:t>
            </w:r>
            <w:proofErr w:type="gramStart"/>
            <w:r w:rsidRPr="00866299">
              <w:rPr>
                <w:b/>
                <w:bCs/>
                <w:color w:val="000000"/>
                <w:sz w:val="22"/>
                <w:szCs w:val="22"/>
              </w:rPr>
              <w:t>at</w:t>
            </w:r>
            <w:proofErr w:type="gramEnd"/>
            <w:r w:rsidRPr="00866299">
              <w:rPr>
                <w:b/>
                <w:bCs/>
                <w:color w:val="000000"/>
                <w:sz w:val="22"/>
                <w:szCs w:val="22"/>
              </w:rPr>
              <w:t xml:space="preserve"> December 31</w:t>
            </w:r>
          </w:p>
        </w:tc>
        <w:tc>
          <w:tcPr>
            <w:tcW w:w="1723" w:type="dxa"/>
            <w:shd w:val="clear" w:color="auto" w:fill="auto"/>
            <w:noWrap/>
            <w:vAlign w:val="bottom"/>
          </w:tcPr>
          <w:p w14:paraId="51856E56" w14:textId="259BBBE9" w:rsidR="0037067D" w:rsidRPr="00DE2AAB" w:rsidRDefault="0037067D" w:rsidP="00DE2AAB">
            <w:pPr>
              <w:pBdr>
                <w:bottom w:val="double" w:sz="4" w:space="0" w:color="000000"/>
              </w:pBdr>
              <w:spacing w:before="40"/>
              <w:jc w:val="right"/>
              <w:rPr>
                <w:b/>
                <w:bCs/>
                <w:sz w:val="22"/>
                <w:szCs w:val="22"/>
                <w:highlight w:val="yellow"/>
              </w:rPr>
            </w:pPr>
            <w:r w:rsidRPr="00DE2AAB">
              <w:rPr>
                <w:sz w:val="22"/>
                <w:szCs w:val="22"/>
              </w:rPr>
              <w:t>328,649</w:t>
            </w:r>
          </w:p>
        </w:tc>
        <w:tc>
          <w:tcPr>
            <w:tcW w:w="1705" w:type="dxa"/>
            <w:shd w:val="clear" w:color="auto" w:fill="auto"/>
            <w:noWrap/>
            <w:vAlign w:val="bottom"/>
          </w:tcPr>
          <w:p w14:paraId="06E6CD29" w14:textId="7770A813" w:rsidR="0037067D" w:rsidRPr="00DE2AAB" w:rsidRDefault="0037067D" w:rsidP="00DE2AAB">
            <w:pPr>
              <w:pBdr>
                <w:bottom w:val="double" w:sz="4" w:space="0" w:color="000000"/>
              </w:pBdr>
              <w:spacing w:before="40"/>
              <w:jc w:val="right"/>
              <w:rPr>
                <w:sz w:val="22"/>
                <w:szCs w:val="22"/>
              </w:rPr>
            </w:pPr>
            <w:r w:rsidRPr="00DE2AAB">
              <w:rPr>
                <w:sz w:val="22"/>
                <w:szCs w:val="22"/>
              </w:rPr>
              <w:t>292,097</w:t>
            </w:r>
          </w:p>
        </w:tc>
      </w:tr>
    </w:tbl>
    <w:p w14:paraId="248C65EC" w14:textId="77777777" w:rsidR="00C92456" w:rsidRDefault="00C92456" w:rsidP="00C92456">
      <w:pPr>
        <w:ind w:left="1080"/>
        <w:jc w:val="both"/>
        <w:rPr>
          <w:sz w:val="22"/>
          <w:szCs w:val="18"/>
        </w:rPr>
      </w:pPr>
    </w:p>
    <w:p w14:paraId="47F75877" w14:textId="4BA1A0EA" w:rsidR="00E64F80" w:rsidRDefault="00E64F80" w:rsidP="00DE2AAB">
      <w:pPr>
        <w:pStyle w:val="af2"/>
        <w:numPr>
          <w:ilvl w:val="0"/>
          <w:numId w:val="40"/>
        </w:numPr>
        <w:ind w:left="927"/>
        <w:jc w:val="both"/>
        <w:rPr>
          <w:rFonts w:asciiTheme="majorBidi" w:hAnsiTheme="majorBidi" w:cstheme="majorBidi"/>
          <w:sz w:val="22"/>
          <w:szCs w:val="22"/>
        </w:rPr>
      </w:pPr>
      <w:r>
        <w:rPr>
          <w:rFonts w:asciiTheme="majorBidi" w:hAnsiTheme="majorBidi" w:cstheme="majorBidi"/>
          <w:sz w:val="22"/>
          <w:szCs w:val="22"/>
        </w:rPr>
        <w:t xml:space="preserve">On </w:t>
      </w:r>
      <w:r w:rsidRPr="00AF7F54">
        <w:rPr>
          <w:rFonts w:asciiTheme="majorBidi" w:hAnsiTheme="majorBidi" w:cstheme="majorBidi"/>
          <w:sz w:val="22"/>
          <w:szCs w:val="22"/>
        </w:rPr>
        <w:t xml:space="preserve">August 19, </w:t>
      </w:r>
      <w:proofErr w:type="gramStart"/>
      <w:r w:rsidRPr="00AF7F54">
        <w:rPr>
          <w:rFonts w:asciiTheme="majorBidi" w:hAnsiTheme="majorBidi" w:cstheme="majorBidi"/>
          <w:sz w:val="22"/>
          <w:szCs w:val="22"/>
        </w:rPr>
        <w:t>2024</w:t>
      </w:r>
      <w:proofErr w:type="gramEnd"/>
      <w:r w:rsidRPr="00AF7F54">
        <w:rPr>
          <w:rFonts w:asciiTheme="majorBidi" w:hAnsiTheme="majorBidi" w:cstheme="majorBidi"/>
          <w:sz w:val="22"/>
          <w:szCs w:val="22"/>
        </w:rPr>
        <w:t xml:space="preserve"> the </w:t>
      </w:r>
      <w:r w:rsidR="005C1ED8">
        <w:rPr>
          <w:rFonts w:asciiTheme="majorBidi" w:hAnsiTheme="majorBidi" w:cstheme="majorBidi"/>
          <w:sz w:val="22"/>
          <w:szCs w:val="22"/>
        </w:rPr>
        <w:t>G</w:t>
      </w:r>
      <w:r w:rsidRPr="00AF7F54">
        <w:rPr>
          <w:rFonts w:asciiTheme="majorBidi" w:hAnsiTheme="majorBidi" w:cstheme="majorBidi"/>
          <w:sz w:val="22"/>
          <w:szCs w:val="22"/>
        </w:rPr>
        <w:t>roup signed a sale-purchase agreement pursuant to which it acquired an inoperative office building at the city center of Bucharest, Romania, with a building permit allowing its redevelopment into a modern office building</w:t>
      </w:r>
      <w:r w:rsidR="00636024" w:rsidRPr="00636024">
        <w:rPr>
          <w:rFonts w:asciiTheme="majorBidi" w:hAnsiTheme="majorBidi" w:cstheme="majorBidi"/>
          <w:sz w:val="22"/>
          <w:szCs w:val="22"/>
        </w:rPr>
        <w:t xml:space="preserve"> </w:t>
      </w:r>
      <w:r w:rsidR="00636024" w:rsidRPr="00AF7F54">
        <w:rPr>
          <w:rFonts w:asciiTheme="majorBidi" w:hAnsiTheme="majorBidi" w:cstheme="majorBidi"/>
          <w:sz w:val="22"/>
          <w:szCs w:val="22"/>
        </w:rPr>
        <w:t>with 26,065 sqm GLA</w:t>
      </w:r>
      <w:r w:rsidRPr="00AF7F54">
        <w:rPr>
          <w:rFonts w:asciiTheme="majorBidi" w:hAnsiTheme="majorBidi" w:cstheme="majorBidi"/>
          <w:sz w:val="22"/>
          <w:szCs w:val="22"/>
        </w:rPr>
        <w:t xml:space="preserve"> </w:t>
      </w:r>
      <w:r w:rsidR="00636024">
        <w:rPr>
          <w:rFonts w:asciiTheme="majorBidi" w:hAnsiTheme="majorBidi" w:cstheme="majorBidi"/>
          <w:sz w:val="22"/>
          <w:szCs w:val="22"/>
        </w:rPr>
        <w:t>for a purchase price of</w:t>
      </w:r>
      <w:r w:rsidRPr="00AF7F54">
        <w:rPr>
          <w:rFonts w:asciiTheme="majorBidi" w:hAnsiTheme="majorBidi" w:cstheme="majorBidi"/>
          <w:sz w:val="22"/>
          <w:szCs w:val="22"/>
        </w:rPr>
        <w:t xml:space="preserve"> EUR 27.45 million.</w:t>
      </w:r>
    </w:p>
    <w:p w14:paraId="141F0B4F" w14:textId="77777777" w:rsidR="004E3C1F" w:rsidRPr="00E11F66" w:rsidRDefault="004E3C1F" w:rsidP="00DE2AAB">
      <w:pPr>
        <w:jc w:val="both"/>
        <w:rPr>
          <w:rFonts w:asciiTheme="majorBidi" w:hAnsiTheme="majorBidi" w:cstheme="majorBidi"/>
          <w:sz w:val="22"/>
          <w:szCs w:val="22"/>
        </w:rPr>
      </w:pPr>
    </w:p>
    <w:p w14:paraId="1FEA7EB1" w14:textId="41A3D4CE" w:rsidR="00EE34BA" w:rsidRPr="00E11F66" w:rsidRDefault="00EE34BA" w:rsidP="00DE2AAB">
      <w:pPr>
        <w:pStyle w:val="af2"/>
        <w:numPr>
          <w:ilvl w:val="0"/>
          <w:numId w:val="40"/>
        </w:numPr>
        <w:ind w:left="927"/>
        <w:jc w:val="both"/>
        <w:rPr>
          <w:rFonts w:asciiTheme="majorBidi" w:hAnsiTheme="majorBidi" w:cstheme="majorBidi"/>
          <w:sz w:val="22"/>
          <w:szCs w:val="22"/>
        </w:rPr>
      </w:pPr>
      <w:r w:rsidRPr="00E11F66">
        <w:rPr>
          <w:rFonts w:asciiTheme="majorBidi" w:hAnsiTheme="majorBidi" w:cstheme="majorBidi"/>
          <w:sz w:val="22"/>
          <w:szCs w:val="22"/>
        </w:rPr>
        <w:t xml:space="preserve">On August </w:t>
      </w:r>
      <w:r w:rsidR="00622386" w:rsidRPr="00E11F66">
        <w:rPr>
          <w:rFonts w:asciiTheme="majorBidi" w:hAnsiTheme="majorBidi" w:cstheme="majorBidi"/>
          <w:sz w:val="22"/>
          <w:szCs w:val="22"/>
        </w:rPr>
        <w:t>20,</w:t>
      </w:r>
      <w:r w:rsidRPr="00E11F66">
        <w:rPr>
          <w:rFonts w:asciiTheme="majorBidi" w:hAnsiTheme="majorBidi" w:cstheme="majorBidi"/>
          <w:sz w:val="22"/>
          <w:szCs w:val="22"/>
        </w:rPr>
        <w:t xml:space="preserve"> 2024 </w:t>
      </w:r>
      <w:r w:rsidR="00461232" w:rsidRPr="00E11F66">
        <w:rPr>
          <w:rFonts w:asciiTheme="majorBidi" w:hAnsiTheme="majorBidi" w:cstheme="majorBidi"/>
          <w:sz w:val="22"/>
          <w:szCs w:val="22"/>
        </w:rPr>
        <w:t xml:space="preserve">a Polish subsidiary of the Company signed a preliminary purchase agreement for the acquisition of a land plot of approx. </w:t>
      </w:r>
      <w:r w:rsidR="00622386" w:rsidRPr="00E11F66">
        <w:rPr>
          <w:rFonts w:asciiTheme="majorBidi" w:hAnsiTheme="majorBidi" w:cstheme="majorBidi"/>
          <w:sz w:val="22"/>
          <w:szCs w:val="22"/>
        </w:rPr>
        <w:t>5,428</w:t>
      </w:r>
      <w:r w:rsidR="00461232" w:rsidRPr="00E11F66">
        <w:rPr>
          <w:rFonts w:asciiTheme="majorBidi" w:hAnsiTheme="majorBidi" w:cstheme="majorBidi"/>
          <w:sz w:val="22"/>
          <w:szCs w:val="22"/>
        </w:rPr>
        <w:t xml:space="preserve"> sqm in Wroclaw, Poland, with a view to developing thereon a residential-for-rent project, for a purchase price of PLN 50</w:t>
      </w:r>
      <w:r w:rsidR="008439D5">
        <w:rPr>
          <w:rFonts w:asciiTheme="majorBidi" w:hAnsiTheme="majorBidi" w:cstheme="majorBidi"/>
          <w:sz w:val="22"/>
          <w:szCs w:val="22"/>
        </w:rPr>
        <w:t>.</w:t>
      </w:r>
      <w:r w:rsidR="00461232" w:rsidRPr="00E11F66">
        <w:rPr>
          <w:rFonts w:asciiTheme="majorBidi" w:hAnsiTheme="majorBidi" w:cstheme="majorBidi"/>
          <w:sz w:val="22"/>
          <w:szCs w:val="22"/>
        </w:rPr>
        <w:t>5</w:t>
      </w:r>
      <w:r w:rsidR="008439D5">
        <w:rPr>
          <w:rFonts w:asciiTheme="majorBidi" w:hAnsiTheme="majorBidi" w:cstheme="majorBidi"/>
          <w:sz w:val="22"/>
          <w:szCs w:val="22"/>
        </w:rPr>
        <w:t xml:space="preserve"> million</w:t>
      </w:r>
      <w:r w:rsidR="00461232" w:rsidRPr="00E11F66">
        <w:rPr>
          <w:rFonts w:asciiTheme="majorBidi" w:hAnsiTheme="majorBidi" w:cstheme="majorBidi"/>
          <w:sz w:val="22"/>
          <w:szCs w:val="22"/>
        </w:rPr>
        <w:t xml:space="preserve"> (equivalent to approx. EUR </w:t>
      </w:r>
      <w:r w:rsidR="00622386" w:rsidRPr="00E11F66">
        <w:rPr>
          <w:rFonts w:asciiTheme="majorBidi" w:hAnsiTheme="majorBidi" w:cstheme="majorBidi"/>
          <w:sz w:val="22"/>
          <w:szCs w:val="22"/>
        </w:rPr>
        <w:t>11.9</w:t>
      </w:r>
      <w:r w:rsidR="00461232" w:rsidRPr="00E11F66">
        <w:rPr>
          <w:rFonts w:asciiTheme="majorBidi" w:hAnsiTheme="majorBidi" w:cstheme="majorBidi"/>
          <w:sz w:val="22"/>
          <w:szCs w:val="22"/>
        </w:rPr>
        <w:t xml:space="preserve"> million), 10% of which was paid upon signing that agreement, and the remaining 90% was paid upon completion of the transaction and signing the final purchase agreement</w:t>
      </w:r>
      <w:r w:rsidR="00E83ABC" w:rsidRPr="00E11F66">
        <w:rPr>
          <w:rFonts w:asciiTheme="majorBidi" w:hAnsiTheme="majorBidi" w:cstheme="majorBidi"/>
          <w:sz w:val="22"/>
          <w:szCs w:val="22"/>
        </w:rPr>
        <w:t xml:space="preserve"> on December </w:t>
      </w:r>
      <w:r w:rsidR="00622386" w:rsidRPr="00E11F66">
        <w:rPr>
          <w:rFonts w:asciiTheme="majorBidi" w:hAnsiTheme="majorBidi" w:cstheme="majorBidi"/>
          <w:sz w:val="22"/>
          <w:szCs w:val="22"/>
        </w:rPr>
        <w:t>12</w:t>
      </w:r>
      <w:r w:rsidR="00E83ABC" w:rsidRPr="00E11F66">
        <w:rPr>
          <w:rFonts w:asciiTheme="majorBidi" w:hAnsiTheme="majorBidi" w:cstheme="majorBidi"/>
          <w:sz w:val="22"/>
          <w:szCs w:val="22"/>
        </w:rPr>
        <w:t>, 2024.</w:t>
      </w:r>
    </w:p>
    <w:p w14:paraId="020B2219" w14:textId="77777777" w:rsidR="00EE34BA" w:rsidRPr="00E11F66" w:rsidRDefault="00EE34BA" w:rsidP="00DE2AAB">
      <w:pPr>
        <w:pStyle w:val="af2"/>
        <w:ind w:left="207"/>
        <w:rPr>
          <w:sz w:val="22"/>
          <w:szCs w:val="18"/>
        </w:rPr>
      </w:pPr>
    </w:p>
    <w:p w14:paraId="4BE57517" w14:textId="29825E85" w:rsidR="008E72C2" w:rsidRPr="00E11F66" w:rsidRDefault="00042AEA" w:rsidP="00DE2AAB">
      <w:pPr>
        <w:pStyle w:val="af2"/>
        <w:numPr>
          <w:ilvl w:val="0"/>
          <w:numId w:val="40"/>
        </w:numPr>
        <w:ind w:left="927"/>
        <w:jc w:val="both"/>
        <w:rPr>
          <w:rFonts w:asciiTheme="majorBidi" w:hAnsiTheme="majorBidi" w:cstheme="majorBidi"/>
          <w:sz w:val="22"/>
          <w:szCs w:val="22"/>
        </w:rPr>
      </w:pPr>
      <w:r w:rsidRPr="00E11F66">
        <w:rPr>
          <w:sz w:val="22"/>
          <w:szCs w:val="18"/>
        </w:rPr>
        <w:t xml:space="preserve">During </w:t>
      </w:r>
      <w:r w:rsidR="0076764A" w:rsidRPr="00E11F66">
        <w:rPr>
          <w:sz w:val="22"/>
          <w:szCs w:val="18"/>
        </w:rPr>
        <w:t>20</w:t>
      </w:r>
      <w:r w:rsidR="001A17CA" w:rsidRPr="00E11F66">
        <w:rPr>
          <w:sz w:val="22"/>
          <w:szCs w:val="18"/>
          <w:lang w:bidi="he-IL"/>
        </w:rPr>
        <w:t>24</w:t>
      </w:r>
      <w:r w:rsidRPr="00E11F66">
        <w:rPr>
          <w:sz w:val="22"/>
          <w:szCs w:val="18"/>
        </w:rPr>
        <w:t xml:space="preserve">, the Group </w:t>
      </w:r>
      <w:r w:rsidR="00DB0B1F" w:rsidRPr="00E11F66">
        <w:rPr>
          <w:sz w:val="22"/>
          <w:szCs w:val="18"/>
          <w:lang w:bidi="he-IL"/>
        </w:rPr>
        <w:t>reclassified</w:t>
      </w:r>
      <w:r w:rsidR="004E3C1F" w:rsidRPr="00E11F66">
        <w:rPr>
          <w:sz w:val="22"/>
          <w:szCs w:val="18"/>
        </w:rPr>
        <w:t xml:space="preserve"> </w:t>
      </w:r>
      <w:r w:rsidR="00DB0B1F" w:rsidRPr="00E11F66">
        <w:rPr>
          <w:sz w:val="22"/>
          <w:szCs w:val="18"/>
          <w:lang w:bidi="he-IL"/>
        </w:rPr>
        <w:t>a</w:t>
      </w:r>
      <w:r w:rsidR="004E3C1F" w:rsidRPr="00E11F66">
        <w:rPr>
          <w:sz w:val="22"/>
          <w:szCs w:val="18"/>
          <w:lang w:bidi="he-IL"/>
        </w:rPr>
        <w:t>n office building which is planned to be redeveloped as a</w:t>
      </w:r>
      <w:r w:rsidR="00873774" w:rsidRPr="00E11F66">
        <w:rPr>
          <w:sz w:val="22"/>
          <w:szCs w:val="18"/>
          <w:lang w:bidi="he-IL"/>
        </w:rPr>
        <w:t xml:space="preserve"> mixed-use</w:t>
      </w:r>
      <w:r w:rsidR="00AF5342" w:rsidRPr="00E11F66">
        <w:rPr>
          <w:sz w:val="22"/>
          <w:szCs w:val="18"/>
        </w:rPr>
        <w:t xml:space="preserve"> residential and commercial project in Warsaw</w:t>
      </w:r>
      <w:r w:rsidR="008E72C2" w:rsidRPr="00E11F66">
        <w:rPr>
          <w:sz w:val="22"/>
          <w:szCs w:val="18"/>
        </w:rPr>
        <w:t>,</w:t>
      </w:r>
      <w:r w:rsidR="00096168" w:rsidRPr="00E11F66">
        <w:rPr>
          <w:sz w:val="22"/>
          <w:szCs w:val="18"/>
        </w:rPr>
        <w:t xml:space="preserve"> </w:t>
      </w:r>
      <w:r w:rsidR="00AF5342" w:rsidRPr="00E11F66">
        <w:rPr>
          <w:sz w:val="22"/>
          <w:szCs w:val="18"/>
        </w:rPr>
        <w:t>Poland</w:t>
      </w:r>
      <w:r w:rsidR="008E72C2" w:rsidRPr="00E11F66">
        <w:rPr>
          <w:sz w:val="22"/>
          <w:szCs w:val="18"/>
        </w:rPr>
        <w:t xml:space="preserve"> </w:t>
      </w:r>
      <w:r w:rsidR="00AF5342" w:rsidRPr="00E11F66">
        <w:rPr>
          <w:sz w:val="22"/>
          <w:szCs w:val="18"/>
        </w:rPr>
        <w:t xml:space="preserve">comprising 73 apartments for rent with 3,600 sqm </w:t>
      </w:r>
      <w:r w:rsidR="008E72C2" w:rsidRPr="00E11F66">
        <w:rPr>
          <w:sz w:val="22"/>
          <w:szCs w:val="18"/>
        </w:rPr>
        <w:t>GLA</w:t>
      </w:r>
      <w:r w:rsidR="00AF5342" w:rsidRPr="00E11F66">
        <w:rPr>
          <w:sz w:val="22"/>
          <w:szCs w:val="18"/>
        </w:rPr>
        <w:t xml:space="preserve"> and 1,140 sqm of commercial area</w:t>
      </w:r>
      <w:r w:rsidR="004E3C1F" w:rsidRPr="00E11F66">
        <w:rPr>
          <w:sz w:val="22"/>
          <w:szCs w:val="18"/>
        </w:rPr>
        <w:t>, from investment property to investment property under development</w:t>
      </w:r>
      <w:r w:rsidR="001462BF">
        <w:rPr>
          <w:sz w:val="22"/>
          <w:szCs w:val="18"/>
        </w:rPr>
        <w:t>,</w:t>
      </w:r>
      <w:r w:rsidR="004E3C1F" w:rsidRPr="00E11F66">
        <w:rPr>
          <w:sz w:val="22"/>
          <w:szCs w:val="18"/>
        </w:rPr>
        <w:t xml:space="preserve"> </w:t>
      </w:r>
      <w:r w:rsidR="008E72C2" w:rsidRPr="00E11F66">
        <w:rPr>
          <w:sz w:val="22"/>
          <w:szCs w:val="18"/>
        </w:rPr>
        <w:t xml:space="preserve">in the amount EUR </w:t>
      </w:r>
      <w:r w:rsidR="00AF5342" w:rsidRPr="00E11F66">
        <w:rPr>
          <w:sz w:val="22"/>
          <w:szCs w:val="18"/>
        </w:rPr>
        <w:t>16</w:t>
      </w:r>
      <w:r w:rsidR="008E72C2" w:rsidRPr="00E11F66">
        <w:rPr>
          <w:sz w:val="22"/>
          <w:szCs w:val="18"/>
        </w:rPr>
        <w:t xml:space="preserve"> million. </w:t>
      </w:r>
    </w:p>
    <w:p w14:paraId="6ECD3C4F" w14:textId="77777777" w:rsidR="00284F54" w:rsidRPr="00E11F66" w:rsidRDefault="00284F54" w:rsidP="00164266">
      <w:pPr>
        <w:pStyle w:val="af2"/>
        <w:ind w:left="1854"/>
        <w:jc w:val="both"/>
        <w:rPr>
          <w:sz w:val="22"/>
          <w:szCs w:val="18"/>
        </w:rPr>
      </w:pPr>
    </w:p>
    <w:p w14:paraId="18A830BA" w14:textId="77777777" w:rsidR="002F0744" w:rsidRPr="00F02921" w:rsidRDefault="002F0744" w:rsidP="000B59AD">
      <w:pPr>
        <w:ind w:left="567" w:hanging="567"/>
        <w:jc w:val="both"/>
        <w:outlineLvl w:val="3"/>
        <w:rPr>
          <w:b/>
          <w:bCs/>
          <w:sz w:val="22"/>
          <w:szCs w:val="22"/>
        </w:rPr>
      </w:pPr>
      <w:r w:rsidRPr="00E11F66">
        <w:rPr>
          <w:b/>
          <w:bCs/>
          <w:sz w:val="22"/>
          <w:szCs w:val="22"/>
        </w:rPr>
        <w:t>B.</w:t>
      </w:r>
      <w:r w:rsidRPr="00E11F66">
        <w:rPr>
          <w:b/>
          <w:bCs/>
          <w:sz w:val="22"/>
          <w:szCs w:val="22"/>
        </w:rPr>
        <w:tab/>
        <w:t>Measurement of fair value</w:t>
      </w:r>
      <w:r w:rsidRPr="00F02921">
        <w:rPr>
          <w:b/>
          <w:bCs/>
          <w:sz w:val="22"/>
          <w:szCs w:val="22"/>
        </w:rPr>
        <w:t xml:space="preserve"> </w:t>
      </w:r>
    </w:p>
    <w:p w14:paraId="0762201F" w14:textId="77777777" w:rsidR="002F0744" w:rsidRPr="00F02921" w:rsidRDefault="002F0744" w:rsidP="002F0744">
      <w:pPr>
        <w:ind w:left="567"/>
        <w:jc w:val="both"/>
        <w:rPr>
          <w:b/>
          <w:bCs/>
          <w:sz w:val="26"/>
          <w:szCs w:val="26"/>
        </w:rPr>
      </w:pPr>
    </w:p>
    <w:p w14:paraId="5A7702DA" w14:textId="77777777" w:rsidR="002F0744" w:rsidRPr="00F02921" w:rsidRDefault="002F0744" w:rsidP="000B59AD">
      <w:pPr>
        <w:ind w:left="567" w:hanging="567"/>
        <w:jc w:val="both"/>
        <w:outlineLvl w:val="4"/>
        <w:rPr>
          <w:b/>
          <w:bCs/>
          <w:sz w:val="22"/>
          <w:szCs w:val="22"/>
        </w:rPr>
      </w:pPr>
      <w:r w:rsidRPr="00F02921">
        <w:rPr>
          <w:b/>
          <w:bCs/>
          <w:sz w:val="22"/>
          <w:szCs w:val="22"/>
        </w:rPr>
        <w:t>(1)</w:t>
      </w:r>
      <w:r w:rsidRPr="00F02921">
        <w:rPr>
          <w:b/>
          <w:bCs/>
          <w:sz w:val="22"/>
          <w:szCs w:val="22"/>
        </w:rPr>
        <w:tab/>
        <w:t>Fair value hierarchy</w:t>
      </w:r>
    </w:p>
    <w:p w14:paraId="22B54AE0" w14:textId="77777777" w:rsidR="002F0744" w:rsidRPr="00F02921" w:rsidRDefault="002F0744" w:rsidP="002F0744">
      <w:pPr>
        <w:ind w:left="567"/>
        <w:jc w:val="both"/>
        <w:rPr>
          <w:sz w:val="22"/>
          <w:szCs w:val="22"/>
        </w:rPr>
      </w:pPr>
    </w:p>
    <w:p w14:paraId="20063983" w14:textId="77777777" w:rsidR="002F0744" w:rsidRPr="00F02921" w:rsidRDefault="002F0744" w:rsidP="002F0744">
      <w:pPr>
        <w:ind w:left="567"/>
        <w:jc w:val="both"/>
        <w:rPr>
          <w:sz w:val="22"/>
          <w:szCs w:val="22"/>
        </w:rPr>
      </w:pPr>
      <w:r w:rsidRPr="002722B5">
        <w:rPr>
          <w:sz w:val="22"/>
          <w:szCs w:val="22"/>
        </w:rPr>
        <w:t xml:space="preserve">The investment properties and investment properties under development </w:t>
      </w:r>
      <w:proofErr w:type="gramStart"/>
      <w:r w:rsidRPr="002722B5">
        <w:rPr>
          <w:sz w:val="22"/>
          <w:szCs w:val="22"/>
        </w:rPr>
        <w:t>that are measured</w:t>
      </w:r>
      <w:proofErr w:type="gramEnd"/>
      <w:r w:rsidRPr="002722B5">
        <w:rPr>
          <w:sz w:val="22"/>
          <w:szCs w:val="22"/>
        </w:rPr>
        <w:t xml:space="preserve"> at fair value, using a valuation </w:t>
      </w:r>
      <w:r w:rsidRPr="00EB357F">
        <w:rPr>
          <w:sz w:val="22"/>
          <w:szCs w:val="22"/>
        </w:rPr>
        <w:t xml:space="preserve">method according to the fair value levels are defined as Level 3. For a definition of the various hierarchy </w:t>
      </w:r>
      <w:r w:rsidRPr="00C66B29">
        <w:rPr>
          <w:sz w:val="22"/>
          <w:szCs w:val="22"/>
        </w:rPr>
        <w:t>levels, see Note 2</w:t>
      </w:r>
      <w:r w:rsidR="004030C3" w:rsidRPr="00C66B29">
        <w:rPr>
          <w:sz w:val="22"/>
          <w:szCs w:val="22"/>
        </w:rPr>
        <w:t>(</w:t>
      </w:r>
      <w:r w:rsidRPr="00C66B29">
        <w:rPr>
          <w:sz w:val="22"/>
          <w:szCs w:val="22"/>
        </w:rPr>
        <w:t>E</w:t>
      </w:r>
      <w:r w:rsidR="004030C3" w:rsidRPr="00C66B29">
        <w:rPr>
          <w:sz w:val="22"/>
          <w:szCs w:val="22"/>
        </w:rPr>
        <w:t>)</w:t>
      </w:r>
      <w:r w:rsidRPr="00EB357F">
        <w:rPr>
          <w:sz w:val="22"/>
          <w:szCs w:val="22"/>
        </w:rPr>
        <w:t xml:space="preserve"> regarding</w:t>
      </w:r>
      <w:r w:rsidRPr="002722B5">
        <w:rPr>
          <w:sz w:val="22"/>
          <w:szCs w:val="22"/>
        </w:rPr>
        <w:t xml:space="preserve"> the basis of preparation of the financial statements.</w:t>
      </w:r>
    </w:p>
    <w:p w14:paraId="29D90AAB" w14:textId="77777777" w:rsidR="002F0744" w:rsidRDefault="002F0744" w:rsidP="002F0744">
      <w:pPr>
        <w:ind w:left="567" w:hanging="567"/>
        <w:jc w:val="both"/>
        <w:rPr>
          <w:b/>
          <w:bCs/>
          <w:sz w:val="22"/>
          <w:szCs w:val="22"/>
        </w:rPr>
      </w:pPr>
    </w:p>
    <w:p w14:paraId="067AFED1" w14:textId="77777777" w:rsidR="002F0744" w:rsidRPr="00F02921" w:rsidRDefault="002F0744" w:rsidP="000B59AD">
      <w:pPr>
        <w:ind w:left="567" w:hanging="567"/>
        <w:jc w:val="both"/>
        <w:outlineLvl w:val="4"/>
        <w:rPr>
          <w:b/>
          <w:bCs/>
          <w:sz w:val="22"/>
          <w:szCs w:val="22"/>
        </w:rPr>
      </w:pPr>
      <w:r w:rsidRPr="00F02921">
        <w:rPr>
          <w:b/>
          <w:bCs/>
          <w:sz w:val="22"/>
          <w:szCs w:val="22"/>
        </w:rPr>
        <w:t>(2)</w:t>
      </w:r>
      <w:r w:rsidRPr="00F02921">
        <w:rPr>
          <w:b/>
          <w:bCs/>
          <w:sz w:val="22"/>
          <w:szCs w:val="22"/>
        </w:rPr>
        <w:tab/>
        <w:t>Valuation processes used by the Company</w:t>
      </w:r>
    </w:p>
    <w:p w14:paraId="378E5059" w14:textId="77777777" w:rsidR="0075219F" w:rsidRDefault="0075219F" w:rsidP="008D5D38">
      <w:pPr>
        <w:autoSpaceDE w:val="0"/>
        <w:autoSpaceDN w:val="0"/>
        <w:adjustRightInd w:val="0"/>
        <w:ind w:left="567"/>
        <w:jc w:val="both"/>
        <w:rPr>
          <w:sz w:val="22"/>
          <w:szCs w:val="22"/>
        </w:rPr>
      </w:pPr>
    </w:p>
    <w:p w14:paraId="59222B1F" w14:textId="54D13CF3" w:rsidR="00C0274E" w:rsidRDefault="008D5D38" w:rsidP="00440C55">
      <w:pPr>
        <w:autoSpaceDE w:val="0"/>
        <w:autoSpaceDN w:val="0"/>
        <w:adjustRightInd w:val="0"/>
        <w:ind w:left="567"/>
        <w:jc w:val="both"/>
        <w:rPr>
          <w:b/>
          <w:bCs/>
          <w:sz w:val="26"/>
          <w:szCs w:val="26"/>
        </w:rPr>
      </w:pPr>
      <w:r w:rsidRPr="00F02921">
        <w:rPr>
          <w:sz w:val="22"/>
          <w:szCs w:val="22"/>
        </w:rPr>
        <w:t>The valuations of investment properties under development are prepared by the residual method</w:t>
      </w:r>
      <w:r>
        <w:rPr>
          <w:sz w:val="22"/>
          <w:szCs w:val="22"/>
        </w:rPr>
        <w:t xml:space="preserve"> or by the comparison method depending</w:t>
      </w:r>
      <w:r w:rsidRPr="00F02921">
        <w:rPr>
          <w:sz w:val="22"/>
          <w:szCs w:val="22"/>
        </w:rPr>
        <w:t xml:space="preserve"> on the stage of completion. The residual value is based on the fair value of a complete </w:t>
      </w:r>
      <w:proofErr w:type="gramStart"/>
      <w:r w:rsidRPr="00F02921">
        <w:rPr>
          <w:sz w:val="22"/>
          <w:szCs w:val="22"/>
        </w:rPr>
        <w:t>project</w:t>
      </w:r>
      <w:proofErr w:type="gramEnd"/>
      <w:r w:rsidRPr="00F02921">
        <w:rPr>
          <w:sz w:val="22"/>
          <w:szCs w:val="22"/>
        </w:rPr>
        <w:t xml:space="preserve"> less costs to complete and appropriate developer profit. </w:t>
      </w:r>
      <w:r w:rsidR="00C0274E" w:rsidRPr="00F02921">
        <w:rPr>
          <w:sz w:val="22"/>
          <w:szCs w:val="22"/>
        </w:rPr>
        <w:t xml:space="preserve">The comparison method is based </w:t>
      </w:r>
      <w:r w:rsidR="00C0274E" w:rsidRPr="00526733">
        <w:rPr>
          <w:sz w:val="22"/>
          <w:szCs w:val="22"/>
        </w:rPr>
        <w:t>on the price per square meter of comparable properties, as arising from observable transactions in an active market</w:t>
      </w:r>
      <w:r w:rsidR="00C0274E" w:rsidRPr="00526733">
        <w:t xml:space="preserve"> </w:t>
      </w:r>
      <w:r w:rsidR="00C0274E" w:rsidRPr="00526733">
        <w:rPr>
          <w:sz w:val="22"/>
          <w:szCs w:val="22"/>
        </w:rPr>
        <w:t>for comparable properties, with significant adjustments for the quality of the building and the rent terms</w:t>
      </w:r>
      <w:r w:rsidR="00C0274E" w:rsidRPr="00F02921">
        <w:rPr>
          <w:sz w:val="22"/>
          <w:szCs w:val="22"/>
        </w:rPr>
        <w:t xml:space="preserve">. </w:t>
      </w:r>
    </w:p>
    <w:p w14:paraId="6E4E7476" w14:textId="77777777" w:rsidR="00F46D0A" w:rsidRDefault="00F46D0A" w:rsidP="00C0274E">
      <w:pPr>
        <w:autoSpaceDE w:val="0"/>
        <w:autoSpaceDN w:val="0"/>
        <w:adjustRightInd w:val="0"/>
        <w:ind w:left="567"/>
        <w:jc w:val="both"/>
        <w:rPr>
          <w:sz w:val="22"/>
          <w:szCs w:val="22"/>
          <w:rtl/>
          <w:lang w:bidi="he-IL"/>
        </w:rPr>
      </w:pPr>
    </w:p>
    <w:p w14:paraId="10A3CE6F" w14:textId="77777777" w:rsidR="00DE2AAB" w:rsidRDefault="00DE2AAB" w:rsidP="00DE2AAB">
      <w:pPr>
        <w:rPr>
          <w:b/>
          <w:bCs/>
          <w:sz w:val="22"/>
          <w:szCs w:val="22"/>
        </w:rPr>
      </w:pPr>
      <w:r w:rsidRPr="001D55D7">
        <w:rPr>
          <w:b/>
          <w:bCs/>
          <w:sz w:val="22"/>
          <w:szCs w:val="22"/>
        </w:rPr>
        <w:t>Note 6 - Investment Property under Development (cont'd)</w:t>
      </w:r>
    </w:p>
    <w:p w14:paraId="0B7E8AE9" w14:textId="77777777" w:rsidR="00DE2AAB" w:rsidRDefault="00DE2AAB" w:rsidP="00C0274E">
      <w:pPr>
        <w:autoSpaceDE w:val="0"/>
        <w:autoSpaceDN w:val="0"/>
        <w:adjustRightInd w:val="0"/>
        <w:ind w:left="567"/>
        <w:jc w:val="both"/>
        <w:rPr>
          <w:sz w:val="22"/>
          <w:szCs w:val="22"/>
          <w:rtl/>
          <w:lang w:bidi="he-IL"/>
        </w:rPr>
      </w:pPr>
    </w:p>
    <w:p w14:paraId="7D85E82D" w14:textId="035EFE4D" w:rsidR="00F46D0A" w:rsidRPr="00F02921" w:rsidRDefault="00F46D0A" w:rsidP="00F46D0A">
      <w:pPr>
        <w:autoSpaceDE w:val="0"/>
        <w:autoSpaceDN w:val="0"/>
        <w:adjustRightInd w:val="0"/>
        <w:ind w:left="567"/>
        <w:jc w:val="both"/>
        <w:rPr>
          <w:sz w:val="22"/>
          <w:szCs w:val="22"/>
        </w:rPr>
      </w:pPr>
      <w:r w:rsidRPr="00F02921">
        <w:rPr>
          <w:sz w:val="22"/>
          <w:szCs w:val="22"/>
        </w:rPr>
        <w:t xml:space="preserve">The yield rates which were used by the valuation company for </w:t>
      </w:r>
      <w:proofErr w:type="gramStart"/>
      <w:r w:rsidRPr="00F02921">
        <w:rPr>
          <w:sz w:val="22"/>
          <w:szCs w:val="22"/>
        </w:rPr>
        <w:t>residual method for</w:t>
      </w:r>
      <w:proofErr w:type="gramEnd"/>
      <w:r w:rsidRPr="00F02921">
        <w:rPr>
          <w:sz w:val="22"/>
          <w:szCs w:val="22"/>
        </w:rPr>
        <w:t xml:space="preserve"> investment property under development </w:t>
      </w:r>
      <w:r>
        <w:rPr>
          <w:sz w:val="22"/>
          <w:szCs w:val="22"/>
        </w:rPr>
        <w:t xml:space="preserve">are </w:t>
      </w:r>
      <w:r w:rsidRPr="00F02921">
        <w:rPr>
          <w:sz w:val="22"/>
          <w:szCs w:val="22"/>
        </w:rPr>
        <w:t>as following:</w:t>
      </w:r>
    </w:p>
    <w:p w14:paraId="1528F9E4" w14:textId="77777777" w:rsidR="00F46D0A" w:rsidRPr="00F02921" w:rsidRDefault="00F46D0A" w:rsidP="00F46D0A">
      <w:pPr>
        <w:autoSpaceDE w:val="0"/>
        <w:autoSpaceDN w:val="0"/>
        <w:adjustRightInd w:val="0"/>
        <w:ind w:left="1440"/>
        <w:jc w:val="both"/>
        <w:rPr>
          <w:sz w:val="22"/>
          <w:szCs w:val="22"/>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Caption w:val="AHR02"/>
        <w:tblDescription w:val="The yield rates which were used by the valuation company for residual method for investment property under development "/>
      </w:tblPr>
      <w:tblGrid>
        <w:gridCol w:w="1985"/>
        <w:gridCol w:w="2410"/>
        <w:gridCol w:w="2551"/>
        <w:gridCol w:w="2552"/>
      </w:tblGrid>
      <w:tr w:rsidR="00023304" w:rsidRPr="000D4AF9" w14:paraId="03BEBF3A" w14:textId="77777777" w:rsidTr="005101BC">
        <w:trPr>
          <w:cantSplit/>
          <w:tblHeader/>
        </w:trPr>
        <w:tc>
          <w:tcPr>
            <w:tcW w:w="1985" w:type="dxa"/>
            <w:vMerge w:val="restart"/>
            <w:vAlign w:val="bottom"/>
          </w:tcPr>
          <w:p w14:paraId="6A20EAEB" w14:textId="49E45476" w:rsidR="00023304" w:rsidRPr="000D4AF9" w:rsidRDefault="00023304" w:rsidP="003A7771">
            <w:pPr>
              <w:pBdr>
                <w:bottom w:val="single" w:sz="4" w:space="1" w:color="auto"/>
              </w:pBdr>
              <w:jc w:val="center"/>
              <w:rPr>
                <w:b/>
                <w:bCs/>
                <w:sz w:val="20"/>
              </w:rPr>
            </w:pPr>
            <w:bookmarkStart w:id="144" w:name="Title_27" w:colFirst="0" w:colLast="0"/>
            <w:r w:rsidRPr="000D4AF9">
              <w:rPr>
                <w:b/>
                <w:bCs/>
                <w:sz w:val="20"/>
              </w:rPr>
              <w:t>Country</w:t>
            </w:r>
          </w:p>
        </w:tc>
        <w:tc>
          <w:tcPr>
            <w:tcW w:w="2410" w:type="dxa"/>
            <w:vMerge w:val="restart"/>
            <w:vAlign w:val="bottom"/>
          </w:tcPr>
          <w:p w14:paraId="21E82B12" w14:textId="77777777" w:rsidR="00023304" w:rsidRPr="000D4AF9" w:rsidRDefault="00023304" w:rsidP="0019652F">
            <w:pPr>
              <w:jc w:val="center"/>
              <w:rPr>
                <w:b/>
                <w:bCs/>
                <w:sz w:val="20"/>
              </w:rPr>
            </w:pPr>
            <w:r w:rsidRPr="000D4AF9">
              <w:rPr>
                <w:b/>
                <w:bCs/>
                <w:sz w:val="20"/>
              </w:rPr>
              <w:t>Use of the</w:t>
            </w:r>
          </w:p>
          <w:p w14:paraId="0BE12E43" w14:textId="62C924C8" w:rsidR="00023304" w:rsidRPr="000D4AF9" w:rsidRDefault="00023304" w:rsidP="003A7771">
            <w:pPr>
              <w:pBdr>
                <w:bottom w:val="single" w:sz="4" w:space="1" w:color="auto"/>
              </w:pBdr>
              <w:jc w:val="center"/>
              <w:rPr>
                <w:b/>
                <w:bCs/>
                <w:sz w:val="20"/>
              </w:rPr>
            </w:pPr>
            <w:r w:rsidRPr="000D4AF9">
              <w:rPr>
                <w:b/>
                <w:bCs/>
                <w:sz w:val="20"/>
              </w:rPr>
              <w:t>property</w:t>
            </w:r>
          </w:p>
        </w:tc>
        <w:tc>
          <w:tcPr>
            <w:tcW w:w="5103" w:type="dxa"/>
            <w:gridSpan w:val="2"/>
            <w:vAlign w:val="bottom"/>
          </w:tcPr>
          <w:p w14:paraId="6CB3E4DA" w14:textId="6FE2A440" w:rsidR="00023304" w:rsidRPr="000D4AF9" w:rsidRDefault="00023304" w:rsidP="0019652F">
            <w:pPr>
              <w:jc w:val="center"/>
              <w:rPr>
                <w:b/>
                <w:bCs/>
                <w:sz w:val="20"/>
              </w:rPr>
            </w:pPr>
            <w:r w:rsidRPr="000D4AF9">
              <w:rPr>
                <w:b/>
                <w:bCs/>
                <w:sz w:val="20"/>
              </w:rPr>
              <w:t>Yield rate</w:t>
            </w:r>
            <w:r>
              <w:rPr>
                <w:b/>
                <w:bCs/>
                <w:sz w:val="20"/>
              </w:rPr>
              <w:t xml:space="preserve"> (in %)</w:t>
            </w:r>
          </w:p>
        </w:tc>
      </w:tr>
      <w:bookmarkEnd w:id="144"/>
      <w:tr w:rsidR="00023304" w:rsidRPr="000D4AF9" w14:paraId="081735AE" w14:textId="77777777" w:rsidTr="005101BC">
        <w:trPr>
          <w:tblHeader/>
        </w:trPr>
        <w:tc>
          <w:tcPr>
            <w:tcW w:w="1985" w:type="dxa"/>
            <w:vMerge/>
          </w:tcPr>
          <w:p w14:paraId="47BAC047" w14:textId="3708063E" w:rsidR="00023304" w:rsidRPr="000D4AF9" w:rsidRDefault="00023304" w:rsidP="003A7771">
            <w:pPr>
              <w:pBdr>
                <w:bottom w:val="single" w:sz="4" w:space="1" w:color="auto"/>
              </w:pBdr>
              <w:jc w:val="center"/>
              <w:rPr>
                <w:b/>
                <w:bCs/>
                <w:sz w:val="20"/>
              </w:rPr>
            </w:pPr>
          </w:p>
        </w:tc>
        <w:tc>
          <w:tcPr>
            <w:tcW w:w="2410" w:type="dxa"/>
            <w:vMerge/>
          </w:tcPr>
          <w:p w14:paraId="626F4413" w14:textId="4D507011" w:rsidR="00023304" w:rsidRPr="000D4AF9" w:rsidRDefault="00023304" w:rsidP="003A7771">
            <w:pPr>
              <w:pBdr>
                <w:bottom w:val="single" w:sz="4" w:space="1" w:color="auto"/>
              </w:pBdr>
              <w:jc w:val="center"/>
              <w:rPr>
                <w:b/>
                <w:bCs/>
                <w:sz w:val="20"/>
              </w:rPr>
            </w:pPr>
          </w:p>
        </w:tc>
        <w:tc>
          <w:tcPr>
            <w:tcW w:w="2551" w:type="dxa"/>
          </w:tcPr>
          <w:p w14:paraId="71321DAA" w14:textId="11A4E740" w:rsidR="00023304" w:rsidRPr="000D4AF9" w:rsidRDefault="00023304" w:rsidP="003A7771">
            <w:pPr>
              <w:pBdr>
                <w:bottom w:val="single" w:sz="4" w:space="1" w:color="auto"/>
              </w:pBdr>
              <w:jc w:val="center"/>
              <w:rPr>
                <w:b/>
                <w:bCs/>
                <w:sz w:val="20"/>
              </w:rPr>
            </w:pPr>
            <w:r>
              <w:rPr>
                <w:b/>
                <w:bCs/>
                <w:sz w:val="20"/>
              </w:rPr>
              <w:t>As of December 31, 202</w:t>
            </w:r>
            <w:r w:rsidR="00C52BA0">
              <w:rPr>
                <w:b/>
                <w:bCs/>
                <w:sz w:val="20"/>
              </w:rPr>
              <w:t>4</w:t>
            </w:r>
          </w:p>
        </w:tc>
        <w:tc>
          <w:tcPr>
            <w:tcW w:w="2552" w:type="dxa"/>
          </w:tcPr>
          <w:p w14:paraId="2AA8F134" w14:textId="35A076F5" w:rsidR="00023304" w:rsidRPr="000D4AF9" w:rsidRDefault="00023304" w:rsidP="003A7771">
            <w:pPr>
              <w:pBdr>
                <w:bottom w:val="single" w:sz="4" w:space="1" w:color="auto"/>
              </w:pBdr>
              <w:jc w:val="center"/>
              <w:rPr>
                <w:b/>
                <w:bCs/>
                <w:sz w:val="20"/>
              </w:rPr>
            </w:pPr>
            <w:r>
              <w:rPr>
                <w:b/>
                <w:bCs/>
                <w:sz w:val="20"/>
              </w:rPr>
              <w:t>As of December 31, 202</w:t>
            </w:r>
            <w:r w:rsidR="00C52BA0">
              <w:rPr>
                <w:b/>
                <w:bCs/>
                <w:sz w:val="20"/>
              </w:rPr>
              <w:t>3</w:t>
            </w:r>
          </w:p>
        </w:tc>
      </w:tr>
      <w:tr w:rsidR="006C3007" w:rsidRPr="000D4AF9" w14:paraId="5643297F" w14:textId="77777777" w:rsidTr="005101BC">
        <w:tc>
          <w:tcPr>
            <w:tcW w:w="1985" w:type="dxa"/>
            <w:vAlign w:val="center"/>
          </w:tcPr>
          <w:p w14:paraId="7D730E21" w14:textId="77777777" w:rsidR="006C3007" w:rsidRPr="001C1206" w:rsidRDefault="006C3007" w:rsidP="006C3007">
            <w:pPr>
              <w:jc w:val="center"/>
              <w:rPr>
                <w:sz w:val="22"/>
                <w:szCs w:val="22"/>
              </w:rPr>
            </w:pPr>
            <w:r w:rsidRPr="001C1206">
              <w:rPr>
                <w:sz w:val="22"/>
                <w:szCs w:val="22"/>
              </w:rPr>
              <w:t>Czech Republic</w:t>
            </w:r>
          </w:p>
        </w:tc>
        <w:tc>
          <w:tcPr>
            <w:tcW w:w="2410" w:type="dxa"/>
            <w:vAlign w:val="center"/>
          </w:tcPr>
          <w:p w14:paraId="41F1F17D" w14:textId="2FE64964" w:rsidR="006C3007" w:rsidRPr="001C1206" w:rsidRDefault="006C3007" w:rsidP="006C3007">
            <w:pPr>
              <w:jc w:val="center"/>
              <w:rPr>
                <w:sz w:val="22"/>
                <w:szCs w:val="22"/>
              </w:rPr>
            </w:pPr>
            <w:r>
              <w:rPr>
                <w:sz w:val="22"/>
                <w:szCs w:val="22"/>
              </w:rPr>
              <w:t>Residential for rent</w:t>
            </w:r>
          </w:p>
        </w:tc>
        <w:tc>
          <w:tcPr>
            <w:tcW w:w="2551" w:type="dxa"/>
          </w:tcPr>
          <w:p w14:paraId="5920D379" w14:textId="66D0C805" w:rsidR="006C3007" w:rsidRPr="006C1F8F" w:rsidRDefault="006C3007" w:rsidP="006C3007">
            <w:pPr>
              <w:jc w:val="center"/>
              <w:rPr>
                <w:sz w:val="22"/>
                <w:szCs w:val="22"/>
              </w:rPr>
            </w:pPr>
            <w:r w:rsidRPr="006F79C7">
              <w:t xml:space="preserve"> - </w:t>
            </w:r>
          </w:p>
        </w:tc>
        <w:tc>
          <w:tcPr>
            <w:tcW w:w="2552" w:type="dxa"/>
            <w:tcBorders>
              <w:top w:val="nil"/>
              <w:left w:val="nil"/>
              <w:bottom w:val="nil"/>
              <w:right w:val="nil"/>
            </w:tcBorders>
            <w:shd w:val="clear" w:color="auto" w:fill="auto"/>
          </w:tcPr>
          <w:p w14:paraId="5B5DBF44" w14:textId="729666D2" w:rsidR="006C3007" w:rsidRPr="003A7771" w:rsidRDefault="006C3007" w:rsidP="006C3007">
            <w:pPr>
              <w:jc w:val="center"/>
              <w:rPr>
                <w:b/>
                <w:bCs/>
                <w:sz w:val="22"/>
                <w:szCs w:val="22"/>
                <w:highlight w:val="yellow"/>
                <w:lang w:bidi="he-IL"/>
              </w:rPr>
            </w:pPr>
            <w:r w:rsidRPr="006F79C7">
              <w:t xml:space="preserve"> 4.8 </w:t>
            </w:r>
          </w:p>
        </w:tc>
      </w:tr>
      <w:tr w:rsidR="006C3007" w:rsidRPr="000D4AF9" w14:paraId="21878DF2" w14:textId="77777777" w:rsidTr="005101BC">
        <w:tc>
          <w:tcPr>
            <w:tcW w:w="1985" w:type="dxa"/>
            <w:vAlign w:val="center"/>
          </w:tcPr>
          <w:p w14:paraId="699BD6A2" w14:textId="77777777" w:rsidR="006C3007" w:rsidRPr="001C1206" w:rsidRDefault="006C3007" w:rsidP="006C3007">
            <w:pPr>
              <w:jc w:val="center"/>
              <w:rPr>
                <w:sz w:val="22"/>
                <w:szCs w:val="22"/>
              </w:rPr>
            </w:pPr>
            <w:r w:rsidRPr="001C1206">
              <w:rPr>
                <w:sz w:val="22"/>
                <w:szCs w:val="22"/>
              </w:rPr>
              <w:t>Romania</w:t>
            </w:r>
          </w:p>
        </w:tc>
        <w:tc>
          <w:tcPr>
            <w:tcW w:w="2410" w:type="dxa"/>
            <w:vAlign w:val="center"/>
          </w:tcPr>
          <w:p w14:paraId="1A85FB77" w14:textId="77777777" w:rsidR="006C3007" w:rsidRPr="001C1206" w:rsidRDefault="006C3007" w:rsidP="006C3007">
            <w:pPr>
              <w:jc w:val="center"/>
              <w:rPr>
                <w:sz w:val="22"/>
                <w:szCs w:val="22"/>
              </w:rPr>
            </w:pPr>
            <w:r w:rsidRPr="001C1206">
              <w:rPr>
                <w:sz w:val="22"/>
                <w:szCs w:val="22"/>
              </w:rPr>
              <w:t>Offices</w:t>
            </w:r>
          </w:p>
        </w:tc>
        <w:tc>
          <w:tcPr>
            <w:tcW w:w="2551" w:type="dxa"/>
          </w:tcPr>
          <w:p w14:paraId="0306E8DD" w14:textId="3F9751E9" w:rsidR="006C3007" w:rsidRPr="00164266" w:rsidRDefault="006C3007" w:rsidP="006C3007">
            <w:pPr>
              <w:jc w:val="center"/>
              <w:rPr>
                <w:sz w:val="22"/>
                <w:szCs w:val="22"/>
              </w:rPr>
            </w:pPr>
            <w:r w:rsidRPr="006F79C7">
              <w:t xml:space="preserve"> 8.3 </w:t>
            </w:r>
          </w:p>
        </w:tc>
        <w:tc>
          <w:tcPr>
            <w:tcW w:w="2552" w:type="dxa"/>
            <w:tcBorders>
              <w:top w:val="nil"/>
              <w:left w:val="nil"/>
              <w:bottom w:val="nil"/>
              <w:right w:val="nil"/>
            </w:tcBorders>
            <w:shd w:val="clear" w:color="auto" w:fill="auto"/>
          </w:tcPr>
          <w:p w14:paraId="3B202AEC" w14:textId="2B2E245F" w:rsidR="006C3007" w:rsidRPr="0020502A" w:rsidRDefault="006C3007" w:rsidP="006C3007">
            <w:pPr>
              <w:jc w:val="center"/>
              <w:rPr>
                <w:sz w:val="22"/>
                <w:szCs w:val="22"/>
                <w:lang w:bidi="he-IL"/>
              </w:rPr>
            </w:pPr>
            <w:r w:rsidRPr="006F79C7">
              <w:t xml:space="preserve"> 8.3 </w:t>
            </w:r>
          </w:p>
        </w:tc>
      </w:tr>
      <w:tr w:rsidR="006C3007" w:rsidRPr="000D4AF9" w14:paraId="21AF85DE" w14:textId="77777777" w:rsidTr="005101BC">
        <w:tc>
          <w:tcPr>
            <w:tcW w:w="1985" w:type="dxa"/>
            <w:vAlign w:val="center"/>
          </w:tcPr>
          <w:p w14:paraId="0C83563A" w14:textId="772ED518" w:rsidR="006C3007" w:rsidRPr="001C1206" w:rsidRDefault="006C3007" w:rsidP="006C3007">
            <w:pPr>
              <w:jc w:val="center"/>
              <w:rPr>
                <w:sz w:val="22"/>
                <w:szCs w:val="22"/>
              </w:rPr>
            </w:pPr>
            <w:r w:rsidRPr="001C1206">
              <w:rPr>
                <w:sz w:val="22"/>
                <w:szCs w:val="22"/>
              </w:rPr>
              <w:t>Romania</w:t>
            </w:r>
          </w:p>
        </w:tc>
        <w:tc>
          <w:tcPr>
            <w:tcW w:w="2410" w:type="dxa"/>
            <w:vAlign w:val="center"/>
          </w:tcPr>
          <w:p w14:paraId="258F95CF" w14:textId="50D708D1" w:rsidR="006C3007" w:rsidRPr="001C1206" w:rsidRDefault="006C3007" w:rsidP="006C3007">
            <w:pPr>
              <w:jc w:val="center"/>
              <w:rPr>
                <w:sz w:val="22"/>
                <w:szCs w:val="22"/>
              </w:rPr>
            </w:pPr>
            <w:r>
              <w:rPr>
                <w:sz w:val="22"/>
                <w:szCs w:val="22"/>
              </w:rPr>
              <w:t>Residential for rent</w:t>
            </w:r>
          </w:p>
        </w:tc>
        <w:tc>
          <w:tcPr>
            <w:tcW w:w="2551" w:type="dxa"/>
          </w:tcPr>
          <w:p w14:paraId="1072FC85" w14:textId="4DC74266" w:rsidR="006C3007" w:rsidRDefault="006C3007" w:rsidP="006C3007">
            <w:pPr>
              <w:jc w:val="center"/>
              <w:rPr>
                <w:sz w:val="22"/>
                <w:szCs w:val="22"/>
              </w:rPr>
            </w:pPr>
            <w:r w:rsidRPr="006F79C7">
              <w:t xml:space="preserve"> 5.8 </w:t>
            </w:r>
          </w:p>
        </w:tc>
        <w:tc>
          <w:tcPr>
            <w:tcW w:w="2552" w:type="dxa"/>
            <w:tcBorders>
              <w:top w:val="nil"/>
              <w:left w:val="nil"/>
              <w:bottom w:val="nil"/>
              <w:right w:val="nil"/>
            </w:tcBorders>
            <w:shd w:val="clear" w:color="auto" w:fill="auto"/>
          </w:tcPr>
          <w:p w14:paraId="264E3763" w14:textId="704B2AE7" w:rsidR="006C3007" w:rsidRPr="006C1F8F" w:rsidRDefault="006C3007" w:rsidP="006C3007">
            <w:pPr>
              <w:jc w:val="center"/>
              <w:rPr>
                <w:sz w:val="22"/>
                <w:szCs w:val="22"/>
              </w:rPr>
            </w:pPr>
            <w:r w:rsidRPr="006F79C7">
              <w:t xml:space="preserve"> 5.8 </w:t>
            </w:r>
          </w:p>
        </w:tc>
      </w:tr>
      <w:tr w:rsidR="006C3007" w:rsidRPr="000D4AF9" w14:paraId="051C0EC2" w14:textId="77777777" w:rsidTr="005101BC">
        <w:tc>
          <w:tcPr>
            <w:tcW w:w="1985" w:type="dxa"/>
            <w:vAlign w:val="center"/>
          </w:tcPr>
          <w:p w14:paraId="0E602729" w14:textId="77777777" w:rsidR="006C3007" w:rsidRPr="001C1206" w:rsidRDefault="006C3007" w:rsidP="006C3007">
            <w:pPr>
              <w:jc w:val="center"/>
              <w:rPr>
                <w:sz w:val="22"/>
                <w:szCs w:val="22"/>
              </w:rPr>
            </w:pPr>
            <w:r w:rsidRPr="001C1206">
              <w:rPr>
                <w:sz w:val="22"/>
                <w:szCs w:val="22"/>
              </w:rPr>
              <w:t>Serbia</w:t>
            </w:r>
          </w:p>
        </w:tc>
        <w:tc>
          <w:tcPr>
            <w:tcW w:w="2410" w:type="dxa"/>
            <w:vAlign w:val="center"/>
          </w:tcPr>
          <w:p w14:paraId="19CB0924" w14:textId="77777777" w:rsidR="006C3007" w:rsidRPr="001C1206" w:rsidRDefault="006C3007" w:rsidP="006C3007">
            <w:pPr>
              <w:jc w:val="center"/>
              <w:rPr>
                <w:sz w:val="22"/>
                <w:szCs w:val="22"/>
              </w:rPr>
            </w:pPr>
            <w:r w:rsidRPr="001C1206">
              <w:rPr>
                <w:sz w:val="22"/>
                <w:szCs w:val="22"/>
              </w:rPr>
              <w:t>Offices</w:t>
            </w:r>
          </w:p>
        </w:tc>
        <w:tc>
          <w:tcPr>
            <w:tcW w:w="2551" w:type="dxa"/>
          </w:tcPr>
          <w:p w14:paraId="01C62F0D" w14:textId="18651EDD" w:rsidR="006C3007" w:rsidRPr="006C1F8F" w:rsidRDefault="006C3007" w:rsidP="006C3007">
            <w:pPr>
              <w:jc w:val="center"/>
              <w:rPr>
                <w:sz w:val="22"/>
                <w:szCs w:val="22"/>
              </w:rPr>
            </w:pPr>
            <w:r w:rsidRPr="006F79C7">
              <w:t xml:space="preserve"> 8.6 </w:t>
            </w:r>
          </w:p>
        </w:tc>
        <w:tc>
          <w:tcPr>
            <w:tcW w:w="2552" w:type="dxa"/>
            <w:tcBorders>
              <w:top w:val="nil"/>
              <w:left w:val="nil"/>
              <w:bottom w:val="nil"/>
              <w:right w:val="nil"/>
            </w:tcBorders>
            <w:shd w:val="clear" w:color="auto" w:fill="auto"/>
          </w:tcPr>
          <w:p w14:paraId="2B07A412" w14:textId="7A5DCAB7" w:rsidR="006C3007" w:rsidRPr="003A7771" w:rsidRDefault="006C3007" w:rsidP="006C3007">
            <w:pPr>
              <w:jc w:val="center"/>
              <w:rPr>
                <w:b/>
                <w:bCs/>
                <w:sz w:val="22"/>
                <w:szCs w:val="22"/>
                <w:highlight w:val="yellow"/>
                <w:rtl/>
                <w:lang w:bidi="he-IL"/>
              </w:rPr>
            </w:pPr>
            <w:r w:rsidRPr="006F79C7">
              <w:t xml:space="preserve"> 8.8 </w:t>
            </w:r>
          </w:p>
        </w:tc>
      </w:tr>
      <w:tr w:rsidR="006C3007" w:rsidRPr="000D4AF9" w14:paraId="00F82BE9" w14:textId="77777777" w:rsidTr="005101BC">
        <w:tc>
          <w:tcPr>
            <w:tcW w:w="1985" w:type="dxa"/>
            <w:vAlign w:val="center"/>
          </w:tcPr>
          <w:p w14:paraId="206ED0B7" w14:textId="77777777" w:rsidR="006C3007" w:rsidRPr="001C1206" w:rsidRDefault="006C3007" w:rsidP="006C3007">
            <w:pPr>
              <w:jc w:val="center"/>
              <w:rPr>
                <w:sz w:val="22"/>
                <w:szCs w:val="22"/>
              </w:rPr>
            </w:pPr>
            <w:r w:rsidRPr="001C1206">
              <w:rPr>
                <w:sz w:val="22"/>
                <w:szCs w:val="22"/>
              </w:rPr>
              <w:t>Poland</w:t>
            </w:r>
          </w:p>
        </w:tc>
        <w:tc>
          <w:tcPr>
            <w:tcW w:w="2410" w:type="dxa"/>
            <w:vAlign w:val="center"/>
          </w:tcPr>
          <w:p w14:paraId="5649C4B6" w14:textId="63D4691C" w:rsidR="006C3007" w:rsidRPr="001C1206" w:rsidRDefault="006C3007" w:rsidP="006C3007">
            <w:pPr>
              <w:jc w:val="center"/>
              <w:rPr>
                <w:sz w:val="22"/>
                <w:szCs w:val="22"/>
              </w:rPr>
            </w:pPr>
            <w:r>
              <w:rPr>
                <w:sz w:val="22"/>
                <w:szCs w:val="22"/>
              </w:rPr>
              <w:t>Residential for rent</w:t>
            </w:r>
          </w:p>
        </w:tc>
        <w:tc>
          <w:tcPr>
            <w:tcW w:w="2551" w:type="dxa"/>
          </w:tcPr>
          <w:p w14:paraId="5F9328F3" w14:textId="3C4CE2D4" w:rsidR="006C3007" w:rsidRPr="006C1F8F" w:rsidRDefault="006C3007" w:rsidP="006C3007">
            <w:pPr>
              <w:jc w:val="center"/>
              <w:rPr>
                <w:sz w:val="22"/>
                <w:szCs w:val="22"/>
              </w:rPr>
            </w:pPr>
            <w:r w:rsidRPr="006F79C7">
              <w:t xml:space="preserve"> 5.5 </w:t>
            </w:r>
          </w:p>
        </w:tc>
        <w:tc>
          <w:tcPr>
            <w:tcW w:w="2552" w:type="dxa"/>
            <w:tcBorders>
              <w:top w:val="nil"/>
              <w:left w:val="nil"/>
              <w:bottom w:val="nil"/>
              <w:right w:val="nil"/>
            </w:tcBorders>
            <w:shd w:val="clear" w:color="auto" w:fill="auto"/>
          </w:tcPr>
          <w:p w14:paraId="2B96DB8E" w14:textId="6CA6BD6C" w:rsidR="006C3007" w:rsidRPr="004F5F1C" w:rsidRDefault="006C3007" w:rsidP="006C3007">
            <w:pPr>
              <w:jc w:val="center"/>
              <w:rPr>
                <w:b/>
                <w:bCs/>
                <w:sz w:val="22"/>
                <w:szCs w:val="22"/>
                <w:highlight w:val="yellow"/>
                <w:lang w:bidi="he-IL"/>
              </w:rPr>
            </w:pPr>
            <w:r w:rsidRPr="006F79C7">
              <w:t xml:space="preserve"> 5.8 </w:t>
            </w:r>
          </w:p>
        </w:tc>
      </w:tr>
    </w:tbl>
    <w:p w14:paraId="49DD6917" w14:textId="77777777" w:rsidR="00F46D0A" w:rsidRDefault="00F46D0A" w:rsidP="00F46D0A">
      <w:pPr>
        <w:jc w:val="both"/>
        <w:rPr>
          <w:b/>
          <w:bCs/>
          <w:sz w:val="26"/>
          <w:szCs w:val="26"/>
        </w:rPr>
      </w:pPr>
    </w:p>
    <w:p w14:paraId="0648B419" w14:textId="7C18BAC8" w:rsidR="0015704D" w:rsidRDefault="00F46D0A" w:rsidP="003A7771">
      <w:pPr>
        <w:rPr>
          <w:sz w:val="22"/>
          <w:szCs w:val="22"/>
        </w:rPr>
      </w:pPr>
      <w:r w:rsidRPr="005853D4">
        <w:rPr>
          <w:sz w:val="22"/>
          <w:szCs w:val="22"/>
        </w:rPr>
        <w:t xml:space="preserve">For further details regarding </w:t>
      </w:r>
      <w:proofErr w:type="gramStart"/>
      <w:r w:rsidRPr="005853D4">
        <w:rPr>
          <w:sz w:val="22"/>
          <w:szCs w:val="22"/>
        </w:rPr>
        <w:t>measurement</w:t>
      </w:r>
      <w:proofErr w:type="gramEnd"/>
      <w:r w:rsidRPr="005853D4">
        <w:rPr>
          <w:sz w:val="22"/>
          <w:szCs w:val="22"/>
        </w:rPr>
        <w:t xml:space="preserve"> of fair value please </w:t>
      </w:r>
      <w:r w:rsidRPr="00C66B29">
        <w:rPr>
          <w:sz w:val="22"/>
          <w:szCs w:val="22"/>
        </w:rPr>
        <w:t>see Note 5(B).</w:t>
      </w:r>
    </w:p>
    <w:p w14:paraId="39EBA0A0" w14:textId="77777777" w:rsidR="001D55D7" w:rsidRPr="001D55D7" w:rsidRDefault="001D55D7" w:rsidP="00C92456">
      <w:pPr>
        <w:rPr>
          <w:b/>
          <w:bCs/>
          <w:sz w:val="22"/>
          <w:szCs w:val="22"/>
        </w:rPr>
      </w:pPr>
    </w:p>
    <w:p w14:paraId="46091EE2" w14:textId="77777777" w:rsidR="000265BA" w:rsidRPr="001D55D7" w:rsidRDefault="000265BA" w:rsidP="000B59AD">
      <w:pPr>
        <w:ind w:left="720" w:hanging="720"/>
        <w:jc w:val="both"/>
        <w:outlineLvl w:val="3"/>
        <w:rPr>
          <w:b/>
          <w:bCs/>
          <w:sz w:val="22"/>
          <w:szCs w:val="22"/>
        </w:rPr>
      </w:pPr>
      <w:r w:rsidRPr="001D55D7">
        <w:rPr>
          <w:b/>
          <w:bCs/>
          <w:sz w:val="22"/>
          <w:szCs w:val="22"/>
        </w:rPr>
        <w:t>C.</w:t>
      </w:r>
      <w:r w:rsidRPr="001D55D7">
        <w:rPr>
          <w:b/>
          <w:bCs/>
          <w:sz w:val="22"/>
          <w:szCs w:val="22"/>
        </w:rPr>
        <w:tab/>
        <w:t xml:space="preserve">Amounts that were recognized in the statement of income </w:t>
      </w:r>
    </w:p>
    <w:p w14:paraId="66F29625" w14:textId="77777777" w:rsidR="000265BA" w:rsidRDefault="000265BA" w:rsidP="000265BA">
      <w:pPr>
        <w:ind w:left="720"/>
        <w:jc w:val="both"/>
        <w:rPr>
          <w:rStyle w:val="Koteret"/>
          <w:b w:val="0"/>
          <w:bCs/>
          <w:i/>
          <w:iCs/>
        </w:rPr>
      </w:pPr>
    </w:p>
    <w:p w14:paraId="037705AD" w14:textId="3276CCAB" w:rsidR="000265BA" w:rsidRDefault="000265BA" w:rsidP="000265BA">
      <w:pPr>
        <w:ind w:left="720"/>
        <w:jc w:val="both"/>
        <w:rPr>
          <w:rStyle w:val="Koteret"/>
          <w:b w:val="0"/>
          <w:bCs/>
          <w:i/>
          <w:iCs/>
        </w:rPr>
      </w:pPr>
      <w:r w:rsidRPr="00F02921">
        <w:rPr>
          <w:rStyle w:val="Koteret"/>
          <w:b w:val="0"/>
          <w:bCs/>
          <w:i/>
          <w:iCs/>
        </w:rPr>
        <w:t>In thousands of Euros</w:t>
      </w:r>
    </w:p>
    <w:tbl>
      <w:tblPr>
        <w:tblW w:w="9028" w:type="dxa"/>
        <w:tblInd w:w="612" w:type="dxa"/>
        <w:tblLayout w:type="fixed"/>
        <w:tblLook w:val="06A0" w:firstRow="1" w:lastRow="0" w:firstColumn="1" w:lastColumn="0" w:noHBand="1" w:noVBand="1"/>
        <w:tblCaption w:val="AHR02"/>
        <w:tblDescription w:val="Amounts that were recognized in the statement of income"/>
      </w:tblPr>
      <w:tblGrid>
        <w:gridCol w:w="4042"/>
        <w:gridCol w:w="1662"/>
        <w:gridCol w:w="1662"/>
        <w:gridCol w:w="1662"/>
      </w:tblGrid>
      <w:tr w:rsidR="003F57BD" w:rsidRPr="00866299" w14:paraId="1E5F4B04" w14:textId="77777777" w:rsidTr="005101BC">
        <w:trPr>
          <w:cantSplit/>
          <w:trHeight w:val="235"/>
          <w:tblHeader/>
        </w:trPr>
        <w:tc>
          <w:tcPr>
            <w:tcW w:w="4042" w:type="dxa"/>
          </w:tcPr>
          <w:p w14:paraId="2BA21EF3" w14:textId="77777777" w:rsidR="003F57BD" w:rsidRPr="00866299" w:rsidRDefault="003F57BD" w:rsidP="00C872A4">
            <w:pPr>
              <w:suppressAutoHyphens/>
              <w:jc w:val="right"/>
              <w:rPr>
                <w:rStyle w:val="Koteret"/>
                <w:sz w:val="20"/>
              </w:rPr>
            </w:pPr>
            <w:bookmarkStart w:id="145" w:name="Title_28" w:colFirst="0" w:colLast="0"/>
          </w:p>
        </w:tc>
        <w:tc>
          <w:tcPr>
            <w:tcW w:w="4986" w:type="dxa"/>
            <w:gridSpan w:val="3"/>
          </w:tcPr>
          <w:p w14:paraId="058A1BF5" w14:textId="77777777" w:rsidR="003F57BD" w:rsidRPr="00866299" w:rsidRDefault="003F57BD" w:rsidP="0033136A">
            <w:pPr>
              <w:pBdr>
                <w:bottom w:val="single" w:sz="4" w:space="1" w:color="auto"/>
              </w:pBdr>
              <w:suppressAutoHyphens/>
              <w:jc w:val="center"/>
              <w:rPr>
                <w:rStyle w:val="Koteret"/>
                <w:sz w:val="20"/>
              </w:rPr>
            </w:pPr>
            <w:r w:rsidRPr="00866299">
              <w:rPr>
                <w:rStyle w:val="Koteret"/>
                <w:sz w:val="20"/>
              </w:rPr>
              <w:t>Year ended December 31,</w:t>
            </w:r>
          </w:p>
        </w:tc>
      </w:tr>
      <w:bookmarkEnd w:id="145"/>
      <w:tr w:rsidR="003F57BD" w:rsidRPr="00866299" w14:paraId="63B51945" w14:textId="77777777" w:rsidTr="005101BC">
        <w:trPr>
          <w:cantSplit/>
          <w:trHeight w:val="224"/>
          <w:tblHeader/>
        </w:trPr>
        <w:tc>
          <w:tcPr>
            <w:tcW w:w="4042" w:type="dxa"/>
          </w:tcPr>
          <w:p w14:paraId="122A47DE" w14:textId="77777777" w:rsidR="003F57BD" w:rsidRPr="00866299" w:rsidRDefault="003F57BD" w:rsidP="00C872A4">
            <w:pPr>
              <w:suppressAutoHyphens/>
              <w:jc w:val="right"/>
              <w:rPr>
                <w:rStyle w:val="Koteret"/>
                <w:sz w:val="20"/>
              </w:rPr>
            </w:pPr>
          </w:p>
        </w:tc>
        <w:tc>
          <w:tcPr>
            <w:tcW w:w="1662" w:type="dxa"/>
          </w:tcPr>
          <w:p w14:paraId="7B13C272" w14:textId="67030576" w:rsidR="003F57BD" w:rsidRPr="00866299" w:rsidRDefault="003F57BD" w:rsidP="0033136A">
            <w:pPr>
              <w:pBdr>
                <w:bottom w:val="single" w:sz="4" w:space="1" w:color="auto"/>
              </w:pBdr>
              <w:suppressAutoHyphens/>
              <w:bidi/>
              <w:ind w:left="57"/>
              <w:jc w:val="center"/>
              <w:rPr>
                <w:rStyle w:val="Koteret"/>
                <w:sz w:val="20"/>
              </w:rPr>
            </w:pPr>
            <w:r>
              <w:rPr>
                <w:rStyle w:val="Koteret"/>
                <w:sz w:val="20"/>
              </w:rPr>
              <w:t>202</w:t>
            </w:r>
            <w:r w:rsidR="00C52BA0">
              <w:rPr>
                <w:rStyle w:val="Koteret"/>
                <w:sz w:val="20"/>
              </w:rPr>
              <w:t>4</w:t>
            </w:r>
          </w:p>
        </w:tc>
        <w:tc>
          <w:tcPr>
            <w:tcW w:w="1662" w:type="dxa"/>
          </w:tcPr>
          <w:p w14:paraId="40179576" w14:textId="58703908" w:rsidR="003F57BD" w:rsidRPr="00866299" w:rsidRDefault="003F57BD" w:rsidP="0033136A">
            <w:pPr>
              <w:pBdr>
                <w:bottom w:val="single" w:sz="4" w:space="1" w:color="auto"/>
              </w:pBdr>
              <w:suppressAutoHyphens/>
              <w:bidi/>
              <w:ind w:left="57"/>
              <w:jc w:val="center"/>
              <w:rPr>
                <w:rStyle w:val="Koteret"/>
                <w:sz w:val="20"/>
              </w:rPr>
            </w:pPr>
            <w:r>
              <w:rPr>
                <w:rStyle w:val="Koteret"/>
                <w:sz w:val="20"/>
              </w:rPr>
              <w:t>202</w:t>
            </w:r>
            <w:r w:rsidR="00C52BA0">
              <w:rPr>
                <w:rStyle w:val="Koteret"/>
                <w:sz w:val="20"/>
              </w:rPr>
              <w:t>3</w:t>
            </w:r>
          </w:p>
        </w:tc>
        <w:tc>
          <w:tcPr>
            <w:tcW w:w="1662" w:type="dxa"/>
          </w:tcPr>
          <w:p w14:paraId="63CDA80E" w14:textId="57E13B2D" w:rsidR="003F57BD" w:rsidRPr="00866299" w:rsidRDefault="003F57BD" w:rsidP="0033136A">
            <w:pPr>
              <w:pBdr>
                <w:bottom w:val="single" w:sz="4" w:space="1" w:color="auto"/>
              </w:pBdr>
              <w:suppressAutoHyphens/>
              <w:bidi/>
              <w:ind w:left="57"/>
              <w:jc w:val="center"/>
              <w:rPr>
                <w:rStyle w:val="Koteret"/>
                <w:sz w:val="20"/>
              </w:rPr>
            </w:pPr>
            <w:r>
              <w:rPr>
                <w:rStyle w:val="Koteret"/>
                <w:sz w:val="20"/>
              </w:rPr>
              <w:t>202</w:t>
            </w:r>
            <w:r w:rsidR="00C52BA0">
              <w:rPr>
                <w:rStyle w:val="Koteret"/>
                <w:sz w:val="20"/>
              </w:rPr>
              <w:t>2</w:t>
            </w:r>
          </w:p>
        </w:tc>
      </w:tr>
      <w:tr w:rsidR="00C52BA0" w:rsidRPr="00866299" w14:paraId="580C2786" w14:textId="77777777" w:rsidTr="005101BC">
        <w:trPr>
          <w:trHeight w:val="224"/>
        </w:trPr>
        <w:tc>
          <w:tcPr>
            <w:tcW w:w="4042" w:type="dxa"/>
          </w:tcPr>
          <w:p w14:paraId="35975365" w14:textId="7E758A54" w:rsidR="00C52BA0" w:rsidRPr="00866299" w:rsidRDefault="00C52BA0" w:rsidP="00C52BA0">
            <w:pPr>
              <w:suppressAutoHyphens/>
              <w:jc w:val="both"/>
              <w:rPr>
                <w:spacing w:val="-2"/>
                <w:sz w:val="22"/>
                <w:szCs w:val="22"/>
              </w:rPr>
            </w:pPr>
            <w:r w:rsidRPr="00866299">
              <w:rPr>
                <w:spacing w:val="-2"/>
                <w:sz w:val="22"/>
                <w:szCs w:val="22"/>
              </w:rPr>
              <w:t>Change in fair value of investment property</w:t>
            </w:r>
            <w:r>
              <w:rPr>
                <w:spacing w:val="-2"/>
                <w:sz w:val="22"/>
                <w:szCs w:val="22"/>
              </w:rPr>
              <w:t xml:space="preserve"> under development</w:t>
            </w:r>
          </w:p>
        </w:tc>
        <w:tc>
          <w:tcPr>
            <w:tcW w:w="1662" w:type="dxa"/>
            <w:shd w:val="clear" w:color="auto" w:fill="auto"/>
            <w:vAlign w:val="bottom"/>
          </w:tcPr>
          <w:p w14:paraId="09670FAE" w14:textId="0CD85B78" w:rsidR="00C52BA0" w:rsidRPr="0020502A" w:rsidRDefault="00DA7629" w:rsidP="00C52BA0">
            <w:pPr>
              <w:suppressAutoHyphens/>
              <w:jc w:val="right"/>
              <w:rPr>
                <w:spacing w:val="-2"/>
                <w:sz w:val="22"/>
                <w:szCs w:val="18"/>
                <w:highlight w:val="yellow"/>
              </w:rPr>
            </w:pPr>
            <w:r w:rsidRPr="00DA7629">
              <w:rPr>
                <w:spacing w:val="-2"/>
                <w:sz w:val="22"/>
                <w:szCs w:val="18"/>
              </w:rPr>
              <w:t>6,246</w:t>
            </w:r>
          </w:p>
        </w:tc>
        <w:tc>
          <w:tcPr>
            <w:tcW w:w="1662" w:type="dxa"/>
            <w:vAlign w:val="bottom"/>
          </w:tcPr>
          <w:p w14:paraId="51D12C59" w14:textId="1BF593BC" w:rsidR="00C52BA0" w:rsidRPr="0033136A" w:rsidRDefault="00C52BA0" w:rsidP="00C52BA0">
            <w:pPr>
              <w:suppressAutoHyphens/>
              <w:jc w:val="right"/>
              <w:rPr>
                <w:spacing w:val="-2"/>
                <w:sz w:val="22"/>
                <w:szCs w:val="18"/>
              </w:rPr>
            </w:pPr>
            <w:r w:rsidRPr="0020502A">
              <w:rPr>
                <w:spacing w:val="-2"/>
                <w:sz w:val="22"/>
                <w:szCs w:val="18"/>
              </w:rPr>
              <w:t>6,297</w:t>
            </w:r>
          </w:p>
        </w:tc>
        <w:tc>
          <w:tcPr>
            <w:tcW w:w="1662" w:type="dxa"/>
            <w:vAlign w:val="bottom"/>
          </w:tcPr>
          <w:p w14:paraId="609F3DA1" w14:textId="7BFB82FD" w:rsidR="00C52BA0" w:rsidRPr="007F692C" w:rsidRDefault="00C52BA0" w:rsidP="00C52BA0">
            <w:pPr>
              <w:suppressAutoHyphens/>
              <w:jc w:val="right"/>
              <w:rPr>
                <w:spacing w:val="-2"/>
                <w:sz w:val="22"/>
                <w:szCs w:val="18"/>
              </w:rPr>
            </w:pPr>
            <w:r w:rsidRPr="0033136A">
              <w:rPr>
                <w:spacing w:val="-2"/>
                <w:sz w:val="22"/>
                <w:szCs w:val="18"/>
              </w:rPr>
              <w:t>6,678</w:t>
            </w:r>
          </w:p>
        </w:tc>
      </w:tr>
    </w:tbl>
    <w:p w14:paraId="275C6F7F" w14:textId="7013CA27" w:rsidR="00C52BA0" w:rsidRDefault="00C52BA0" w:rsidP="000265BA">
      <w:pPr>
        <w:ind w:left="720"/>
        <w:jc w:val="both"/>
        <w:rPr>
          <w:rStyle w:val="Koteret"/>
          <w:b w:val="0"/>
          <w:bCs/>
          <w:i/>
          <w:iCs/>
        </w:rPr>
      </w:pPr>
    </w:p>
    <w:p w14:paraId="0A36AFA9" w14:textId="2D2AEF3A" w:rsidR="00030CEF" w:rsidRPr="0033136A" w:rsidRDefault="00030CEF" w:rsidP="000B59AD">
      <w:pPr>
        <w:outlineLvl w:val="2"/>
        <w:rPr>
          <w:sz w:val="22"/>
          <w:szCs w:val="22"/>
        </w:rPr>
      </w:pPr>
      <w:bookmarkStart w:id="146" w:name="H3_Note_7__Inventory_"/>
      <w:r w:rsidRPr="0033136A">
        <w:rPr>
          <w:b/>
          <w:bCs/>
          <w:sz w:val="22"/>
          <w:szCs w:val="22"/>
        </w:rPr>
        <w:t xml:space="preserve">Note 7 - Inventory </w:t>
      </w:r>
    </w:p>
    <w:bookmarkEnd w:id="146"/>
    <w:p w14:paraId="6EFD8E7B" w14:textId="77777777" w:rsidR="00030CEF" w:rsidRDefault="00030CEF" w:rsidP="00030CEF">
      <w:pPr>
        <w:ind w:left="720"/>
        <w:rPr>
          <w:sz w:val="22"/>
          <w:szCs w:val="22"/>
        </w:rPr>
      </w:pPr>
    </w:p>
    <w:p w14:paraId="104FE558" w14:textId="77777777" w:rsidR="00030CEF" w:rsidRPr="00C435F7" w:rsidRDefault="00030CEF" w:rsidP="000B59AD">
      <w:pPr>
        <w:ind w:left="567" w:hanging="567"/>
        <w:jc w:val="both"/>
        <w:outlineLvl w:val="3"/>
        <w:rPr>
          <w:b/>
          <w:bCs/>
          <w:sz w:val="22"/>
          <w:szCs w:val="22"/>
        </w:rPr>
      </w:pPr>
      <w:r w:rsidRPr="00C435F7">
        <w:rPr>
          <w:b/>
          <w:bCs/>
          <w:sz w:val="22"/>
          <w:szCs w:val="22"/>
        </w:rPr>
        <w:t>A.</w:t>
      </w:r>
      <w:r w:rsidRPr="00C435F7">
        <w:rPr>
          <w:b/>
          <w:bCs/>
          <w:sz w:val="22"/>
          <w:szCs w:val="22"/>
        </w:rPr>
        <w:tab/>
      </w:r>
      <w:r>
        <w:rPr>
          <w:b/>
          <w:bCs/>
          <w:sz w:val="22"/>
          <w:szCs w:val="22"/>
        </w:rPr>
        <w:t>Reconciliation of carrying amount</w:t>
      </w:r>
    </w:p>
    <w:p w14:paraId="641E20BB" w14:textId="77777777" w:rsidR="00030CEF" w:rsidRPr="00376A6E" w:rsidRDefault="00030CEF" w:rsidP="00030CEF">
      <w:pPr>
        <w:ind w:left="720"/>
        <w:rPr>
          <w:sz w:val="22"/>
          <w:szCs w:val="22"/>
        </w:rPr>
      </w:pPr>
    </w:p>
    <w:p w14:paraId="72DA95E0" w14:textId="77777777" w:rsidR="00030CEF" w:rsidRPr="00F02921" w:rsidRDefault="00030CEF" w:rsidP="00030CEF">
      <w:pPr>
        <w:ind w:left="720"/>
        <w:rPr>
          <w:sz w:val="22"/>
          <w:szCs w:val="22"/>
        </w:rPr>
      </w:pPr>
      <w:r>
        <w:rPr>
          <w:sz w:val="22"/>
          <w:szCs w:val="22"/>
        </w:rPr>
        <w:t>The balance represents both non-</w:t>
      </w:r>
      <w:r w:rsidRPr="00F02921">
        <w:rPr>
          <w:sz w:val="22"/>
          <w:szCs w:val="22"/>
        </w:rPr>
        <w:t>current inventory and current inventory</w:t>
      </w:r>
      <w:r>
        <w:rPr>
          <w:sz w:val="22"/>
          <w:szCs w:val="22"/>
        </w:rPr>
        <w:t>:</w:t>
      </w:r>
    </w:p>
    <w:p w14:paraId="46B49A73" w14:textId="77777777" w:rsidR="00030CEF" w:rsidRPr="00377C8B" w:rsidRDefault="00030CEF" w:rsidP="00030CEF">
      <w:pPr>
        <w:ind w:left="720"/>
        <w:rPr>
          <w:sz w:val="10"/>
          <w:szCs w:val="10"/>
        </w:rPr>
      </w:pPr>
    </w:p>
    <w:p w14:paraId="19961328" w14:textId="77777777" w:rsidR="00030CEF" w:rsidRPr="00F02921" w:rsidRDefault="00030CEF" w:rsidP="00030CEF">
      <w:pPr>
        <w:ind w:left="720"/>
        <w:rPr>
          <w:rStyle w:val="Koteret"/>
          <w:b w:val="0"/>
          <w:bCs/>
          <w:i/>
          <w:iCs/>
        </w:rPr>
      </w:pPr>
      <w:r w:rsidRPr="00F02921">
        <w:rPr>
          <w:rStyle w:val="Koteret"/>
          <w:b w:val="0"/>
          <w:bCs/>
          <w:i/>
          <w:iCs/>
        </w:rPr>
        <w:t>In thousands of Euros</w:t>
      </w:r>
    </w:p>
    <w:tbl>
      <w:tblPr>
        <w:tblW w:w="0" w:type="auto"/>
        <w:tblInd w:w="531" w:type="dxa"/>
        <w:tblLook w:val="06E0" w:firstRow="1" w:lastRow="1" w:firstColumn="1" w:lastColumn="0" w:noHBand="1" w:noVBand="1"/>
        <w:tblCaption w:val="AHR01"/>
        <w:tblDescription w:val="Reconciliation of carrying amount"/>
      </w:tblPr>
      <w:tblGrid>
        <w:gridCol w:w="5846"/>
        <w:gridCol w:w="1666"/>
        <w:gridCol w:w="1595"/>
      </w:tblGrid>
      <w:tr w:rsidR="00030CEF" w14:paraId="7062A783" w14:textId="77777777" w:rsidTr="005101BC">
        <w:trPr>
          <w:cantSplit/>
          <w:trHeight w:val="283"/>
          <w:tblHeader/>
        </w:trPr>
        <w:tc>
          <w:tcPr>
            <w:tcW w:w="5846" w:type="dxa"/>
            <w:shd w:val="clear" w:color="auto" w:fill="auto"/>
            <w:noWrap/>
            <w:vAlign w:val="bottom"/>
            <w:hideMark/>
          </w:tcPr>
          <w:p w14:paraId="2D69B628" w14:textId="77777777" w:rsidR="00030CEF" w:rsidRPr="00866299" w:rsidRDefault="00030CEF" w:rsidP="00030CEF">
            <w:pPr>
              <w:spacing w:before="40"/>
              <w:rPr>
                <w:rFonts w:ascii="Arial" w:eastAsia="Arial" w:hAnsi="Arial" w:cs="Arial"/>
                <w:sz w:val="20"/>
              </w:rPr>
            </w:pPr>
            <w:bookmarkStart w:id="147" w:name="Title_29" w:colFirst="0" w:colLast="0"/>
          </w:p>
        </w:tc>
        <w:tc>
          <w:tcPr>
            <w:tcW w:w="1666" w:type="dxa"/>
            <w:shd w:val="clear" w:color="auto" w:fill="auto"/>
            <w:vAlign w:val="bottom"/>
            <w:hideMark/>
          </w:tcPr>
          <w:p w14:paraId="4B7DE117" w14:textId="3DF88BCB" w:rsidR="00030CEF" w:rsidRPr="00866299" w:rsidRDefault="00C52BA0" w:rsidP="0033136A">
            <w:pPr>
              <w:pBdr>
                <w:bottom w:val="single" w:sz="4" w:space="0" w:color="000000"/>
              </w:pBdr>
              <w:bidi/>
              <w:spacing w:before="40"/>
              <w:ind w:left="57"/>
              <w:jc w:val="center"/>
              <w:rPr>
                <w:b/>
                <w:bCs/>
                <w:sz w:val="20"/>
              </w:rPr>
            </w:pPr>
            <w:r>
              <w:rPr>
                <w:b/>
                <w:bCs/>
                <w:color w:val="000000"/>
                <w:sz w:val="20"/>
              </w:rPr>
              <w:t>2024</w:t>
            </w:r>
          </w:p>
        </w:tc>
        <w:tc>
          <w:tcPr>
            <w:tcW w:w="1595" w:type="dxa"/>
            <w:shd w:val="clear" w:color="auto" w:fill="auto"/>
            <w:vAlign w:val="bottom"/>
            <w:hideMark/>
          </w:tcPr>
          <w:p w14:paraId="373110EA" w14:textId="28C4413E" w:rsidR="00030CEF" w:rsidRPr="00866299" w:rsidRDefault="00C52BA0" w:rsidP="0033136A">
            <w:pPr>
              <w:pBdr>
                <w:bottom w:val="single" w:sz="4" w:space="0" w:color="000000"/>
              </w:pBdr>
              <w:bidi/>
              <w:spacing w:before="40"/>
              <w:ind w:left="57"/>
              <w:jc w:val="center"/>
              <w:rPr>
                <w:b/>
                <w:bCs/>
                <w:sz w:val="20"/>
              </w:rPr>
            </w:pPr>
            <w:r>
              <w:rPr>
                <w:b/>
                <w:bCs/>
                <w:color w:val="000000"/>
                <w:sz w:val="20"/>
              </w:rPr>
              <w:t>2023</w:t>
            </w:r>
          </w:p>
        </w:tc>
      </w:tr>
      <w:bookmarkEnd w:id="147"/>
      <w:tr w:rsidR="00C52BA0" w14:paraId="0BA31BCF" w14:textId="77777777" w:rsidTr="005101BC">
        <w:trPr>
          <w:trHeight w:val="283"/>
        </w:trPr>
        <w:tc>
          <w:tcPr>
            <w:tcW w:w="5846" w:type="dxa"/>
            <w:shd w:val="clear" w:color="auto" w:fill="auto"/>
            <w:vAlign w:val="bottom"/>
            <w:hideMark/>
          </w:tcPr>
          <w:p w14:paraId="13C149DF" w14:textId="77777777" w:rsidR="00C52BA0" w:rsidRPr="0037067D" w:rsidRDefault="00C52BA0" w:rsidP="00C52BA0">
            <w:pPr>
              <w:spacing w:before="40"/>
              <w:rPr>
                <w:b/>
                <w:bCs/>
                <w:sz w:val="22"/>
                <w:szCs w:val="22"/>
              </w:rPr>
            </w:pPr>
            <w:r w:rsidRPr="0037067D">
              <w:rPr>
                <w:b/>
                <w:bCs/>
                <w:color w:val="000000"/>
                <w:sz w:val="22"/>
                <w:szCs w:val="22"/>
              </w:rPr>
              <w:t xml:space="preserve">Balance </w:t>
            </w:r>
            <w:proofErr w:type="gramStart"/>
            <w:r w:rsidRPr="0037067D">
              <w:rPr>
                <w:b/>
                <w:bCs/>
                <w:color w:val="000000"/>
                <w:sz w:val="22"/>
                <w:szCs w:val="22"/>
              </w:rPr>
              <w:t>at</w:t>
            </w:r>
            <w:proofErr w:type="gramEnd"/>
            <w:r w:rsidRPr="0037067D">
              <w:rPr>
                <w:b/>
                <w:bCs/>
                <w:color w:val="000000"/>
                <w:sz w:val="22"/>
                <w:szCs w:val="22"/>
              </w:rPr>
              <w:t xml:space="preserve"> January 1</w:t>
            </w:r>
          </w:p>
        </w:tc>
        <w:tc>
          <w:tcPr>
            <w:tcW w:w="1666" w:type="dxa"/>
            <w:shd w:val="clear" w:color="auto" w:fill="auto"/>
            <w:noWrap/>
            <w:vAlign w:val="bottom"/>
          </w:tcPr>
          <w:p w14:paraId="793BBE75" w14:textId="711419A0" w:rsidR="00C52BA0" w:rsidRPr="0037067D" w:rsidRDefault="0037067D" w:rsidP="0037067D">
            <w:pPr>
              <w:spacing w:before="40"/>
              <w:jc w:val="right"/>
              <w:rPr>
                <w:sz w:val="22"/>
                <w:szCs w:val="22"/>
              </w:rPr>
            </w:pPr>
            <w:r w:rsidRPr="0037067D">
              <w:rPr>
                <w:sz w:val="22"/>
                <w:szCs w:val="22"/>
              </w:rPr>
              <w:t>133,916</w:t>
            </w:r>
          </w:p>
        </w:tc>
        <w:tc>
          <w:tcPr>
            <w:tcW w:w="1595" w:type="dxa"/>
            <w:shd w:val="clear" w:color="auto" w:fill="auto"/>
            <w:noWrap/>
            <w:vAlign w:val="bottom"/>
          </w:tcPr>
          <w:p w14:paraId="04069587" w14:textId="2E79282A" w:rsidR="00C52BA0" w:rsidRPr="0037067D" w:rsidRDefault="00C52BA0" w:rsidP="00C52BA0">
            <w:pPr>
              <w:spacing w:before="40"/>
              <w:jc w:val="right"/>
              <w:rPr>
                <w:sz w:val="22"/>
                <w:szCs w:val="22"/>
              </w:rPr>
            </w:pPr>
            <w:r w:rsidRPr="0037067D">
              <w:rPr>
                <w:sz w:val="22"/>
                <w:szCs w:val="22"/>
              </w:rPr>
              <w:t>151,558</w:t>
            </w:r>
          </w:p>
        </w:tc>
      </w:tr>
      <w:tr w:rsidR="00C52BA0" w14:paraId="25DC75CC" w14:textId="77777777" w:rsidTr="005101BC">
        <w:trPr>
          <w:trHeight w:val="283"/>
        </w:trPr>
        <w:tc>
          <w:tcPr>
            <w:tcW w:w="5846" w:type="dxa"/>
            <w:shd w:val="clear" w:color="auto" w:fill="auto"/>
            <w:vAlign w:val="bottom"/>
          </w:tcPr>
          <w:p w14:paraId="0B6E9DC8" w14:textId="77777777" w:rsidR="00C52BA0" w:rsidRPr="0037067D" w:rsidRDefault="00C52BA0" w:rsidP="00C52BA0">
            <w:pPr>
              <w:spacing w:before="40"/>
              <w:rPr>
                <w:b/>
                <w:bCs/>
                <w:color w:val="000000"/>
                <w:sz w:val="22"/>
                <w:szCs w:val="22"/>
                <w:highlight w:val="cyan"/>
              </w:rPr>
            </w:pPr>
            <w:r w:rsidRPr="0037067D">
              <w:rPr>
                <w:b/>
                <w:bCs/>
                <w:color w:val="000000"/>
                <w:sz w:val="22"/>
                <w:szCs w:val="22"/>
              </w:rPr>
              <w:t>Additions</w:t>
            </w:r>
          </w:p>
        </w:tc>
        <w:tc>
          <w:tcPr>
            <w:tcW w:w="1666" w:type="dxa"/>
            <w:shd w:val="clear" w:color="auto" w:fill="auto"/>
            <w:noWrap/>
            <w:vAlign w:val="bottom"/>
          </w:tcPr>
          <w:p w14:paraId="2DA7C35F" w14:textId="77777777" w:rsidR="00C52BA0" w:rsidRPr="0037067D" w:rsidRDefault="00C52BA0" w:rsidP="0037067D">
            <w:pPr>
              <w:spacing w:before="40"/>
              <w:jc w:val="right"/>
              <w:rPr>
                <w:sz w:val="22"/>
                <w:szCs w:val="22"/>
              </w:rPr>
            </w:pPr>
          </w:p>
        </w:tc>
        <w:tc>
          <w:tcPr>
            <w:tcW w:w="1595" w:type="dxa"/>
            <w:shd w:val="clear" w:color="auto" w:fill="auto"/>
            <w:noWrap/>
            <w:vAlign w:val="bottom"/>
          </w:tcPr>
          <w:p w14:paraId="17FED274" w14:textId="77777777" w:rsidR="00C52BA0" w:rsidRPr="0037067D" w:rsidRDefault="00C52BA0" w:rsidP="00C52BA0">
            <w:pPr>
              <w:spacing w:before="40"/>
              <w:jc w:val="right"/>
              <w:rPr>
                <w:color w:val="000000"/>
                <w:sz w:val="22"/>
                <w:szCs w:val="22"/>
              </w:rPr>
            </w:pPr>
          </w:p>
        </w:tc>
      </w:tr>
      <w:tr w:rsidR="0037067D" w14:paraId="1634BEBC" w14:textId="77777777" w:rsidTr="005101BC">
        <w:trPr>
          <w:trHeight w:val="283"/>
        </w:trPr>
        <w:tc>
          <w:tcPr>
            <w:tcW w:w="5846" w:type="dxa"/>
            <w:shd w:val="clear" w:color="auto" w:fill="auto"/>
            <w:vAlign w:val="bottom"/>
            <w:hideMark/>
          </w:tcPr>
          <w:p w14:paraId="1239DE96" w14:textId="77777777" w:rsidR="0037067D" w:rsidRPr="0037067D" w:rsidRDefault="0037067D" w:rsidP="0037067D">
            <w:pPr>
              <w:spacing w:before="40"/>
              <w:ind w:left="170"/>
              <w:rPr>
                <w:sz w:val="22"/>
                <w:szCs w:val="22"/>
              </w:rPr>
            </w:pPr>
            <w:r w:rsidRPr="0037067D">
              <w:rPr>
                <w:color w:val="000000"/>
                <w:sz w:val="22"/>
                <w:szCs w:val="22"/>
              </w:rPr>
              <w:t xml:space="preserve">Construction cost </w:t>
            </w:r>
          </w:p>
        </w:tc>
        <w:tc>
          <w:tcPr>
            <w:tcW w:w="1666" w:type="dxa"/>
            <w:shd w:val="clear" w:color="auto" w:fill="auto"/>
            <w:noWrap/>
            <w:vAlign w:val="bottom"/>
          </w:tcPr>
          <w:p w14:paraId="511CEC8B" w14:textId="4C2CB51B" w:rsidR="0037067D" w:rsidRPr="0037067D" w:rsidRDefault="0037067D" w:rsidP="0037067D">
            <w:pPr>
              <w:spacing w:before="40"/>
              <w:jc w:val="right"/>
              <w:rPr>
                <w:sz w:val="22"/>
                <w:szCs w:val="22"/>
              </w:rPr>
            </w:pPr>
            <w:r w:rsidRPr="0037067D">
              <w:rPr>
                <w:sz w:val="22"/>
                <w:szCs w:val="22"/>
              </w:rPr>
              <w:t>8,912</w:t>
            </w:r>
          </w:p>
        </w:tc>
        <w:tc>
          <w:tcPr>
            <w:tcW w:w="1595" w:type="dxa"/>
            <w:shd w:val="clear" w:color="auto" w:fill="auto"/>
            <w:noWrap/>
            <w:vAlign w:val="center"/>
          </w:tcPr>
          <w:p w14:paraId="5DAB7858" w14:textId="0E17A1AF" w:rsidR="0037067D" w:rsidRPr="0037067D" w:rsidRDefault="0037067D" w:rsidP="0037067D">
            <w:pPr>
              <w:spacing w:before="40"/>
              <w:jc w:val="right"/>
              <w:rPr>
                <w:sz w:val="22"/>
                <w:szCs w:val="22"/>
              </w:rPr>
            </w:pPr>
            <w:r w:rsidRPr="0037067D">
              <w:rPr>
                <w:sz w:val="22"/>
                <w:szCs w:val="22"/>
              </w:rPr>
              <w:t xml:space="preserve">           15,624 </w:t>
            </w:r>
          </w:p>
        </w:tc>
      </w:tr>
      <w:tr w:rsidR="0037067D" w14:paraId="764B79A0" w14:textId="77777777" w:rsidTr="005101BC">
        <w:trPr>
          <w:trHeight w:val="283"/>
        </w:trPr>
        <w:tc>
          <w:tcPr>
            <w:tcW w:w="5846" w:type="dxa"/>
            <w:shd w:val="clear" w:color="auto" w:fill="auto"/>
            <w:noWrap/>
            <w:vAlign w:val="bottom"/>
            <w:hideMark/>
          </w:tcPr>
          <w:p w14:paraId="0085E1F5" w14:textId="77777777" w:rsidR="0037067D" w:rsidRPr="0037067D" w:rsidRDefault="0037067D" w:rsidP="0037067D">
            <w:pPr>
              <w:spacing w:before="40"/>
              <w:ind w:left="170"/>
              <w:rPr>
                <w:sz w:val="22"/>
                <w:szCs w:val="22"/>
              </w:rPr>
            </w:pPr>
            <w:r w:rsidRPr="0037067D">
              <w:rPr>
                <w:color w:val="000000"/>
                <w:sz w:val="22"/>
                <w:szCs w:val="22"/>
              </w:rPr>
              <w:t xml:space="preserve">Interest capitalized </w:t>
            </w:r>
          </w:p>
        </w:tc>
        <w:tc>
          <w:tcPr>
            <w:tcW w:w="1666" w:type="dxa"/>
            <w:shd w:val="clear" w:color="auto" w:fill="auto"/>
            <w:noWrap/>
            <w:vAlign w:val="bottom"/>
          </w:tcPr>
          <w:p w14:paraId="2B3A1533" w14:textId="4EFEF498" w:rsidR="0037067D" w:rsidRPr="0037067D" w:rsidRDefault="0037067D" w:rsidP="0037067D">
            <w:pPr>
              <w:spacing w:before="40"/>
              <w:jc w:val="right"/>
              <w:rPr>
                <w:sz w:val="22"/>
                <w:szCs w:val="22"/>
              </w:rPr>
            </w:pPr>
            <w:r w:rsidRPr="0037067D">
              <w:rPr>
                <w:sz w:val="22"/>
                <w:szCs w:val="22"/>
              </w:rPr>
              <w:t>472</w:t>
            </w:r>
          </w:p>
        </w:tc>
        <w:tc>
          <w:tcPr>
            <w:tcW w:w="1595" w:type="dxa"/>
            <w:shd w:val="clear" w:color="auto" w:fill="auto"/>
            <w:noWrap/>
            <w:vAlign w:val="center"/>
          </w:tcPr>
          <w:p w14:paraId="6E4C0AE9" w14:textId="60020F72" w:rsidR="0037067D" w:rsidRPr="0037067D" w:rsidRDefault="0037067D" w:rsidP="0037067D">
            <w:pPr>
              <w:spacing w:before="40"/>
              <w:jc w:val="right"/>
              <w:rPr>
                <w:sz w:val="22"/>
                <w:szCs w:val="22"/>
              </w:rPr>
            </w:pPr>
            <w:r w:rsidRPr="0037067D">
              <w:rPr>
                <w:sz w:val="22"/>
                <w:szCs w:val="22"/>
              </w:rPr>
              <w:t xml:space="preserve">                287 </w:t>
            </w:r>
          </w:p>
        </w:tc>
      </w:tr>
      <w:tr w:rsidR="00C52BA0" w14:paraId="085EB2E9" w14:textId="77777777" w:rsidTr="005101BC">
        <w:trPr>
          <w:trHeight w:val="283"/>
        </w:trPr>
        <w:tc>
          <w:tcPr>
            <w:tcW w:w="5846" w:type="dxa"/>
            <w:shd w:val="clear" w:color="auto" w:fill="auto"/>
            <w:vAlign w:val="bottom"/>
          </w:tcPr>
          <w:p w14:paraId="4885E3CA" w14:textId="77777777" w:rsidR="00C52BA0" w:rsidRPr="0037067D" w:rsidRDefault="00C52BA0" w:rsidP="00C52BA0">
            <w:pPr>
              <w:spacing w:before="40"/>
              <w:rPr>
                <w:b/>
                <w:bCs/>
                <w:sz w:val="22"/>
                <w:szCs w:val="22"/>
              </w:rPr>
            </w:pPr>
            <w:r w:rsidRPr="0037067D">
              <w:rPr>
                <w:b/>
                <w:bCs/>
                <w:sz w:val="22"/>
                <w:szCs w:val="22"/>
              </w:rPr>
              <w:t>Disposals</w:t>
            </w:r>
          </w:p>
        </w:tc>
        <w:tc>
          <w:tcPr>
            <w:tcW w:w="1666" w:type="dxa"/>
            <w:shd w:val="clear" w:color="auto" w:fill="auto"/>
            <w:noWrap/>
            <w:vAlign w:val="bottom"/>
          </w:tcPr>
          <w:p w14:paraId="53808F2D" w14:textId="77777777" w:rsidR="00C52BA0" w:rsidRPr="0037067D" w:rsidRDefault="00C52BA0" w:rsidP="0037067D">
            <w:pPr>
              <w:spacing w:before="40"/>
              <w:jc w:val="right"/>
              <w:rPr>
                <w:sz w:val="22"/>
                <w:szCs w:val="22"/>
              </w:rPr>
            </w:pPr>
          </w:p>
        </w:tc>
        <w:tc>
          <w:tcPr>
            <w:tcW w:w="1595" w:type="dxa"/>
            <w:shd w:val="clear" w:color="auto" w:fill="auto"/>
            <w:noWrap/>
            <w:vAlign w:val="center"/>
          </w:tcPr>
          <w:p w14:paraId="0601A68A" w14:textId="77777777" w:rsidR="00C52BA0" w:rsidRPr="0037067D" w:rsidRDefault="00C52BA0" w:rsidP="00C52BA0">
            <w:pPr>
              <w:spacing w:before="40"/>
              <w:jc w:val="right"/>
              <w:rPr>
                <w:color w:val="000000"/>
                <w:sz w:val="22"/>
                <w:szCs w:val="22"/>
              </w:rPr>
            </w:pPr>
          </w:p>
        </w:tc>
      </w:tr>
      <w:tr w:rsidR="00C52BA0" w14:paraId="136E754C" w14:textId="77777777" w:rsidTr="005101BC">
        <w:trPr>
          <w:trHeight w:val="283"/>
        </w:trPr>
        <w:tc>
          <w:tcPr>
            <w:tcW w:w="5846" w:type="dxa"/>
            <w:shd w:val="clear" w:color="auto" w:fill="auto"/>
            <w:vAlign w:val="bottom"/>
          </w:tcPr>
          <w:p w14:paraId="34023FA8" w14:textId="3A67A0F6" w:rsidR="00C52BA0" w:rsidRPr="0037067D" w:rsidRDefault="00C52BA0" w:rsidP="00C52BA0">
            <w:pPr>
              <w:spacing w:before="40"/>
              <w:ind w:left="170"/>
              <w:rPr>
                <w:sz w:val="22"/>
                <w:szCs w:val="22"/>
              </w:rPr>
            </w:pPr>
            <w:r w:rsidRPr="0037067D">
              <w:rPr>
                <w:sz w:val="22"/>
                <w:szCs w:val="22"/>
              </w:rPr>
              <w:t>Transfer to investment property</w:t>
            </w:r>
          </w:p>
        </w:tc>
        <w:tc>
          <w:tcPr>
            <w:tcW w:w="1666" w:type="dxa"/>
            <w:shd w:val="clear" w:color="auto" w:fill="auto"/>
            <w:noWrap/>
            <w:vAlign w:val="bottom"/>
          </w:tcPr>
          <w:p w14:paraId="5550CD8C" w14:textId="7F61A97D" w:rsidR="00C52BA0" w:rsidRPr="0037067D" w:rsidRDefault="0037067D" w:rsidP="0037067D">
            <w:pPr>
              <w:spacing w:before="40"/>
              <w:jc w:val="right"/>
              <w:rPr>
                <w:sz w:val="22"/>
                <w:szCs w:val="22"/>
              </w:rPr>
            </w:pPr>
            <w:r w:rsidRPr="0037067D">
              <w:rPr>
                <w:sz w:val="22"/>
                <w:szCs w:val="22"/>
              </w:rPr>
              <w:t>-</w:t>
            </w:r>
          </w:p>
        </w:tc>
        <w:tc>
          <w:tcPr>
            <w:tcW w:w="1595" w:type="dxa"/>
            <w:shd w:val="clear" w:color="auto" w:fill="auto"/>
            <w:noWrap/>
            <w:vAlign w:val="center"/>
          </w:tcPr>
          <w:p w14:paraId="17EA5292" w14:textId="010C87AA" w:rsidR="00C52BA0" w:rsidRPr="0037067D" w:rsidRDefault="00C52BA0" w:rsidP="00C52BA0">
            <w:pPr>
              <w:spacing w:before="40"/>
              <w:jc w:val="right"/>
              <w:rPr>
                <w:color w:val="000000"/>
                <w:sz w:val="22"/>
                <w:szCs w:val="22"/>
              </w:rPr>
            </w:pPr>
            <w:r w:rsidRPr="0037067D">
              <w:rPr>
                <w:sz w:val="22"/>
                <w:szCs w:val="22"/>
              </w:rPr>
              <w:t xml:space="preserve">            (5,494)</w:t>
            </w:r>
          </w:p>
        </w:tc>
      </w:tr>
      <w:tr w:rsidR="00C52BA0" w14:paraId="217CABE5" w14:textId="77777777" w:rsidTr="005101BC">
        <w:trPr>
          <w:trHeight w:val="283"/>
        </w:trPr>
        <w:tc>
          <w:tcPr>
            <w:tcW w:w="5846" w:type="dxa"/>
            <w:shd w:val="clear" w:color="auto" w:fill="auto"/>
            <w:vAlign w:val="bottom"/>
          </w:tcPr>
          <w:p w14:paraId="0DF00ED2" w14:textId="31358A9B" w:rsidR="00C52BA0" w:rsidRPr="0037067D" w:rsidRDefault="00C52BA0" w:rsidP="00C52BA0">
            <w:pPr>
              <w:spacing w:before="40"/>
              <w:ind w:left="170"/>
              <w:rPr>
                <w:sz w:val="22"/>
                <w:szCs w:val="22"/>
              </w:rPr>
            </w:pPr>
            <w:r w:rsidRPr="0037067D">
              <w:rPr>
                <w:sz w:val="22"/>
                <w:szCs w:val="22"/>
              </w:rPr>
              <w:t>Transfer to investment property under development</w:t>
            </w:r>
          </w:p>
        </w:tc>
        <w:tc>
          <w:tcPr>
            <w:tcW w:w="1666" w:type="dxa"/>
            <w:shd w:val="clear" w:color="auto" w:fill="auto"/>
            <w:noWrap/>
            <w:vAlign w:val="bottom"/>
          </w:tcPr>
          <w:p w14:paraId="4D754729" w14:textId="60B02430" w:rsidR="00C52BA0" w:rsidRPr="0037067D" w:rsidRDefault="0037067D" w:rsidP="0037067D">
            <w:pPr>
              <w:spacing w:before="40"/>
              <w:jc w:val="right"/>
              <w:rPr>
                <w:sz w:val="22"/>
                <w:szCs w:val="22"/>
              </w:rPr>
            </w:pPr>
            <w:r w:rsidRPr="0037067D">
              <w:rPr>
                <w:sz w:val="22"/>
                <w:szCs w:val="22"/>
              </w:rPr>
              <w:t>-</w:t>
            </w:r>
          </w:p>
        </w:tc>
        <w:tc>
          <w:tcPr>
            <w:tcW w:w="1595" w:type="dxa"/>
            <w:shd w:val="clear" w:color="auto" w:fill="auto"/>
            <w:noWrap/>
            <w:vAlign w:val="center"/>
          </w:tcPr>
          <w:p w14:paraId="2737C491" w14:textId="6E796396" w:rsidR="00C52BA0" w:rsidRPr="0037067D" w:rsidRDefault="00C52BA0" w:rsidP="00C52BA0">
            <w:pPr>
              <w:spacing w:before="40"/>
              <w:jc w:val="right"/>
              <w:rPr>
                <w:sz w:val="22"/>
                <w:szCs w:val="22"/>
              </w:rPr>
            </w:pPr>
            <w:r w:rsidRPr="0037067D">
              <w:rPr>
                <w:sz w:val="22"/>
                <w:szCs w:val="22"/>
              </w:rPr>
              <w:t xml:space="preserve">          (12,592)</w:t>
            </w:r>
          </w:p>
        </w:tc>
      </w:tr>
      <w:tr w:rsidR="00C52BA0" w14:paraId="36F654A4" w14:textId="77777777" w:rsidTr="005101BC">
        <w:trPr>
          <w:trHeight w:val="283"/>
        </w:trPr>
        <w:tc>
          <w:tcPr>
            <w:tcW w:w="5846" w:type="dxa"/>
            <w:shd w:val="clear" w:color="auto" w:fill="auto"/>
            <w:vAlign w:val="bottom"/>
          </w:tcPr>
          <w:p w14:paraId="0F969850" w14:textId="77777777" w:rsidR="00C52BA0" w:rsidRPr="0037067D" w:rsidRDefault="00C52BA0" w:rsidP="00C52BA0">
            <w:pPr>
              <w:spacing w:before="40"/>
              <w:ind w:left="170"/>
              <w:rPr>
                <w:sz w:val="22"/>
                <w:szCs w:val="22"/>
              </w:rPr>
            </w:pPr>
            <w:r w:rsidRPr="0037067D">
              <w:rPr>
                <w:color w:val="000000"/>
                <w:sz w:val="22"/>
                <w:szCs w:val="22"/>
              </w:rPr>
              <w:t xml:space="preserve">Carrying value of trading properties sold </w:t>
            </w:r>
          </w:p>
        </w:tc>
        <w:tc>
          <w:tcPr>
            <w:tcW w:w="1666" w:type="dxa"/>
            <w:shd w:val="clear" w:color="auto" w:fill="auto"/>
            <w:noWrap/>
            <w:vAlign w:val="bottom"/>
          </w:tcPr>
          <w:p w14:paraId="1F5DF547" w14:textId="1478F528" w:rsidR="00C52BA0" w:rsidRPr="0037067D" w:rsidRDefault="0037067D" w:rsidP="0037067D">
            <w:pPr>
              <w:spacing w:before="40"/>
              <w:jc w:val="right"/>
              <w:rPr>
                <w:sz w:val="22"/>
                <w:szCs w:val="22"/>
              </w:rPr>
            </w:pPr>
            <w:r w:rsidRPr="0037067D">
              <w:rPr>
                <w:sz w:val="22"/>
                <w:szCs w:val="22"/>
              </w:rPr>
              <w:t>(5,339)</w:t>
            </w:r>
          </w:p>
        </w:tc>
        <w:tc>
          <w:tcPr>
            <w:tcW w:w="1595" w:type="dxa"/>
            <w:shd w:val="clear" w:color="auto" w:fill="auto"/>
            <w:noWrap/>
            <w:vAlign w:val="center"/>
          </w:tcPr>
          <w:p w14:paraId="729771D1" w14:textId="73EB6711" w:rsidR="00C52BA0" w:rsidRPr="0037067D" w:rsidRDefault="00C52BA0" w:rsidP="00C52BA0">
            <w:pPr>
              <w:spacing w:before="40"/>
              <w:jc w:val="right"/>
              <w:rPr>
                <w:sz w:val="22"/>
                <w:szCs w:val="22"/>
              </w:rPr>
            </w:pPr>
            <w:r w:rsidRPr="0037067D">
              <w:rPr>
                <w:sz w:val="22"/>
                <w:szCs w:val="22"/>
              </w:rPr>
              <w:t xml:space="preserve">            (8,338)</w:t>
            </w:r>
          </w:p>
        </w:tc>
      </w:tr>
      <w:tr w:rsidR="00C52BA0" w14:paraId="0FB4C830" w14:textId="77777777" w:rsidTr="005101BC">
        <w:trPr>
          <w:trHeight w:val="283"/>
        </w:trPr>
        <w:tc>
          <w:tcPr>
            <w:tcW w:w="5846" w:type="dxa"/>
            <w:shd w:val="clear" w:color="auto" w:fill="auto"/>
            <w:vAlign w:val="bottom"/>
          </w:tcPr>
          <w:p w14:paraId="2319D8D8" w14:textId="77777777" w:rsidR="00C52BA0" w:rsidRPr="0037067D" w:rsidRDefault="00C52BA0" w:rsidP="00C52BA0">
            <w:pPr>
              <w:spacing w:before="40"/>
              <w:rPr>
                <w:b/>
                <w:bCs/>
                <w:sz w:val="22"/>
                <w:szCs w:val="22"/>
              </w:rPr>
            </w:pPr>
            <w:r w:rsidRPr="0037067D">
              <w:rPr>
                <w:b/>
                <w:bCs/>
                <w:sz w:val="22"/>
                <w:szCs w:val="22"/>
              </w:rPr>
              <w:t>Others</w:t>
            </w:r>
          </w:p>
        </w:tc>
        <w:tc>
          <w:tcPr>
            <w:tcW w:w="1666" w:type="dxa"/>
            <w:shd w:val="clear" w:color="auto" w:fill="auto"/>
            <w:noWrap/>
            <w:vAlign w:val="bottom"/>
          </w:tcPr>
          <w:p w14:paraId="31A091F7" w14:textId="77777777" w:rsidR="00C52BA0" w:rsidRPr="0037067D" w:rsidRDefault="00C52BA0" w:rsidP="0037067D">
            <w:pPr>
              <w:spacing w:before="40"/>
              <w:jc w:val="right"/>
              <w:rPr>
                <w:sz w:val="22"/>
                <w:szCs w:val="22"/>
              </w:rPr>
            </w:pPr>
          </w:p>
        </w:tc>
        <w:tc>
          <w:tcPr>
            <w:tcW w:w="1595" w:type="dxa"/>
            <w:shd w:val="clear" w:color="auto" w:fill="auto"/>
            <w:noWrap/>
            <w:vAlign w:val="bottom"/>
          </w:tcPr>
          <w:p w14:paraId="780C6CBF" w14:textId="77777777" w:rsidR="00C52BA0" w:rsidRPr="0037067D" w:rsidRDefault="00C52BA0" w:rsidP="00C52BA0">
            <w:pPr>
              <w:spacing w:before="40"/>
              <w:jc w:val="right"/>
              <w:rPr>
                <w:sz w:val="22"/>
                <w:szCs w:val="22"/>
              </w:rPr>
            </w:pPr>
          </w:p>
        </w:tc>
      </w:tr>
      <w:tr w:rsidR="0037067D" w14:paraId="3E5E3FFA" w14:textId="77777777" w:rsidTr="005101BC">
        <w:trPr>
          <w:trHeight w:val="283"/>
        </w:trPr>
        <w:tc>
          <w:tcPr>
            <w:tcW w:w="5846" w:type="dxa"/>
            <w:shd w:val="clear" w:color="auto" w:fill="auto"/>
            <w:vAlign w:val="bottom"/>
          </w:tcPr>
          <w:p w14:paraId="31B20A71" w14:textId="7C3C7423" w:rsidR="0037067D" w:rsidRPr="0037067D" w:rsidRDefault="0037067D" w:rsidP="0037067D">
            <w:pPr>
              <w:spacing w:before="40"/>
              <w:ind w:left="170"/>
              <w:rPr>
                <w:color w:val="000000"/>
                <w:sz w:val="22"/>
                <w:szCs w:val="22"/>
              </w:rPr>
            </w:pPr>
            <w:r w:rsidRPr="0037067D">
              <w:rPr>
                <w:color w:val="000000"/>
                <w:sz w:val="22"/>
                <w:szCs w:val="22"/>
              </w:rPr>
              <w:t>Effect of movement in foreign exchange</w:t>
            </w:r>
          </w:p>
        </w:tc>
        <w:tc>
          <w:tcPr>
            <w:tcW w:w="1666" w:type="dxa"/>
            <w:shd w:val="clear" w:color="auto" w:fill="auto"/>
            <w:noWrap/>
            <w:vAlign w:val="bottom"/>
          </w:tcPr>
          <w:p w14:paraId="16475BC2" w14:textId="25FA5997" w:rsidR="0037067D" w:rsidRPr="0037067D" w:rsidRDefault="0037067D" w:rsidP="0037067D">
            <w:pPr>
              <w:spacing w:before="40"/>
              <w:jc w:val="right"/>
              <w:rPr>
                <w:sz w:val="22"/>
                <w:szCs w:val="22"/>
              </w:rPr>
            </w:pPr>
            <w:r w:rsidRPr="0037067D">
              <w:rPr>
                <w:sz w:val="22"/>
                <w:szCs w:val="22"/>
              </w:rPr>
              <w:t>(442)</w:t>
            </w:r>
          </w:p>
        </w:tc>
        <w:tc>
          <w:tcPr>
            <w:tcW w:w="1595" w:type="dxa"/>
            <w:shd w:val="clear" w:color="auto" w:fill="auto"/>
            <w:noWrap/>
            <w:vAlign w:val="center"/>
          </w:tcPr>
          <w:p w14:paraId="4A97D8A0" w14:textId="6334DAEB" w:rsidR="0037067D" w:rsidRPr="0037067D" w:rsidRDefault="0037067D" w:rsidP="0037067D">
            <w:pPr>
              <w:spacing w:before="40"/>
              <w:jc w:val="right"/>
              <w:rPr>
                <w:sz w:val="22"/>
                <w:szCs w:val="22"/>
              </w:rPr>
            </w:pPr>
            <w:r w:rsidRPr="0037067D">
              <w:rPr>
                <w:sz w:val="22"/>
                <w:szCs w:val="22"/>
              </w:rPr>
              <w:t xml:space="preserve">              (217)</w:t>
            </w:r>
          </w:p>
        </w:tc>
      </w:tr>
      <w:tr w:rsidR="0037067D" w14:paraId="68FB7167" w14:textId="77777777" w:rsidTr="005101BC">
        <w:trPr>
          <w:trHeight w:val="283"/>
        </w:trPr>
        <w:tc>
          <w:tcPr>
            <w:tcW w:w="5846" w:type="dxa"/>
            <w:shd w:val="clear" w:color="auto" w:fill="auto"/>
            <w:vAlign w:val="bottom"/>
          </w:tcPr>
          <w:p w14:paraId="25708306" w14:textId="7571C13C" w:rsidR="0037067D" w:rsidRPr="0037067D" w:rsidRDefault="0037067D" w:rsidP="0037067D">
            <w:pPr>
              <w:spacing w:before="40"/>
              <w:ind w:left="170"/>
              <w:rPr>
                <w:sz w:val="22"/>
                <w:szCs w:val="22"/>
              </w:rPr>
            </w:pPr>
            <w:r w:rsidRPr="0037067D">
              <w:rPr>
                <w:color w:val="000000"/>
                <w:sz w:val="22"/>
                <w:szCs w:val="22"/>
              </w:rPr>
              <w:t>Write-down of inventory to net realizable value</w:t>
            </w:r>
          </w:p>
        </w:tc>
        <w:tc>
          <w:tcPr>
            <w:tcW w:w="1666" w:type="dxa"/>
            <w:shd w:val="clear" w:color="auto" w:fill="auto"/>
            <w:noWrap/>
            <w:vAlign w:val="bottom"/>
          </w:tcPr>
          <w:p w14:paraId="685F4FC0" w14:textId="44DF2EB1" w:rsidR="0037067D" w:rsidRPr="0037067D" w:rsidRDefault="0037067D" w:rsidP="0037067D">
            <w:pPr>
              <w:pBdr>
                <w:bottom w:val="single" w:sz="4" w:space="1" w:color="auto"/>
              </w:pBdr>
              <w:spacing w:before="40"/>
              <w:jc w:val="right"/>
              <w:rPr>
                <w:sz w:val="22"/>
                <w:szCs w:val="22"/>
              </w:rPr>
            </w:pPr>
            <w:r w:rsidRPr="0037067D">
              <w:rPr>
                <w:sz w:val="22"/>
                <w:szCs w:val="22"/>
              </w:rPr>
              <w:t>-</w:t>
            </w:r>
          </w:p>
        </w:tc>
        <w:tc>
          <w:tcPr>
            <w:tcW w:w="1595" w:type="dxa"/>
            <w:shd w:val="clear" w:color="auto" w:fill="auto"/>
            <w:noWrap/>
            <w:vAlign w:val="center"/>
          </w:tcPr>
          <w:p w14:paraId="2B835909" w14:textId="2D51627D" w:rsidR="0037067D" w:rsidRPr="0037067D" w:rsidRDefault="0037067D" w:rsidP="0037067D">
            <w:pPr>
              <w:pBdr>
                <w:bottom w:val="single" w:sz="4" w:space="1" w:color="auto"/>
              </w:pBdr>
              <w:spacing w:before="40"/>
              <w:jc w:val="right"/>
              <w:rPr>
                <w:sz w:val="22"/>
                <w:szCs w:val="22"/>
              </w:rPr>
            </w:pPr>
            <w:r w:rsidRPr="0037067D">
              <w:rPr>
                <w:sz w:val="22"/>
                <w:szCs w:val="22"/>
              </w:rPr>
              <w:t xml:space="preserve">            (6,912)</w:t>
            </w:r>
          </w:p>
        </w:tc>
      </w:tr>
      <w:tr w:rsidR="0037067D" w:rsidRPr="005C7D15" w14:paraId="0EDB014B" w14:textId="77777777" w:rsidTr="005101BC">
        <w:trPr>
          <w:trHeight w:val="283"/>
        </w:trPr>
        <w:tc>
          <w:tcPr>
            <w:tcW w:w="5846" w:type="dxa"/>
            <w:shd w:val="clear" w:color="auto" w:fill="auto"/>
            <w:vAlign w:val="bottom"/>
            <w:hideMark/>
          </w:tcPr>
          <w:p w14:paraId="342C5647" w14:textId="77777777" w:rsidR="0037067D" w:rsidRPr="0037067D" w:rsidRDefault="0037067D" w:rsidP="0037067D">
            <w:pPr>
              <w:spacing w:before="40"/>
              <w:rPr>
                <w:b/>
                <w:bCs/>
                <w:sz w:val="22"/>
                <w:szCs w:val="22"/>
              </w:rPr>
            </w:pPr>
            <w:r w:rsidRPr="0037067D">
              <w:rPr>
                <w:b/>
                <w:bCs/>
                <w:color w:val="000000"/>
                <w:sz w:val="22"/>
                <w:szCs w:val="22"/>
              </w:rPr>
              <w:t xml:space="preserve">Balance </w:t>
            </w:r>
            <w:proofErr w:type="gramStart"/>
            <w:r w:rsidRPr="0037067D">
              <w:rPr>
                <w:b/>
                <w:bCs/>
                <w:color w:val="000000"/>
                <w:sz w:val="22"/>
                <w:szCs w:val="22"/>
              </w:rPr>
              <w:t>at</w:t>
            </w:r>
            <w:proofErr w:type="gramEnd"/>
            <w:r w:rsidRPr="0037067D">
              <w:rPr>
                <w:b/>
                <w:bCs/>
                <w:color w:val="000000"/>
                <w:sz w:val="22"/>
                <w:szCs w:val="22"/>
              </w:rPr>
              <w:t xml:space="preserve"> December 31</w:t>
            </w:r>
          </w:p>
        </w:tc>
        <w:tc>
          <w:tcPr>
            <w:tcW w:w="1666" w:type="dxa"/>
            <w:shd w:val="clear" w:color="auto" w:fill="auto"/>
            <w:noWrap/>
            <w:vAlign w:val="bottom"/>
          </w:tcPr>
          <w:p w14:paraId="23F6A42E" w14:textId="7CF63C0C" w:rsidR="0037067D" w:rsidRPr="0037067D" w:rsidRDefault="0037067D" w:rsidP="0037067D">
            <w:pPr>
              <w:pBdr>
                <w:bottom w:val="double" w:sz="4" w:space="0" w:color="000000"/>
              </w:pBdr>
              <w:spacing w:before="40"/>
              <w:jc w:val="right"/>
              <w:rPr>
                <w:sz w:val="22"/>
                <w:szCs w:val="22"/>
              </w:rPr>
            </w:pPr>
            <w:r w:rsidRPr="0037067D">
              <w:rPr>
                <w:sz w:val="22"/>
                <w:szCs w:val="22"/>
              </w:rPr>
              <w:t>137,519</w:t>
            </w:r>
          </w:p>
        </w:tc>
        <w:tc>
          <w:tcPr>
            <w:tcW w:w="1595" w:type="dxa"/>
            <w:shd w:val="clear" w:color="auto" w:fill="auto"/>
            <w:noWrap/>
            <w:vAlign w:val="center"/>
          </w:tcPr>
          <w:p w14:paraId="48055001" w14:textId="6CDF4813" w:rsidR="0037067D" w:rsidRPr="0037067D" w:rsidRDefault="0037067D" w:rsidP="0037067D">
            <w:pPr>
              <w:pBdr>
                <w:bottom w:val="double" w:sz="4" w:space="0" w:color="000000"/>
              </w:pBdr>
              <w:spacing w:before="40"/>
              <w:jc w:val="right"/>
              <w:rPr>
                <w:sz w:val="22"/>
                <w:szCs w:val="22"/>
              </w:rPr>
            </w:pPr>
            <w:r w:rsidRPr="0037067D">
              <w:rPr>
                <w:sz w:val="22"/>
                <w:szCs w:val="22"/>
              </w:rPr>
              <w:t xml:space="preserve">          133,916 </w:t>
            </w:r>
          </w:p>
        </w:tc>
      </w:tr>
    </w:tbl>
    <w:p w14:paraId="02CD664D" w14:textId="77777777" w:rsidR="00030CEF" w:rsidRPr="005C7D15" w:rsidRDefault="00030CEF" w:rsidP="00030CEF">
      <w:pPr>
        <w:ind w:left="720"/>
        <w:rPr>
          <w:sz w:val="10"/>
          <w:szCs w:val="10"/>
        </w:rPr>
      </w:pPr>
    </w:p>
    <w:p w14:paraId="135BFDC3" w14:textId="77777777" w:rsidR="002B2989" w:rsidRPr="005C7D15" w:rsidRDefault="002B2989" w:rsidP="005845CC">
      <w:pPr>
        <w:rPr>
          <w:sz w:val="14"/>
          <w:szCs w:val="14"/>
        </w:rPr>
      </w:pPr>
    </w:p>
    <w:p w14:paraId="52EDAD44" w14:textId="2FCB41DD" w:rsidR="00F46D0A" w:rsidRPr="005C7D15" w:rsidRDefault="00F46D0A" w:rsidP="00F46D0A">
      <w:pPr>
        <w:ind w:left="720"/>
        <w:jc w:val="both"/>
        <w:rPr>
          <w:sz w:val="22"/>
          <w:szCs w:val="22"/>
        </w:rPr>
      </w:pPr>
      <w:r w:rsidRPr="001A17CA">
        <w:rPr>
          <w:sz w:val="22"/>
          <w:szCs w:val="22"/>
        </w:rPr>
        <w:t xml:space="preserve">The closing </w:t>
      </w:r>
      <w:r w:rsidRPr="00055843">
        <w:rPr>
          <w:sz w:val="22"/>
          <w:szCs w:val="22"/>
        </w:rPr>
        <w:t>balance includes inventory expected to be sold after more than 12 months in an amount of EUR</w:t>
      </w:r>
      <w:r w:rsidR="003F57BD" w:rsidRPr="00055843">
        <w:rPr>
          <w:sz w:val="22"/>
          <w:szCs w:val="22"/>
        </w:rPr>
        <w:t xml:space="preserve"> </w:t>
      </w:r>
      <w:r w:rsidR="00055843" w:rsidRPr="00055843">
        <w:rPr>
          <w:sz w:val="22"/>
          <w:szCs w:val="22"/>
        </w:rPr>
        <w:t>11</w:t>
      </w:r>
      <w:r w:rsidR="003F57BD" w:rsidRPr="00055843">
        <w:rPr>
          <w:sz w:val="22"/>
          <w:szCs w:val="22"/>
        </w:rPr>
        <w:t>,</w:t>
      </w:r>
      <w:r w:rsidR="00055843" w:rsidRPr="00055843">
        <w:rPr>
          <w:sz w:val="22"/>
          <w:szCs w:val="22"/>
        </w:rPr>
        <w:t>737</w:t>
      </w:r>
      <w:r w:rsidR="003F57BD" w:rsidRPr="00055843">
        <w:rPr>
          <w:sz w:val="22"/>
          <w:szCs w:val="22"/>
        </w:rPr>
        <w:t xml:space="preserve"> </w:t>
      </w:r>
      <w:r w:rsidRPr="00055843">
        <w:rPr>
          <w:sz w:val="22"/>
          <w:szCs w:val="22"/>
        </w:rPr>
        <w:t xml:space="preserve">thousand and long-term land inventory in the amount of EUR </w:t>
      </w:r>
      <w:r w:rsidR="003F57BD" w:rsidRPr="00055843">
        <w:rPr>
          <w:sz w:val="22"/>
          <w:szCs w:val="22"/>
        </w:rPr>
        <w:t>113,</w:t>
      </w:r>
      <w:r w:rsidR="00055843" w:rsidRPr="00055843">
        <w:rPr>
          <w:sz w:val="22"/>
          <w:szCs w:val="22"/>
        </w:rPr>
        <w:t>522</w:t>
      </w:r>
      <w:r w:rsidR="003F57BD" w:rsidRPr="00055843">
        <w:rPr>
          <w:sz w:val="22"/>
          <w:szCs w:val="22"/>
        </w:rPr>
        <w:t xml:space="preserve"> </w:t>
      </w:r>
      <w:r w:rsidRPr="00055843">
        <w:rPr>
          <w:sz w:val="22"/>
          <w:szCs w:val="22"/>
        </w:rPr>
        <w:t xml:space="preserve">thousand (in </w:t>
      </w:r>
      <w:r w:rsidR="0076764A" w:rsidRPr="00055843">
        <w:rPr>
          <w:sz w:val="22"/>
          <w:szCs w:val="22"/>
        </w:rPr>
        <w:t>202</w:t>
      </w:r>
      <w:r w:rsidR="001A17CA" w:rsidRPr="00055843">
        <w:rPr>
          <w:sz w:val="22"/>
          <w:szCs w:val="22"/>
        </w:rPr>
        <w:t>3</w:t>
      </w:r>
      <w:r w:rsidRPr="00055843">
        <w:rPr>
          <w:sz w:val="22"/>
          <w:szCs w:val="22"/>
        </w:rPr>
        <w:t xml:space="preserve">: </w:t>
      </w:r>
      <w:r w:rsidR="001A17CA" w:rsidRPr="00055843">
        <w:rPr>
          <w:sz w:val="22"/>
          <w:szCs w:val="22"/>
        </w:rPr>
        <w:t>5,650</w:t>
      </w:r>
      <w:r w:rsidR="009D3136" w:rsidRPr="00055843">
        <w:rPr>
          <w:sz w:val="22"/>
          <w:szCs w:val="22"/>
        </w:rPr>
        <w:t xml:space="preserve"> </w:t>
      </w:r>
      <w:r w:rsidRPr="00055843">
        <w:rPr>
          <w:sz w:val="22"/>
          <w:szCs w:val="22"/>
        </w:rPr>
        <w:t xml:space="preserve">and </w:t>
      </w:r>
      <w:r w:rsidR="0076764A" w:rsidRPr="00055843">
        <w:rPr>
          <w:sz w:val="22"/>
          <w:szCs w:val="22"/>
        </w:rPr>
        <w:t>1</w:t>
      </w:r>
      <w:r w:rsidR="001A17CA" w:rsidRPr="00055843">
        <w:rPr>
          <w:sz w:val="22"/>
          <w:szCs w:val="22"/>
        </w:rPr>
        <w:t>13</w:t>
      </w:r>
      <w:r w:rsidR="0076764A" w:rsidRPr="00055843">
        <w:rPr>
          <w:sz w:val="22"/>
          <w:szCs w:val="22"/>
        </w:rPr>
        <w:t>,</w:t>
      </w:r>
      <w:r w:rsidR="001A17CA" w:rsidRPr="00055843">
        <w:rPr>
          <w:sz w:val="22"/>
          <w:szCs w:val="22"/>
        </w:rPr>
        <w:t>341</w:t>
      </w:r>
      <w:r w:rsidR="009D3136" w:rsidRPr="00055843">
        <w:rPr>
          <w:sz w:val="22"/>
          <w:szCs w:val="22"/>
        </w:rPr>
        <w:t xml:space="preserve"> </w:t>
      </w:r>
      <w:r w:rsidRPr="00055843">
        <w:rPr>
          <w:sz w:val="22"/>
          <w:szCs w:val="22"/>
        </w:rPr>
        <w:t>respectively)</w:t>
      </w:r>
    </w:p>
    <w:p w14:paraId="031CEC9D" w14:textId="77777777" w:rsidR="00F46D0A" w:rsidRPr="005C7D15" w:rsidRDefault="00F46D0A" w:rsidP="00F46D0A">
      <w:pPr>
        <w:ind w:left="720"/>
        <w:rPr>
          <w:sz w:val="22"/>
          <w:szCs w:val="22"/>
        </w:rPr>
      </w:pPr>
    </w:p>
    <w:p w14:paraId="07ADED86" w14:textId="77777777" w:rsidR="00F46D0A" w:rsidRDefault="00F46D0A" w:rsidP="00F46D0A">
      <w:pPr>
        <w:ind w:left="720"/>
        <w:rPr>
          <w:sz w:val="22"/>
          <w:szCs w:val="22"/>
        </w:rPr>
      </w:pPr>
      <w:r w:rsidRPr="005C7D15">
        <w:rPr>
          <w:sz w:val="22"/>
          <w:szCs w:val="22"/>
        </w:rPr>
        <w:t>In</w:t>
      </w:r>
      <w:r w:rsidRPr="00EB357F">
        <w:rPr>
          <w:sz w:val="22"/>
          <w:szCs w:val="22"/>
        </w:rPr>
        <w:t xml:space="preserve"> respect of the capitalization rate for the interest capitalized please refer </w:t>
      </w:r>
      <w:r w:rsidRPr="00ED45EE">
        <w:rPr>
          <w:sz w:val="22"/>
          <w:szCs w:val="22"/>
        </w:rPr>
        <w:t xml:space="preserve">to Notes </w:t>
      </w:r>
      <w:r w:rsidRPr="00DA7DED">
        <w:rPr>
          <w:sz w:val="22"/>
          <w:szCs w:val="22"/>
        </w:rPr>
        <w:t>12</w:t>
      </w:r>
      <w:r w:rsidRPr="00ED45EE">
        <w:rPr>
          <w:sz w:val="22"/>
          <w:szCs w:val="22"/>
        </w:rPr>
        <w:t xml:space="preserve"> and </w:t>
      </w:r>
      <w:r w:rsidRPr="00DA7DED">
        <w:rPr>
          <w:sz w:val="22"/>
          <w:szCs w:val="22"/>
        </w:rPr>
        <w:t>21</w:t>
      </w:r>
      <w:r w:rsidRPr="00ED45EE">
        <w:rPr>
          <w:sz w:val="22"/>
          <w:szCs w:val="22"/>
        </w:rPr>
        <w:t>.</w:t>
      </w:r>
    </w:p>
    <w:p w14:paraId="28BF3A30" w14:textId="77777777" w:rsidR="009D3136" w:rsidRDefault="009D3136" w:rsidP="00F46D0A">
      <w:pPr>
        <w:rPr>
          <w:b/>
          <w:bCs/>
          <w:sz w:val="26"/>
          <w:szCs w:val="26"/>
        </w:rPr>
      </w:pPr>
    </w:p>
    <w:p w14:paraId="26CE5636" w14:textId="77777777" w:rsidR="00A26CFE" w:rsidRDefault="00A26CFE" w:rsidP="00F46D0A">
      <w:pPr>
        <w:rPr>
          <w:b/>
          <w:bCs/>
          <w:sz w:val="26"/>
          <w:szCs w:val="26"/>
        </w:rPr>
      </w:pPr>
    </w:p>
    <w:p w14:paraId="02506C17" w14:textId="77777777" w:rsidR="00A26CFE" w:rsidRDefault="00A26CFE" w:rsidP="00F46D0A">
      <w:pPr>
        <w:rPr>
          <w:b/>
          <w:bCs/>
          <w:sz w:val="26"/>
          <w:szCs w:val="26"/>
        </w:rPr>
      </w:pPr>
    </w:p>
    <w:p w14:paraId="345F5231" w14:textId="77777777" w:rsidR="00A26CFE" w:rsidRDefault="00A26CFE" w:rsidP="00F46D0A">
      <w:pPr>
        <w:rPr>
          <w:b/>
          <w:bCs/>
          <w:sz w:val="26"/>
          <w:szCs w:val="26"/>
        </w:rPr>
      </w:pPr>
    </w:p>
    <w:p w14:paraId="1F8843D7" w14:textId="77777777" w:rsidR="00A26CFE" w:rsidRDefault="00A26CFE" w:rsidP="00F46D0A">
      <w:pPr>
        <w:rPr>
          <w:b/>
          <w:bCs/>
          <w:sz w:val="26"/>
          <w:szCs w:val="26"/>
        </w:rPr>
      </w:pPr>
    </w:p>
    <w:p w14:paraId="116D803F" w14:textId="69B57BC2" w:rsidR="00BF2911" w:rsidRPr="0033136A" w:rsidRDefault="00BF2911" w:rsidP="000B59AD">
      <w:pPr>
        <w:outlineLvl w:val="2"/>
        <w:rPr>
          <w:b/>
          <w:bCs/>
          <w:sz w:val="22"/>
          <w:szCs w:val="22"/>
        </w:rPr>
      </w:pPr>
      <w:bookmarkStart w:id="148" w:name="H3_Note_8__Short_Term_Investments"/>
      <w:r w:rsidRPr="0033136A">
        <w:rPr>
          <w:b/>
          <w:bCs/>
          <w:sz w:val="22"/>
          <w:szCs w:val="22"/>
        </w:rPr>
        <w:t>Note 8 – Short Term Investments</w:t>
      </w:r>
    </w:p>
    <w:bookmarkEnd w:id="148"/>
    <w:p w14:paraId="08FC50BD" w14:textId="77777777" w:rsidR="00BF2911" w:rsidRPr="008769A6" w:rsidRDefault="00BF2911" w:rsidP="00BF2911">
      <w:pPr>
        <w:rPr>
          <w:b/>
          <w:bCs/>
          <w:sz w:val="22"/>
          <w:szCs w:val="22"/>
        </w:rPr>
      </w:pPr>
    </w:p>
    <w:p w14:paraId="05C8B3AB" w14:textId="0FC8912A" w:rsidR="00BF2911" w:rsidRPr="00BF2911" w:rsidRDefault="00BF2911" w:rsidP="00BF7C01">
      <w:pPr>
        <w:ind w:left="720"/>
        <w:rPr>
          <w:sz w:val="22"/>
          <w:szCs w:val="22"/>
        </w:rPr>
      </w:pPr>
      <w:r w:rsidRPr="00BF2911">
        <w:rPr>
          <w:sz w:val="22"/>
          <w:szCs w:val="22"/>
        </w:rPr>
        <w:t xml:space="preserve">The balance represents </w:t>
      </w:r>
      <w:r>
        <w:rPr>
          <w:sz w:val="22"/>
          <w:szCs w:val="22"/>
        </w:rPr>
        <w:t xml:space="preserve">restricted cash </w:t>
      </w:r>
      <w:r w:rsidR="00BF7C01">
        <w:rPr>
          <w:sz w:val="22"/>
          <w:szCs w:val="22"/>
        </w:rPr>
        <w:t xml:space="preserve">deposits </w:t>
      </w:r>
      <w:r>
        <w:rPr>
          <w:sz w:val="22"/>
          <w:szCs w:val="22"/>
        </w:rPr>
        <w:t xml:space="preserve">for the following </w:t>
      </w:r>
      <w:r w:rsidRPr="00BF2911">
        <w:rPr>
          <w:sz w:val="22"/>
          <w:szCs w:val="22"/>
        </w:rPr>
        <w:t>purpose</w:t>
      </w:r>
      <w:r>
        <w:rPr>
          <w:sz w:val="22"/>
          <w:szCs w:val="22"/>
        </w:rPr>
        <w:t>s:</w:t>
      </w:r>
    </w:p>
    <w:p w14:paraId="52B20AD2" w14:textId="77777777" w:rsidR="00BF2911" w:rsidRPr="009357E9" w:rsidRDefault="00BF2911" w:rsidP="00BF2911">
      <w:pPr>
        <w:rPr>
          <w:b/>
          <w:bCs/>
          <w:sz w:val="10"/>
          <w:szCs w:val="10"/>
        </w:rPr>
      </w:pPr>
    </w:p>
    <w:p w14:paraId="5747937D" w14:textId="46605324" w:rsidR="00BF2911" w:rsidRDefault="00BF2911" w:rsidP="00BF2911">
      <w:pPr>
        <w:ind w:left="720"/>
        <w:rPr>
          <w:rStyle w:val="Koteret"/>
          <w:b w:val="0"/>
          <w:bCs/>
          <w:i/>
          <w:iCs/>
        </w:rPr>
      </w:pPr>
      <w:r w:rsidRPr="00F02921">
        <w:rPr>
          <w:rStyle w:val="Koteret"/>
          <w:b w:val="0"/>
          <w:bCs/>
          <w:i/>
          <w:iCs/>
        </w:rPr>
        <w:t>In thousands of Euros</w:t>
      </w:r>
    </w:p>
    <w:p w14:paraId="78626850" w14:textId="7DF9977E" w:rsidR="005206FB" w:rsidRDefault="005206FB" w:rsidP="00BF2911">
      <w:pPr>
        <w:ind w:left="720"/>
        <w:rPr>
          <w:rStyle w:val="Koteret"/>
          <w:b w:val="0"/>
          <w:bCs/>
          <w:i/>
          <w:iCs/>
        </w:rPr>
      </w:pPr>
    </w:p>
    <w:tbl>
      <w:tblPr>
        <w:tblW w:w="0" w:type="auto"/>
        <w:tblInd w:w="720" w:type="dxa"/>
        <w:tblLook w:val="06A0" w:firstRow="1" w:lastRow="0" w:firstColumn="1" w:lastColumn="0" w:noHBand="1" w:noVBand="1"/>
        <w:tblCaption w:val="AHR01"/>
        <w:tblDescription w:val="Short Term Investments"/>
      </w:tblPr>
      <w:tblGrid>
        <w:gridCol w:w="5732"/>
        <w:gridCol w:w="1593"/>
        <w:gridCol w:w="1593"/>
      </w:tblGrid>
      <w:tr w:rsidR="005206FB" w:rsidRPr="002C7408" w14:paraId="5B535F22" w14:textId="77777777" w:rsidTr="005101BC">
        <w:trPr>
          <w:cantSplit/>
          <w:trHeight w:val="566"/>
          <w:tblHeader/>
        </w:trPr>
        <w:tc>
          <w:tcPr>
            <w:tcW w:w="5732" w:type="dxa"/>
            <w:shd w:val="clear" w:color="auto" w:fill="auto"/>
            <w:noWrap/>
            <w:vAlign w:val="bottom"/>
            <w:hideMark/>
          </w:tcPr>
          <w:p w14:paraId="5CBC4F68" w14:textId="77777777" w:rsidR="005206FB" w:rsidRPr="00866299" w:rsidRDefault="005206FB" w:rsidP="00C872A4">
            <w:pPr>
              <w:spacing w:before="40"/>
              <w:rPr>
                <w:rFonts w:ascii="Arial" w:eastAsia="Arial" w:hAnsi="Arial" w:cs="Arial"/>
                <w:sz w:val="20"/>
              </w:rPr>
            </w:pPr>
            <w:bookmarkStart w:id="149" w:name="Title_30" w:colFirst="0" w:colLast="0"/>
          </w:p>
        </w:tc>
        <w:tc>
          <w:tcPr>
            <w:tcW w:w="1593" w:type="dxa"/>
            <w:shd w:val="clear" w:color="auto" w:fill="auto"/>
            <w:vAlign w:val="bottom"/>
            <w:hideMark/>
          </w:tcPr>
          <w:p w14:paraId="3F3F28D7" w14:textId="77777777" w:rsidR="005206FB" w:rsidRPr="00866299" w:rsidRDefault="005206FB" w:rsidP="0033136A">
            <w:pPr>
              <w:spacing w:before="40"/>
              <w:jc w:val="center"/>
              <w:rPr>
                <w:b/>
                <w:bCs/>
                <w:sz w:val="20"/>
              </w:rPr>
            </w:pPr>
            <w:r w:rsidRPr="00866299">
              <w:rPr>
                <w:b/>
                <w:bCs/>
                <w:color w:val="000000"/>
                <w:sz w:val="20"/>
              </w:rPr>
              <w:t>December 31,</w:t>
            </w:r>
          </w:p>
          <w:p w14:paraId="750E94B2" w14:textId="2C05672E" w:rsidR="005206FB" w:rsidRPr="00866299" w:rsidRDefault="00C52BA0" w:rsidP="0033136A">
            <w:pPr>
              <w:pBdr>
                <w:bottom w:val="single" w:sz="4" w:space="0" w:color="000000"/>
              </w:pBdr>
              <w:bidi/>
              <w:spacing w:before="40"/>
              <w:ind w:left="57"/>
              <w:jc w:val="center"/>
              <w:rPr>
                <w:b/>
                <w:bCs/>
                <w:sz w:val="20"/>
              </w:rPr>
            </w:pPr>
            <w:r>
              <w:rPr>
                <w:b/>
                <w:bCs/>
                <w:color w:val="000000"/>
                <w:sz w:val="20"/>
              </w:rPr>
              <w:t>2024</w:t>
            </w:r>
          </w:p>
        </w:tc>
        <w:tc>
          <w:tcPr>
            <w:tcW w:w="1593" w:type="dxa"/>
            <w:shd w:val="clear" w:color="auto" w:fill="auto"/>
            <w:vAlign w:val="bottom"/>
            <w:hideMark/>
          </w:tcPr>
          <w:p w14:paraId="4B6B73A3" w14:textId="77777777" w:rsidR="005206FB" w:rsidRPr="00866299" w:rsidRDefault="005206FB" w:rsidP="0033136A">
            <w:pPr>
              <w:spacing w:before="40"/>
              <w:jc w:val="center"/>
              <w:rPr>
                <w:b/>
                <w:bCs/>
                <w:sz w:val="20"/>
              </w:rPr>
            </w:pPr>
            <w:r w:rsidRPr="00866299">
              <w:rPr>
                <w:b/>
                <w:bCs/>
                <w:color w:val="000000"/>
                <w:sz w:val="20"/>
              </w:rPr>
              <w:t>December 31,</w:t>
            </w:r>
          </w:p>
          <w:p w14:paraId="74402188" w14:textId="454C5D96" w:rsidR="005206FB" w:rsidRPr="00866299" w:rsidRDefault="00AD1E41" w:rsidP="0033136A">
            <w:pPr>
              <w:pBdr>
                <w:bottom w:val="single" w:sz="4" w:space="0" w:color="000000"/>
              </w:pBdr>
              <w:bidi/>
              <w:spacing w:before="40"/>
              <w:ind w:left="57"/>
              <w:jc w:val="center"/>
              <w:rPr>
                <w:b/>
                <w:bCs/>
                <w:sz w:val="20"/>
              </w:rPr>
            </w:pPr>
            <w:r>
              <w:rPr>
                <w:b/>
                <w:bCs/>
                <w:color w:val="000000"/>
                <w:sz w:val="20"/>
              </w:rPr>
              <w:t>202</w:t>
            </w:r>
            <w:r w:rsidR="00C52BA0">
              <w:rPr>
                <w:b/>
                <w:bCs/>
                <w:sz w:val="20"/>
              </w:rPr>
              <w:t>3</w:t>
            </w:r>
          </w:p>
        </w:tc>
      </w:tr>
      <w:bookmarkEnd w:id="149"/>
      <w:tr w:rsidR="00FF3259" w:rsidRPr="002C7408" w14:paraId="30F3D40C" w14:textId="77777777" w:rsidTr="005101BC">
        <w:trPr>
          <w:trHeight w:val="283"/>
        </w:trPr>
        <w:tc>
          <w:tcPr>
            <w:tcW w:w="5732" w:type="dxa"/>
            <w:shd w:val="clear" w:color="auto" w:fill="auto"/>
            <w:vAlign w:val="bottom"/>
            <w:hideMark/>
          </w:tcPr>
          <w:p w14:paraId="28757797" w14:textId="77777777" w:rsidR="00FF3259" w:rsidRPr="002C7408" w:rsidRDefault="00FF3259" w:rsidP="00FF3259">
            <w:pPr>
              <w:spacing w:before="40"/>
              <w:rPr>
                <w:sz w:val="22"/>
                <w:szCs w:val="22"/>
              </w:rPr>
            </w:pPr>
            <w:r w:rsidRPr="001C69BF">
              <w:rPr>
                <w:color w:val="000000"/>
                <w:sz w:val="22"/>
                <w:szCs w:val="22"/>
              </w:rPr>
              <w:t>Deposit f</w:t>
            </w:r>
            <w:r>
              <w:rPr>
                <w:color w:val="000000"/>
                <w:sz w:val="22"/>
                <w:szCs w:val="22"/>
              </w:rPr>
              <w:t>rom advanced for sold apartments</w:t>
            </w:r>
          </w:p>
        </w:tc>
        <w:tc>
          <w:tcPr>
            <w:tcW w:w="1593" w:type="dxa"/>
            <w:shd w:val="clear" w:color="auto" w:fill="auto"/>
            <w:noWrap/>
            <w:vAlign w:val="bottom"/>
          </w:tcPr>
          <w:p w14:paraId="3D79A656" w14:textId="741548BB" w:rsidR="00FF3259" w:rsidRPr="00FF3259" w:rsidRDefault="00FF3259" w:rsidP="00FF3259">
            <w:pPr>
              <w:spacing w:before="40"/>
              <w:jc w:val="right"/>
              <w:rPr>
                <w:b/>
                <w:bCs/>
                <w:sz w:val="22"/>
                <w:szCs w:val="22"/>
                <w:highlight w:val="yellow"/>
              </w:rPr>
            </w:pPr>
            <w:r w:rsidRPr="00FF3259">
              <w:rPr>
                <w:sz w:val="22"/>
                <w:szCs w:val="22"/>
              </w:rPr>
              <w:t>140</w:t>
            </w:r>
          </w:p>
        </w:tc>
        <w:tc>
          <w:tcPr>
            <w:tcW w:w="1593" w:type="dxa"/>
            <w:shd w:val="clear" w:color="auto" w:fill="auto"/>
            <w:noWrap/>
            <w:vAlign w:val="bottom"/>
          </w:tcPr>
          <w:p w14:paraId="7EEEF9D8" w14:textId="5E8D290F" w:rsidR="00FF3259" w:rsidRPr="0033136A" w:rsidRDefault="00FF3259" w:rsidP="00FF3259">
            <w:pPr>
              <w:spacing w:before="40"/>
              <w:jc w:val="right"/>
              <w:rPr>
                <w:sz w:val="22"/>
                <w:szCs w:val="22"/>
              </w:rPr>
            </w:pPr>
            <w:r>
              <w:rPr>
                <w:sz w:val="22"/>
                <w:szCs w:val="22"/>
              </w:rPr>
              <w:t>1,666</w:t>
            </w:r>
          </w:p>
        </w:tc>
      </w:tr>
      <w:tr w:rsidR="00FF3259" w:rsidRPr="002C7408" w14:paraId="3E3286F7" w14:textId="77777777" w:rsidTr="005101BC">
        <w:trPr>
          <w:trHeight w:val="283"/>
        </w:trPr>
        <w:tc>
          <w:tcPr>
            <w:tcW w:w="5732" w:type="dxa"/>
            <w:shd w:val="clear" w:color="auto" w:fill="auto"/>
            <w:vAlign w:val="bottom"/>
          </w:tcPr>
          <w:p w14:paraId="151A9E83" w14:textId="77777777" w:rsidR="00FF3259" w:rsidRPr="002C7408" w:rsidRDefault="00FF3259" w:rsidP="00FF3259">
            <w:pPr>
              <w:spacing w:before="40"/>
              <w:rPr>
                <w:color w:val="000000"/>
                <w:sz w:val="22"/>
                <w:szCs w:val="22"/>
              </w:rPr>
            </w:pPr>
            <w:r w:rsidRPr="001C69BF">
              <w:rPr>
                <w:color w:val="000000"/>
                <w:sz w:val="22"/>
                <w:szCs w:val="22"/>
              </w:rPr>
              <w:t>Deposit related to bank loans of investment properties</w:t>
            </w:r>
          </w:p>
        </w:tc>
        <w:tc>
          <w:tcPr>
            <w:tcW w:w="1593" w:type="dxa"/>
            <w:shd w:val="clear" w:color="auto" w:fill="auto"/>
            <w:noWrap/>
            <w:vAlign w:val="bottom"/>
          </w:tcPr>
          <w:p w14:paraId="393FCC60" w14:textId="201464FC" w:rsidR="00FF3259" w:rsidRPr="00FF3259" w:rsidRDefault="00FF3259" w:rsidP="00FF3259">
            <w:pPr>
              <w:spacing w:before="40"/>
              <w:jc w:val="right"/>
              <w:rPr>
                <w:b/>
                <w:bCs/>
                <w:sz w:val="22"/>
                <w:szCs w:val="22"/>
                <w:highlight w:val="yellow"/>
              </w:rPr>
            </w:pPr>
            <w:r w:rsidRPr="00FF3259">
              <w:rPr>
                <w:sz w:val="22"/>
                <w:szCs w:val="22"/>
              </w:rPr>
              <w:t>17,860</w:t>
            </w:r>
          </w:p>
        </w:tc>
        <w:tc>
          <w:tcPr>
            <w:tcW w:w="1593" w:type="dxa"/>
            <w:shd w:val="clear" w:color="auto" w:fill="auto"/>
            <w:noWrap/>
            <w:vAlign w:val="bottom"/>
          </w:tcPr>
          <w:p w14:paraId="5F904EF9" w14:textId="3D7A53F8" w:rsidR="00FF3259" w:rsidRPr="0033136A" w:rsidRDefault="00FF3259" w:rsidP="00FF3259">
            <w:pPr>
              <w:spacing w:before="40"/>
              <w:jc w:val="right"/>
              <w:rPr>
                <w:color w:val="000000"/>
                <w:sz w:val="22"/>
                <w:szCs w:val="22"/>
              </w:rPr>
            </w:pPr>
            <w:r>
              <w:rPr>
                <w:sz w:val="22"/>
                <w:szCs w:val="22"/>
              </w:rPr>
              <w:t>12,249</w:t>
            </w:r>
          </w:p>
        </w:tc>
      </w:tr>
      <w:tr w:rsidR="00FF3259" w:rsidRPr="002C7408" w14:paraId="569880A9" w14:textId="77777777" w:rsidTr="005101BC">
        <w:trPr>
          <w:trHeight w:val="283"/>
        </w:trPr>
        <w:tc>
          <w:tcPr>
            <w:tcW w:w="5732" w:type="dxa"/>
            <w:shd w:val="clear" w:color="auto" w:fill="auto"/>
            <w:noWrap/>
            <w:vAlign w:val="bottom"/>
            <w:hideMark/>
          </w:tcPr>
          <w:p w14:paraId="337089C6" w14:textId="77777777" w:rsidR="00FF3259" w:rsidRPr="001C69BF" w:rsidRDefault="00FF3259" w:rsidP="00FF3259">
            <w:pPr>
              <w:rPr>
                <w:color w:val="000000"/>
                <w:sz w:val="22"/>
                <w:szCs w:val="22"/>
              </w:rPr>
            </w:pPr>
            <w:r>
              <w:rPr>
                <w:color w:val="000000"/>
                <w:sz w:val="22"/>
                <w:szCs w:val="22"/>
              </w:rPr>
              <w:t>Other</w:t>
            </w:r>
          </w:p>
        </w:tc>
        <w:tc>
          <w:tcPr>
            <w:tcW w:w="1593" w:type="dxa"/>
            <w:shd w:val="clear" w:color="auto" w:fill="auto"/>
            <w:noWrap/>
            <w:vAlign w:val="bottom"/>
          </w:tcPr>
          <w:p w14:paraId="7F6234D0" w14:textId="56E5D431" w:rsidR="00FF3259" w:rsidRPr="00FF3259" w:rsidRDefault="00FF3259" w:rsidP="00FF3259">
            <w:pPr>
              <w:pBdr>
                <w:bottom w:val="single" w:sz="4" w:space="0" w:color="000000"/>
              </w:pBdr>
              <w:spacing w:before="40"/>
              <w:jc w:val="right"/>
              <w:rPr>
                <w:b/>
                <w:bCs/>
                <w:sz w:val="22"/>
                <w:szCs w:val="22"/>
                <w:highlight w:val="yellow"/>
              </w:rPr>
            </w:pPr>
            <w:r w:rsidRPr="00FF3259">
              <w:rPr>
                <w:sz w:val="22"/>
                <w:szCs w:val="22"/>
              </w:rPr>
              <w:t>1,950</w:t>
            </w:r>
          </w:p>
        </w:tc>
        <w:tc>
          <w:tcPr>
            <w:tcW w:w="1593" w:type="dxa"/>
            <w:shd w:val="clear" w:color="auto" w:fill="auto"/>
            <w:noWrap/>
            <w:vAlign w:val="bottom"/>
          </w:tcPr>
          <w:p w14:paraId="7590FF21" w14:textId="6BFFEEE5" w:rsidR="00FF3259" w:rsidRPr="0033136A" w:rsidRDefault="00FF3259" w:rsidP="00FF3259">
            <w:pPr>
              <w:pBdr>
                <w:bottom w:val="single" w:sz="4" w:space="0" w:color="000000"/>
              </w:pBdr>
              <w:spacing w:before="40"/>
              <w:jc w:val="right"/>
              <w:rPr>
                <w:sz w:val="22"/>
                <w:szCs w:val="22"/>
              </w:rPr>
            </w:pPr>
            <w:r>
              <w:rPr>
                <w:sz w:val="22"/>
                <w:szCs w:val="22"/>
              </w:rPr>
              <w:t>3,269</w:t>
            </w:r>
          </w:p>
        </w:tc>
      </w:tr>
      <w:tr w:rsidR="00FF3259" w:rsidRPr="002C7408" w14:paraId="78B29FCC" w14:textId="77777777" w:rsidTr="005101BC">
        <w:trPr>
          <w:trHeight w:val="283"/>
        </w:trPr>
        <w:tc>
          <w:tcPr>
            <w:tcW w:w="5732" w:type="dxa"/>
            <w:shd w:val="clear" w:color="auto" w:fill="auto"/>
            <w:vAlign w:val="bottom"/>
            <w:hideMark/>
          </w:tcPr>
          <w:p w14:paraId="338CADFC" w14:textId="77777777" w:rsidR="00FF3259" w:rsidRPr="002C7408" w:rsidRDefault="00FF3259" w:rsidP="00FF3259">
            <w:pPr>
              <w:spacing w:before="40"/>
              <w:rPr>
                <w:sz w:val="22"/>
                <w:szCs w:val="22"/>
              </w:rPr>
            </w:pPr>
          </w:p>
        </w:tc>
        <w:tc>
          <w:tcPr>
            <w:tcW w:w="1593" w:type="dxa"/>
            <w:shd w:val="clear" w:color="auto" w:fill="auto"/>
            <w:noWrap/>
            <w:vAlign w:val="bottom"/>
          </w:tcPr>
          <w:p w14:paraId="36FB672D" w14:textId="05DDD910" w:rsidR="00FF3259" w:rsidRPr="00FF3259" w:rsidRDefault="00FF3259" w:rsidP="00FF3259">
            <w:pPr>
              <w:pBdr>
                <w:bottom w:val="double" w:sz="4" w:space="0" w:color="000000"/>
              </w:pBdr>
              <w:spacing w:before="40"/>
              <w:jc w:val="right"/>
              <w:rPr>
                <w:b/>
                <w:bCs/>
                <w:sz w:val="22"/>
                <w:szCs w:val="22"/>
                <w:highlight w:val="yellow"/>
              </w:rPr>
            </w:pPr>
            <w:r w:rsidRPr="00FF3259">
              <w:rPr>
                <w:sz w:val="22"/>
                <w:szCs w:val="22"/>
              </w:rPr>
              <w:t>19,950</w:t>
            </w:r>
          </w:p>
        </w:tc>
        <w:tc>
          <w:tcPr>
            <w:tcW w:w="1593" w:type="dxa"/>
            <w:shd w:val="clear" w:color="auto" w:fill="auto"/>
            <w:noWrap/>
            <w:vAlign w:val="bottom"/>
          </w:tcPr>
          <w:p w14:paraId="65B1FFE3" w14:textId="52421C21" w:rsidR="00FF3259" w:rsidRPr="0033136A" w:rsidRDefault="00FF3259" w:rsidP="00FF3259">
            <w:pPr>
              <w:pBdr>
                <w:bottom w:val="double" w:sz="4" w:space="0" w:color="000000"/>
              </w:pBdr>
              <w:spacing w:before="40"/>
              <w:jc w:val="right"/>
              <w:rPr>
                <w:sz w:val="22"/>
                <w:szCs w:val="22"/>
              </w:rPr>
            </w:pPr>
            <w:r>
              <w:rPr>
                <w:sz w:val="22"/>
                <w:szCs w:val="22"/>
              </w:rPr>
              <w:t>17,184</w:t>
            </w:r>
          </w:p>
        </w:tc>
      </w:tr>
    </w:tbl>
    <w:p w14:paraId="2EC45175" w14:textId="0B41C362" w:rsidR="00C52BA0" w:rsidRPr="009357E9" w:rsidRDefault="00C52BA0" w:rsidP="00ED45EE">
      <w:pPr>
        <w:ind w:left="720"/>
        <w:rPr>
          <w:b/>
          <w:bCs/>
          <w:sz w:val="10"/>
          <w:szCs w:val="10"/>
        </w:rPr>
      </w:pPr>
      <w:bookmarkStart w:id="150" w:name="H3_Note_9__Trade_and_Other_Receivables_"/>
    </w:p>
    <w:p w14:paraId="1D9143F7" w14:textId="3483496F" w:rsidR="00C35D07" w:rsidRPr="0033136A" w:rsidRDefault="00C35D07" w:rsidP="00ED45EE">
      <w:pPr>
        <w:outlineLvl w:val="2"/>
        <w:rPr>
          <w:b/>
          <w:bCs/>
          <w:sz w:val="22"/>
          <w:szCs w:val="22"/>
        </w:rPr>
      </w:pPr>
      <w:r w:rsidRPr="0033136A">
        <w:rPr>
          <w:b/>
          <w:bCs/>
          <w:sz w:val="22"/>
          <w:szCs w:val="22"/>
        </w:rPr>
        <w:t xml:space="preserve">Note </w:t>
      </w:r>
      <w:r w:rsidR="00BF2911" w:rsidRPr="0033136A">
        <w:rPr>
          <w:b/>
          <w:bCs/>
          <w:sz w:val="22"/>
          <w:szCs w:val="22"/>
        </w:rPr>
        <w:t>9</w:t>
      </w:r>
      <w:r w:rsidRPr="0033136A">
        <w:rPr>
          <w:b/>
          <w:bCs/>
          <w:sz w:val="22"/>
          <w:szCs w:val="22"/>
        </w:rPr>
        <w:t xml:space="preserve"> - Trade and Other Receivables </w:t>
      </w:r>
    </w:p>
    <w:bookmarkEnd w:id="150"/>
    <w:p w14:paraId="68E90FA1" w14:textId="08CB16F7" w:rsidR="002C7408" w:rsidRPr="009357E9" w:rsidRDefault="002C7408" w:rsidP="00963320">
      <w:pPr>
        <w:rPr>
          <w:sz w:val="10"/>
          <w:szCs w:val="10"/>
        </w:rPr>
      </w:pPr>
    </w:p>
    <w:p w14:paraId="723CA552" w14:textId="7E3CCD67" w:rsidR="00CC50AC" w:rsidRPr="0033136A" w:rsidRDefault="00CC50AC" w:rsidP="00C5462B">
      <w:pPr>
        <w:pStyle w:val="af2"/>
        <w:numPr>
          <w:ilvl w:val="0"/>
          <w:numId w:val="19"/>
        </w:numPr>
        <w:outlineLvl w:val="3"/>
        <w:rPr>
          <w:sz w:val="22"/>
          <w:szCs w:val="22"/>
        </w:rPr>
      </w:pPr>
      <w:bookmarkStart w:id="151" w:name="H4_Current_receivables"/>
      <w:r w:rsidRPr="0033136A">
        <w:rPr>
          <w:b/>
          <w:bCs/>
          <w:sz w:val="22"/>
          <w:szCs w:val="22"/>
        </w:rPr>
        <w:t>Current receivables</w:t>
      </w:r>
    </w:p>
    <w:bookmarkEnd w:id="151"/>
    <w:p w14:paraId="61258DC4" w14:textId="77777777" w:rsidR="00CC50AC" w:rsidRPr="009357E9" w:rsidRDefault="00CC50AC" w:rsidP="00440C55">
      <w:pPr>
        <w:pStyle w:val="af2"/>
        <w:rPr>
          <w:sz w:val="10"/>
          <w:szCs w:val="10"/>
        </w:rPr>
      </w:pPr>
    </w:p>
    <w:p w14:paraId="50097678" w14:textId="77777777" w:rsidR="00C35D07" w:rsidRPr="00F02921" w:rsidRDefault="00C35D07" w:rsidP="004A3C21">
      <w:pPr>
        <w:ind w:left="720"/>
        <w:rPr>
          <w:rStyle w:val="Koteret"/>
          <w:b w:val="0"/>
          <w:bCs/>
          <w:i/>
          <w:iCs/>
        </w:rPr>
      </w:pPr>
      <w:r w:rsidRPr="00F02921">
        <w:rPr>
          <w:rStyle w:val="Koteret"/>
          <w:b w:val="0"/>
          <w:bCs/>
          <w:i/>
          <w:iCs/>
        </w:rPr>
        <w:t>In thousands of Euros</w:t>
      </w:r>
    </w:p>
    <w:tbl>
      <w:tblPr>
        <w:tblW w:w="0" w:type="auto"/>
        <w:tblInd w:w="720" w:type="dxa"/>
        <w:tblLook w:val="06A0" w:firstRow="1" w:lastRow="0" w:firstColumn="1" w:lastColumn="0" w:noHBand="1" w:noVBand="1"/>
        <w:tblCaption w:val="AHR01"/>
        <w:tblDescription w:val=" Current receivables"/>
      </w:tblPr>
      <w:tblGrid>
        <w:gridCol w:w="5890"/>
        <w:gridCol w:w="1515"/>
        <w:gridCol w:w="1513"/>
      </w:tblGrid>
      <w:tr w:rsidR="00023304" w14:paraId="2029FF4C" w14:textId="77777777" w:rsidTr="005101BC">
        <w:trPr>
          <w:cantSplit/>
          <w:trHeight w:val="566"/>
          <w:tblHeader/>
        </w:trPr>
        <w:tc>
          <w:tcPr>
            <w:tcW w:w="5890" w:type="dxa"/>
            <w:shd w:val="clear" w:color="auto" w:fill="auto"/>
            <w:noWrap/>
            <w:vAlign w:val="bottom"/>
            <w:hideMark/>
          </w:tcPr>
          <w:p w14:paraId="1612B16A" w14:textId="77777777" w:rsidR="00023304" w:rsidRPr="00866299" w:rsidRDefault="00023304">
            <w:pPr>
              <w:spacing w:before="40"/>
              <w:rPr>
                <w:rFonts w:ascii="Arial" w:eastAsia="Arial" w:hAnsi="Arial" w:cs="Arial"/>
                <w:sz w:val="20"/>
              </w:rPr>
            </w:pPr>
            <w:bookmarkStart w:id="152" w:name="Title_31" w:colFirst="0" w:colLast="0"/>
          </w:p>
        </w:tc>
        <w:tc>
          <w:tcPr>
            <w:tcW w:w="1515" w:type="dxa"/>
            <w:shd w:val="clear" w:color="auto" w:fill="auto"/>
            <w:vAlign w:val="bottom"/>
            <w:hideMark/>
          </w:tcPr>
          <w:p w14:paraId="1129E323" w14:textId="77777777" w:rsidR="00023304" w:rsidRPr="00866299" w:rsidRDefault="00023304" w:rsidP="0033136A">
            <w:pPr>
              <w:spacing w:before="40"/>
              <w:jc w:val="center"/>
              <w:rPr>
                <w:b/>
                <w:bCs/>
                <w:sz w:val="20"/>
              </w:rPr>
            </w:pPr>
            <w:r w:rsidRPr="00866299">
              <w:rPr>
                <w:b/>
                <w:bCs/>
                <w:color w:val="000000"/>
                <w:sz w:val="20"/>
              </w:rPr>
              <w:t>December 31,</w:t>
            </w:r>
          </w:p>
          <w:p w14:paraId="662CDE7C" w14:textId="7DBC96EA" w:rsidR="00023304" w:rsidRPr="00866299" w:rsidRDefault="00AD1E41" w:rsidP="0033136A">
            <w:pPr>
              <w:pBdr>
                <w:bottom w:val="single" w:sz="4" w:space="0" w:color="000000"/>
              </w:pBdr>
              <w:bidi/>
              <w:spacing w:before="40"/>
              <w:ind w:left="57"/>
              <w:jc w:val="center"/>
              <w:rPr>
                <w:b/>
                <w:bCs/>
                <w:sz w:val="20"/>
              </w:rPr>
            </w:pPr>
            <w:r>
              <w:rPr>
                <w:b/>
                <w:bCs/>
                <w:color w:val="000000"/>
                <w:sz w:val="20"/>
              </w:rPr>
              <w:t>202</w:t>
            </w:r>
            <w:r w:rsidR="00C52BA0">
              <w:rPr>
                <w:b/>
                <w:bCs/>
                <w:color w:val="000000"/>
                <w:sz w:val="20"/>
              </w:rPr>
              <w:t>4</w:t>
            </w:r>
          </w:p>
        </w:tc>
        <w:tc>
          <w:tcPr>
            <w:tcW w:w="1513" w:type="dxa"/>
            <w:shd w:val="clear" w:color="auto" w:fill="auto"/>
            <w:vAlign w:val="bottom"/>
            <w:hideMark/>
          </w:tcPr>
          <w:p w14:paraId="63087127" w14:textId="77777777" w:rsidR="00023304" w:rsidRPr="00866299" w:rsidRDefault="00023304" w:rsidP="0033136A">
            <w:pPr>
              <w:spacing w:before="40"/>
              <w:jc w:val="center"/>
              <w:rPr>
                <w:b/>
                <w:bCs/>
                <w:sz w:val="20"/>
              </w:rPr>
            </w:pPr>
            <w:r w:rsidRPr="00866299">
              <w:rPr>
                <w:b/>
                <w:bCs/>
                <w:color w:val="000000"/>
                <w:sz w:val="20"/>
              </w:rPr>
              <w:t>December 31,</w:t>
            </w:r>
          </w:p>
          <w:p w14:paraId="626036FA" w14:textId="7C8A74CE" w:rsidR="00023304" w:rsidRPr="00866299" w:rsidRDefault="00AD1E41" w:rsidP="0033136A">
            <w:pPr>
              <w:pBdr>
                <w:bottom w:val="single" w:sz="4" w:space="0" w:color="000000"/>
              </w:pBdr>
              <w:bidi/>
              <w:spacing w:before="40"/>
              <w:ind w:left="57"/>
              <w:jc w:val="center"/>
              <w:rPr>
                <w:b/>
                <w:bCs/>
                <w:sz w:val="20"/>
              </w:rPr>
            </w:pPr>
            <w:r>
              <w:rPr>
                <w:b/>
                <w:bCs/>
                <w:color w:val="000000"/>
                <w:sz w:val="20"/>
              </w:rPr>
              <w:t>202</w:t>
            </w:r>
            <w:r w:rsidR="00C52BA0">
              <w:rPr>
                <w:b/>
                <w:bCs/>
                <w:sz w:val="20"/>
              </w:rPr>
              <w:t>3</w:t>
            </w:r>
          </w:p>
        </w:tc>
      </w:tr>
      <w:bookmarkEnd w:id="152"/>
      <w:tr w:rsidR="00DC271E" w14:paraId="2766A048" w14:textId="77777777" w:rsidTr="005101BC">
        <w:trPr>
          <w:trHeight w:val="283"/>
        </w:trPr>
        <w:tc>
          <w:tcPr>
            <w:tcW w:w="5890" w:type="dxa"/>
            <w:shd w:val="clear" w:color="auto" w:fill="auto"/>
            <w:noWrap/>
            <w:vAlign w:val="bottom"/>
            <w:hideMark/>
          </w:tcPr>
          <w:p w14:paraId="005B832D" w14:textId="77777777" w:rsidR="00DC271E" w:rsidRPr="002C7408" w:rsidRDefault="00DC271E" w:rsidP="00DC271E">
            <w:pPr>
              <w:spacing w:before="40"/>
              <w:rPr>
                <w:sz w:val="22"/>
                <w:szCs w:val="22"/>
              </w:rPr>
            </w:pPr>
            <w:r w:rsidRPr="002C7408">
              <w:rPr>
                <w:color w:val="000000"/>
                <w:sz w:val="22"/>
                <w:szCs w:val="22"/>
              </w:rPr>
              <w:t>Trade receivables due from tenants</w:t>
            </w:r>
          </w:p>
        </w:tc>
        <w:tc>
          <w:tcPr>
            <w:tcW w:w="1515" w:type="dxa"/>
            <w:shd w:val="clear" w:color="auto" w:fill="auto"/>
            <w:noWrap/>
            <w:vAlign w:val="bottom"/>
          </w:tcPr>
          <w:p w14:paraId="51C3F6C4" w14:textId="307CC59C" w:rsidR="00DC271E" w:rsidRPr="00DC271E" w:rsidRDefault="00DC271E" w:rsidP="00DC271E">
            <w:pPr>
              <w:spacing w:before="40"/>
              <w:jc w:val="right"/>
              <w:rPr>
                <w:b/>
                <w:bCs/>
                <w:sz w:val="22"/>
                <w:szCs w:val="22"/>
                <w:highlight w:val="yellow"/>
              </w:rPr>
            </w:pPr>
            <w:r w:rsidRPr="00DC271E">
              <w:rPr>
                <w:sz w:val="22"/>
                <w:szCs w:val="22"/>
              </w:rPr>
              <w:t>23,107</w:t>
            </w:r>
          </w:p>
        </w:tc>
        <w:tc>
          <w:tcPr>
            <w:tcW w:w="1513" w:type="dxa"/>
            <w:shd w:val="clear" w:color="auto" w:fill="auto"/>
            <w:noWrap/>
            <w:vAlign w:val="center"/>
          </w:tcPr>
          <w:p w14:paraId="65DE977E" w14:textId="08880906" w:rsidR="00DC271E" w:rsidRPr="0033136A" w:rsidRDefault="00DC271E" w:rsidP="00DC271E">
            <w:pPr>
              <w:spacing w:before="40"/>
              <w:jc w:val="right"/>
              <w:rPr>
                <w:sz w:val="22"/>
                <w:szCs w:val="22"/>
              </w:rPr>
            </w:pPr>
            <w:r>
              <w:rPr>
                <w:sz w:val="22"/>
                <w:szCs w:val="22"/>
              </w:rPr>
              <w:t xml:space="preserve">        23,198 </w:t>
            </w:r>
          </w:p>
        </w:tc>
      </w:tr>
      <w:tr w:rsidR="00DC271E" w14:paraId="42DAF679" w14:textId="77777777" w:rsidTr="005101BC">
        <w:trPr>
          <w:trHeight w:val="283"/>
        </w:trPr>
        <w:tc>
          <w:tcPr>
            <w:tcW w:w="5890" w:type="dxa"/>
            <w:shd w:val="clear" w:color="auto" w:fill="auto"/>
            <w:noWrap/>
            <w:vAlign w:val="bottom"/>
            <w:hideMark/>
          </w:tcPr>
          <w:p w14:paraId="271FA607" w14:textId="77777777" w:rsidR="00DC271E" w:rsidRPr="002C7408" w:rsidRDefault="00DC271E" w:rsidP="00DC271E">
            <w:pPr>
              <w:spacing w:before="40"/>
              <w:rPr>
                <w:sz w:val="22"/>
                <w:szCs w:val="22"/>
                <w:rtl/>
                <w:lang w:bidi="he-IL"/>
              </w:rPr>
            </w:pPr>
            <w:r w:rsidRPr="002C7408">
              <w:rPr>
                <w:color w:val="000000"/>
                <w:sz w:val="22"/>
                <w:szCs w:val="22"/>
              </w:rPr>
              <w:t>VAT receivables</w:t>
            </w:r>
          </w:p>
        </w:tc>
        <w:tc>
          <w:tcPr>
            <w:tcW w:w="1515" w:type="dxa"/>
            <w:shd w:val="clear" w:color="auto" w:fill="auto"/>
            <w:noWrap/>
            <w:vAlign w:val="bottom"/>
          </w:tcPr>
          <w:p w14:paraId="0431130B" w14:textId="7F115781" w:rsidR="00DC271E" w:rsidRPr="00DC271E" w:rsidRDefault="00DC271E" w:rsidP="00DC271E">
            <w:pPr>
              <w:spacing w:before="40"/>
              <w:jc w:val="right"/>
              <w:rPr>
                <w:b/>
                <w:bCs/>
                <w:sz w:val="22"/>
                <w:szCs w:val="22"/>
                <w:highlight w:val="yellow"/>
              </w:rPr>
            </w:pPr>
            <w:r w:rsidRPr="00DC271E">
              <w:rPr>
                <w:sz w:val="22"/>
                <w:szCs w:val="22"/>
              </w:rPr>
              <w:t>14,647</w:t>
            </w:r>
          </w:p>
        </w:tc>
        <w:tc>
          <w:tcPr>
            <w:tcW w:w="1513" w:type="dxa"/>
            <w:shd w:val="clear" w:color="auto" w:fill="auto"/>
            <w:noWrap/>
            <w:vAlign w:val="center"/>
          </w:tcPr>
          <w:p w14:paraId="69B43ED2" w14:textId="4CA5402D" w:rsidR="00DC271E" w:rsidRPr="0033136A" w:rsidRDefault="00DC271E" w:rsidP="00DC271E">
            <w:pPr>
              <w:spacing w:before="40"/>
              <w:jc w:val="right"/>
              <w:rPr>
                <w:sz w:val="22"/>
                <w:szCs w:val="22"/>
              </w:rPr>
            </w:pPr>
            <w:r>
              <w:rPr>
                <w:sz w:val="22"/>
                <w:szCs w:val="22"/>
              </w:rPr>
              <w:t xml:space="preserve">        25,708 </w:t>
            </w:r>
          </w:p>
        </w:tc>
      </w:tr>
      <w:tr w:rsidR="00DC271E" w14:paraId="6B08C115" w14:textId="77777777" w:rsidTr="005101BC">
        <w:trPr>
          <w:trHeight w:val="283"/>
        </w:trPr>
        <w:tc>
          <w:tcPr>
            <w:tcW w:w="5890" w:type="dxa"/>
            <w:shd w:val="clear" w:color="auto" w:fill="auto"/>
            <w:noWrap/>
            <w:vAlign w:val="bottom"/>
            <w:hideMark/>
          </w:tcPr>
          <w:p w14:paraId="652E6748" w14:textId="77777777" w:rsidR="00DC271E" w:rsidRPr="002C7408" w:rsidRDefault="00DC271E" w:rsidP="00DC271E">
            <w:pPr>
              <w:spacing w:before="40"/>
              <w:rPr>
                <w:sz w:val="22"/>
                <w:szCs w:val="22"/>
              </w:rPr>
            </w:pPr>
            <w:r w:rsidRPr="002C7408">
              <w:rPr>
                <w:color w:val="000000"/>
                <w:sz w:val="22"/>
                <w:szCs w:val="22"/>
              </w:rPr>
              <w:t>Receivable from derivatives</w:t>
            </w:r>
          </w:p>
        </w:tc>
        <w:tc>
          <w:tcPr>
            <w:tcW w:w="1515" w:type="dxa"/>
            <w:shd w:val="clear" w:color="auto" w:fill="auto"/>
            <w:noWrap/>
            <w:vAlign w:val="bottom"/>
          </w:tcPr>
          <w:p w14:paraId="403D2181" w14:textId="3CD752D6" w:rsidR="00DC271E" w:rsidRPr="00DC271E" w:rsidRDefault="00DC271E" w:rsidP="00DC271E">
            <w:pPr>
              <w:spacing w:before="40"/>
              <w:jc w:val="right"/>
              <w:rPr>
                <w:b/>
                <w:bCs/>
                <w:sz w:val="22"/>
                <w:szCs w:val="22"/>
                <w:highlight w:val="yellow"/>
              </w:rPr>
            </w:pPr>
            <w:r w:rsidRPr="00DC271E">
              <w:rPr>
                <w:sz w:val="22"/>
                <w:szCs w:val="22"/>
              </w:rPr>
              <w:t>6,915</w:t>
            </w:r>
          </w:p>
        </w:tc>
        <w:tc>
          <w:tcPr>
            <w:tcW w:w="1513" w:type="dxa"/>
            <w:shd w:val="clear" w:color="auto" w:fill="auto"/>
            <w:noWrap/>
            <w:vAlign w:val="center"/>
          </w:tcPr>
          <w:p w14:paraId="043B1E5E" w14:textId="4911CBFA" w:rsidR="00DC271E" w:rsidRPr="0033136A" w:rsidRDefault="00DC271E" w:rsidP="00DC271E">
            <w:pPr>
              <w:spacing w:before="40"/>
              <w:jc w:val="right"/>
              <w:rPr>
                <w:sz w:val="22"/>
                <w:szCs w:val="22"/>
              </w:rPr>
            </w:pPr>
            <w:r>
              <w:rPr>
                <w:sz w:val="22"/>
                <w:szCs w:val="22"/>
              </w:rPr>
              <w:t xml:space="preserve">        16,480 </w:t>
            </w:r>
          </w:p>
        </w:tc>
      </w:tr>
      <w:tr w:rsidR="00DC271E" w14:paraId="3BBF7F31" w14:textId="77777777" w:rsidTr="005101BC">
        <w:trPr>
          <w:trHeight w:val="283"/>
        </w:trPr>
        <w:tc>
          <w:tcPr>
            <w:tcW w:w="5890" w:type="dxa"/>
            <w:shd w:val="clear" w:color="auto" w:fill="auto"/>
            <w:noWrap/>
            <w:vAlign w:val="bottom"/>
            <w:hideMark/>
          </w:tcPr>
          <w:p w14:paraId="49E420AA" w14:textId="10C81656" w:rsidR="00DC271E" w:rsidRPr="002C7408" w:rsidRDefault="00DC271E" w:rsidP="00DC271E">
            <w:pPr>
              <w:spacing w:before="40"/>
              <w:rPr>
                <w:sz w:val="22"/>
                <w:szCs w:val="22"/>
              </w:rPr>
            </w:pPr>
            <w:r w:rsidRPr="00D20EF4">
              <w:rPr>
                <w:color w:val="000000"/>
                <w:sz w:val="22"/>
                <w:szCs w:val="22"/>
              </w:rPr>
              <w:t>Deferred expenses and Advances to suppliers</w:t>
            </w:r>
          </w:p>
        </w:tc>
        <w:tc>
          <w:tcPr>
            <w:tcW w:w="1515" w:type="dxa"/>
            <w:shd w:val="clear" w:color="auto" w:fill="auto"/>
            <w:noWrap/>
            <w:vAlign w:val="bottom"/>
          </w:tcPr>
          <w:p w14:paraId="4FC5F219" w14:textId="1162B61F" w:rsidR="00DC271E" w:rsidRPr="00DC271E" w:rsidRDefault="00DC271E" w:rsidP="00DC271E">
            <w:pPr>
              <w:spacing w:before="40"/>
              <w:jc w:val="right"/>
              <w:rPr>
                <w:b/>
                <w:bCs/>
                <w:sz w:val="22"/>
                <w:szCs w:val="22"/>
                <w:highlight w:val="yellow"/>
              </w:rPr>
            </w:pPr>
            <w:r w:rsidRPr="00DC271E">
              <w:rPr>
                <w:sz w:val="22"/>
                <w:szCs w:val="22"/>
              </w:rPr>
              <w:t>5,845</w:t>
            </w:r>
          </w:p>
        </w:tc>
        <w:tc>
          <w:tcPr>
            <w:tcW w:w="1513" w:type="dxa"/>
            <w:shd w:val="clear" w:color="auto" w:fill="auto"/>
            <w:noWrap/>
            <w:vAlign w:val="center"/>
          </w:tcPr>
          <w:p w14:paraId="77E588D6" w14:textId="6D917C21" w:rsidR="00DC271E" w:rsidRPr="0033136A" w:rsidRDefault="00DC271E" w:rsidP="00DC271E">
            <w:pPr>
              <w:spacing w:before="40"/>
              <w:jc w:val="right"/>
              <w:rPr>
                <w:sz w:val="22"/>
                <w:szCs w:val="22"/>
              </w:rPr>
            </w:pPr>
            <w:r>
              <w:rPr>
                <w:sz w:val="22"/>
                <w:szCs w:val="22"/>
              </w:rPr>
              <w:t xml:space="preserve">        11,623 </w:t>
            </w:r>
          </w:p>
        </w:tc>
      </w:tr>
      <w:tr w:rsidR="00DC271E" w14:paraId="1666448D" w14:textId="77777777" w:rsidTr="005101BC">
        <w:trPr>
          <w:trHeight w:val="283"/>
        </w:trPr>
        <w:tc>
          <w:tcPr>
            <w:tcW w:w="5890" w:type="dxa"/>
            <w:shd w:val="clear" w:color="auto" w:fill="auto"/>
            <w:noWrap/>
            <w:vAlign w:val="bottom"/>
          </w:tcPr>
          <w:p w14:paraId="4C3ADCD7" w14:textId="3CF6F18D" w:rsidR="00DC271E" w:rsidRPr="002C7408" w:rsidRDefault="00DC271E" w:rsidP="00DC271E">
            <w:pPr>
              <w:spacing w:before="40"/>
              <w:rPr>
                <w:color w:val="000000"/>
                <w:sz w:val="22"/>
                <w:szCs w:val="22"/>
              </w:rPr>
            </w:pPr>
            <w:r>
              <w:rPr>
                <w:color w:val="000000"/>
                <w:sz w:val="22"/>
                <w:szCs w:val="22"/>
              </w:rPr>
              <w:t>C</w:t>
            </w:r>
            <w:r w:rsidRPr="0017715C">
              <w:rPr>
                <w:color w:val="000000"/>
                <w:sz w:val="22"/>
                <w:szCs w:val="22"/>
              </w:rPr>
              <w:t>ontract asset</w:t>
            </w:r>
          </w:p>
        </w:tc>
        <w:tc>
          <w:tcPr>
            <w:tcW w:w="1515" w:type="dxa"/>
            <w:shd w:val="clear" w:color="auto" w:fill="auto"/>
            <w:noWrap/>
            <w:vAlign w:val="bottom"/>
          </w:tcPr>
          <w:p w14:paraId="0936FB8D" w14:textId="552599AB" w:rsidR="00DC271E" w:rsidRPr="00DC271E" w:rsidRDefault="00DC271E" w:rsidP="00DC271E">
            <w:pPr>
              <w:spacing w:before="40"/>
              <w:jc w:val="right"/>
              <w:rPr>
                <w:b/>
                <w:bCs/>
                <w:sz w:val="22"/>
                <w:szCs w:val="22"/>
                <w:highlight w:val="yellow"/>
              </w:rPr>
            </w:pPr>
            <w:r w:rsidRPr="00DC271E">
              <w:rPr>
                <w:sz w:val="22"/>
                <w:szCs w:val="22"/>
              </w:rPr>
              <w:t>3,724</w:t>
            </w:r>
          </w:p>
        </w:tc>
        <w:tc>
          <w:tcPr>
            <w:tcW w:w="1513" w:type="dxa"/>
            <w:shd w:val="clear" w:color="auto" w:fill="auto"/>
            <w:noWrap/>
            <w:vAlign w:val="center"/>
          </w:tcPr>
          <w:p w14:paraId="1D5D111D" w14:textId="0D0F3DC7" w:rsidR="00DC271E" w:rsidRPr="0033136A" w:rsidRDefault="00DC271E" w:rsidP="00DC271E">
            <w:pPr>
              <w:spacing w:before="40"/>
              <w:jc w:val="right"/>
              <w:rPr>
                <w:sz w:val="22"/>
                <w:szCs w:val="22"/>
              </w:rPr>
            </w:pPr>
            <w:r>
              <w:rPr>
                <w:sz w:val="22"/>
                <w:szCs w:val="22"/>
              </w:rPr>
              <w:t xml:space="preserve">        12,848 </w:t>
            </w:r>
          </w:p>
        </w:tc>
      </w:tr>
      <w:tr w:rsidR="00DC271E" w14:paraId="3E96DFA1" w14:textId="77777777" w:rsidTr="005101BC">
        <w:trPr>
          <w:trHeight w:val="283"/>
        </w:trPr>
        <w:tc>
          <w:tcPr>
            <w:tcW w:w="5890" w:type="dxa"/>
            <w:shd w:val="clear" w:color="auto" w:fill="auto"/>
            <w:noWrap/>
            <w:vAlign w:val="bottom"/>
            <w:hideMark/>
          </w:tcPr>
          <w:p w14:paraId="724394BB" w14:textId="77777777" w:rsidR="00DC271E" w:rsidRPr="002C7408" w:rsidRDefault="00DC271E" w:rsidP="00DC271E">
            <w:pPr>
              <w:spacing w:before="40"/>
              <w:rPr>
                <w:sz w:val="22"/>
                <w:szCs w:val="22"/>
              </w:rPr>
            </w:pPr>
            <w:r w:rsidRPr="002C7408">
              <w:rPr>
                <w:color w:val="000000"/>
                <w:sz w:val="22"/>
                <w:szCs w:val="22"/>
              </w:rPr>
              <w:t>Other trade receivables</w:t>
            </w:r>
          </w:p>
        </w:tc>
        <w:tc>
          <w:tcPr>
            <w:tcW w:w="1515" w:type="dxa"/>
            <w:shd w:val="clear" w:color="auto" w:fill="auto"/>
            <w:noWrap/>
            <w:vAlign w:val="bottom"/>
          </w:tcPr>
          <w:p w14:paraId="25ADC87D" w14:textId="706832E0" w:rsidR="00DC271E" w:rsidRPr="00DC271E" w:rsidRDefault="00DC271E" w:rsidP="00DC271E">
            <w:pPr>
              <w:pBdr>
                <w:bottom w:val="single" w:sz="4" w:space="0" w:color="000000"/>
              </w:pBdr>
              <w:spacing w:before="40"/>
              <w:jc w:val="right"/>
              <w:rPr>
                <w:b/>
                <w:bCs/>
                <w:sz w:val="22"/>
                <w:szCs w:val="22"/>
                <w:highlight w:val="yellow"/>
              </w:rPr>
            </w:pPr>
            <w:r w:rsidRPr="00DC271E">
              <w:rPr>
                <w:sz w:val="22"/>
                <w:szCs w:val="22"/>
              </w:rPr>
              <w:t>4,614</w:t>
            </w:r>
          </w:p>
        </w:tc>
        <w:tc>
          <w:tcPr>
            <w:tcW w:w="1513" w:type="dxa"/>
            <w:shd w:val="clear" w:color="auto" w:fill="auto"/>
            <w:noWrap/>
            <w:vAlign w:val="center"/>
          </w:tcPr>
          <w:p w14:paraId="16F1354F" w14:textId="4D4679A5" w:rsidR="00DC271E" w:rsidRPr="0033136A" w:rsidRDefault="00DC271E" w:rsidP="00DC271E">
            <w:pPr>
              <w:pBdr>
                <w:bottom w:val="single" w:sz="4" w:space="0" w:color="000000"/>
              </w:pBdr>
              <w:spacing w:before="40"/>
              <w:jc w:val="right"/>
              <w:rPr>
                <w:sz w:val="22"/>
                <w:szCs w:val="22"/>
              </w:rPr>
            </w:pPr>
            <w:r>
              <w:rPr>
                <w:color w:val="000000"/>
                <w:sz w:val="22"/>
                <w:szCs w:val="22"/>
              </w:rPr>
              <w:t xml:space="preserve">          4,026 </w:t>
            </w:r>
          </w:p>
        </w:tc>
      </w:tr>
      <w:tr w:rsidR="00DC271E" w14:paraId="2AD4F52C" w14:textId="77777777" w:rsidTr="005101BC">
        <w:trPr>
          <w:trHeight w:val="283"/>
        </w:trPr>
        <w:tc>
          <w:tcPr>
            <w:tcW w:w="5890" w:type="dxa"/>
            <w:shd w:val="clear" w:color="auto" w:fill="auto"/>
            <w:noWrap/>
            <w:vAlign w:val="bottom"/>
            <w:hideMark/>
          </w:tcPr>
          <w:p w14:paraId="3D0E0BB7" w14:textId="77777777" w:rsidR="00DC271E" w:rsidRPr="002C7408" w:rsidRDefault="00DC271E" w:rsidP="00DC271E">
            <w:pPr>
              <w:spacing w:before="40"/>
              <w:rPr>
                <w:sz w:val="22"/>
                <w:szCs w:val="22"/>
              </w:rPr>
            </w:pPr>
          </w:p>
        </w:tc>
        <w:tc>
          <w:tcPr>
            <w:tcW w:w="1515" w:type="dxa"/>
            <w:shd w:val="clear" w:color="auto" w:fill="auto"/>
            <w:noWrap/>
            <w:vAlign w:val="bottom"/>
          </w:tcPr>
          <w:p w14:paraId="5EE4385B" w14:textId="5E5330DB" w:rsidR="00DC271E" w:rsidRPr="00DC271E" w:rsidRDefault="00DC271E" w:rsidP="00DC271E">
            <w:pPr>
              <w:spacing w:before="40"/>
              <w:jc w:val="right"/>
              <w:rPr>
                <w:b/>
                <w:bCs/>
                <w:sz w:val="22"/>
                <w:szCs w:val="22"/>
                <w:highlight w:val="yellow"/>
              </w:rPr>
            </w:pPr>
            <w:r w:rsidRPr="00DC271E">
              <w:rPr>
                <w:sz w:val="22"/>
                <w:szCs w:val="22"/>
              </w:rPr>
              <w:t>58,852</w:t>
            </w:r>
          </w:p>
        </w:tc>
        <w:tc>
          <w:tcPr>
            <w:tcW w:w="1513" w:type="dxa"/>
            <w:shd w:val="clear" w:color="auto" w:fill="auto"/>
            <w:noWrap/>
            <w:vAlign w:val="center"/>
          </w:tcPr>
          <w:p w14:paraId="7452E2D5" w14:textId="0700DA36" w:rsidR="00DC271E" w:rsidRPr="0033136A" w:rsidRDefault="00DC271E" w:rsidP="00DC271E">
            <w:pPr>
              <w:spacing w:before="40"/>
              <w:jc w:val="right"/>
              <w:rPr>
                <w:sz w:val="22"/>
                <w:szCs w:val="22"/>
              </w:rPr>
            </w:pPr>
            <w:r>
              <w:rPr>
                <w:sz w:val="22"/>
                <w:szCs w:val="22"/>
              </w:rPr>
              <w:t xml:space="preserve">        93,883 </w:t>
            </w:r>
          </w:p>
        </w:tc>
      </w:tr>
      <w:tr w:rsidR="00DC271E" w14:paraId="1704929C" w14:textId="77777777" w:rsidTr="005101BC">
        <w:trPr>
          <w:trHeight w:val="283"/>
        </w:trPr>
        <w:tc>
          <w:tcPr>
            <w:tcW w:w="5890" w:type="dxa"/>
            <w:shd w:val="clear" w:color="auto" w:fill="auto"/>
            <w:noWrap/>
            <w:vAlign w:val="bottom"/>
            <w:hideMark/>
          </w:tcPr>
          <w:p w14:paraId="46CE731F" w14:textId="77777777" w:rsidR="00DC271E" w:rsidRPr="002C7408" w:rsidRDefault="00DC271E" w:rsidP="00DC271E">
            <w:pPr>
              <w:spacing w:before="40"/>
              <w:rPr>
                <w:sz w:val="22"/>
                <w:szCs w:val="22"/>
              </w:rPr>
            </w:pPr>
            <w:r w:rsidRPr="002C7408">
              <w:rPr>
                <w:color w:val="000000"/>
                <w:sz w:val="22"/>
                <w:szCs w:val="22"/>
              </w:rPr>
              <w:t>Allowance for doubtful debts</w:t>
            </w:r>
          </w:p>
        </w:tc>
        <w:tc>
          <w:tcPr>
            <w:tcW w:w="1515" w:type="dxa"/>
            <w:shd w:val="clear" w:color="auto" w:fill="auto"/>
            <w:noWrap/>
            <w:vAlign w:val="bottom"/>
          </w:tcPr>
          <w:p w14:paraId="792359CE" w14:textId="38863ACB" w:rsidR="00DC271E" w:rsidRPr="00DC271E" w:rsidRDefault="00DC271E" w:rsidP="00DC271E">
            <w:pPr>
              <w:pBdr>
                <w:bottom w:val="single" w:sz="4" w:space="0" w:color="000000"/>
              </w:pBdr>
              <w:spacing w:before="40"/>
              <w:jc w:val="right"/>
              <w:rPr>
                <w:b/>
                <w:bCs/>
                <w:sz w:val="22"/>
                <w:szCs w:val="22"/>
                <w:highlight w:val="yellow"/>
              </w:rPr>
            </w:pPr>
            <w:r w:rsidRPr="00DC271E">
              <w:rPr>
                <w:sz w:val="22"/>
                <w:szCs w:val="22"/>
              </w:rPr>
              <w:t>(1,575)</w:t>
            </w:r>
          </w:p>
        </w:tc>
        <w:tc>
          <w:tcPr>
            <w:tcW w:w="1513" w:type="dxa"/>
            <w:shd w:val="clear" w:color="auto" w:fill="auto"/>
            <w:noWrap/>
            <w:vAlign w:val="center"/>
          </w:tcPr>
          <w:p w14:paraId="5C39231A" w14:textId="4F6B873C" w:rsidR="00DC271E" w:rsidRPr="0033136A" w:rsidRDefault="00DC271E" w:rsidP="00DC271E">
            <w:pPr>
              <w:pBdr>
                <w:bottom w:val="single" w:sz="4" w:space="0" w:color="000000"/>
              </w:pBdr>
              <w:spacing w:before="40"/>
              <w:jc w:val="right"/>
              <w:rPr>
                <w:sz w:val="22"/>
                <w:szCs w:val="22"/>
              </w:rPr>
            </w:pPr>
            <w:r>
              <w:rPr>
                <w:sz w:val="22"/>
                <w:szCs w:val="22"/>
              </w:rPr>
              <w:t xml:space="preserve">         (1,492)</w:t>
            </w:r>
          </w:p>
        </w:tc>
      </w:tr>
      <w:tr w:rsidR="00DC271E" w14:paraId="45AE40C7" w14:textId="77777777" w:rsidTr="005101BC">
        <w:trPr>
          <w:trHeight w:val="283"/>
        </w:trPr>
        <w:tc>
          <w:tcPr>
            <w:tcW w:w="5890" w:type="dxa"/>
            <w:shd w:val="clear" w:color="auto" w:fill="auto"/>
            <w:noWrap/>
            <w:vAlign w:val="bottom"/>
            <w:hideMark/>
          </w:tcPr>
          <w:p w14:paraId="25792F4F" w14:textId="77777777" w:rsidR="00DC271E" w:rsidRPr="002C7408" w:rsidRDefault="00DC271E" w:rsidP="00DC271E">
            <w:pPr>
              <w:spacing w:before="40"/>
              <w:rPr>
                <w:rFonts w:ascii="Arial" w:eastAsia="Arial" w:hAnsi="Arial" w:cs="Arial"/>
                <w:sz w:val="22"/>
                <w:szCs w:val="22"/>
              </w:rPr>
            </w:pPr>
          </w:p>
        </w:tc>
        <w:tc>
          <w:tcPr>
            <w:tcW w:w="1515" w:type="dxa"/>
            <w:shd w:val="clear" w:color="auto" w:fill="auto"/>
            <w:noWrap/>
            <w:vAlign w:val="bottom"/>
          </w:tcPr>
          <w:p w14:paraId="3518ABDD" w14:textId="25B3AE26" w:rsidR="00DC271E" w:rsidRPr="00DC271E" w:rsidRDefault="00DC271E" w:rsidP="00DC271E">
            <w:pPr>
              <w:pBdr>
                <w:bottom w:val="double" w:sz="4" w:space="0" w:color="000000"/>
              </w:pBdr>
              <w:spacing w:before="40"/>
              <w:jc w:val="right"/>
              <w:rPr>
                <w:b/>
                <w:bCs/>
                <w:sz w:val="22"/>
                <w:szCs w:val="22"/>
                <w:highlight w:val="yellow"/>
              </w:rPr>
            </w:pPr>
            <w:r w:rsidRPr="00DC271E">
              <w:rPr>
                <w:sz w:val="22"/>
                <w:szCs w:val="22"/>
              </w:rPr>
              <w:t>57,277</w:t>
            </w:r>
          </w:p>
        </w:tc>
        <w:tc>
          <w:tcPr>
            <w:tcW w:w="1513" w:type="dxa"/>
            <w:shd w:val="clear" w:color="auto" w:fill="auto"/>
            <w:noWrap/>
            <w:vAlign w:val="center"/>
          </w:tcPr>
          <w:p w14:paraId="0E85FFAD" w14:textId="26756021" w:rsidR="00DC271E" w:rsidRPr="0033136A" w:rsidRDefault="00DC271E" w:rsidP="00DC271E">
            <w:pPr>
              <w:pBdr>
                <w:bottom w:val="double" w:sz="4" w:space="0" w:color="000000"/>
              </w:pBdr>
              <w:spacing w:before="40"/>
              <w:jc w:val="right"/>
              <w:rPr>
                <w:sz w:val="22"/>
                <w:szCs w:val="22"/>
              </w:rPr>
            </w:pPr>
            <w:r>
              <w:rPr>
                <w:sz w:val="22"/>
                <w:szCs w:val="22"/>
              </w:rPr>
              <w:t xml:space="preserve">        92,391 </w:t>
            </w:r>
          </w:p>
        </w:tc>
      </w:tr>
    </w:tbl>
    <w:p w14:paraId="48F7DD39" w14:textId="77777777" w:rsidR="00C35D07" w:rsidRPr="00A26CFE" w:rsidRDefault="00C35D07" w:rsidP="004A3C21">
      <w:pPr>
        <w:rPr>
          <w:sz w:val="12"/>
          <w:szCs w:val="12"/>
        </w:rPr>
      </w:pPr>
    </w:p>
    <w:p w14:paraId="67EE9FC2" w14:textId="24F63135" w:rsidR="00C35D07" w:rsidRDefault="00C35D07" w:rsidP="00BF35DA">
      <w:pPr>
        <w:ind w:left="720"/>
        <w:jc w:val="both"/>
        <w:rPr>
          <w:sz w:val="22"/>
          <w:szCs w:val="22"/>
        </w:rPr>
      </w:pPr>
      <w:r w:rsidRPr="005853D4">
        <w:rPr>
          <w:sz w:val="22"/>
          <w:szCs w:val="22"/>
        </w:rPr>
        <w:t xml:space="preserve">Information about the company's </w:t>
      </w:r>
      <w:r w:rsidRPr="00ED45EE">
        <w:rPr>
          <w:sz w:val="22"/>
          <w:szCs w:val="22"/>
        </w:rPr>
        <w:t xml:space="preserve">exposure to credit and market risks and impairment losses for trade and other receivables is included in Note </w:t>
      </w:r>
      <w:r w:rsidR="009971CB" w:rsidRPr="00DA7DED">
        <w:rPr>
          <w:sz w:val="22"/>
          <w:szCs w:val="22"/>
        </w:rPr>
        <w:t>2</w:t>
      </w:r>
      <w:r w:rsidR="00F66EC1" w:rsidRPr="00DA7DED">
        <w:rPr>
          <w:sz w:val="22"/>
          <w:szCs w:val="22"/>
        </w:rPr>
        <w:t>1</w:t>
      </w:r>
      <w:r w:rsidR="008038F7" w:rsidRPr="00ED45EE">
        <w:rPr>
          <w:sz w:val="22"/>
          <w:szCs w:val="22"/>
        </w:rPr>
        <w:t>.</w:t>
      </w:r>
    </w:p>
    <w:p w14:paraId="13CA8969" w14:textId="3D516EEE" w:rsidR="00CC50AC" w:rsidRPr="009357E9" w:rsidRDefault="00CC50AC" w:rsidP="00BF35DA">
      <w:pPr>
        <w:ind w:left="720"/>
        <w:jc w:val="both"/>
        <w:rPr>
          <w:sz w:val="10"/>
          <w:szCs w:val="10"/>
        </w:rPr>
      </w:pPr>
    </w:p>
    <w:p w14:paraId="41E09B0B" w14:textId="50E827F7" w:rsidR="00CC50AC" w:rsidRDefault="00CC50AC" w:rsidP="00C5462B">
      <w:pPr>
        <w:pStyle w:val="af2"/>
        <w:numPr>
          <w:ilvl w:val="0"/>
          <w:numId w:val="19"/>
        </w:numPr>
        <w:outlineLvl w:val="3"/>
        <w:rPr>
          <w:sz w:val="22"/>
          <w:szCs w:val="22"/>
        </w:rPr>
      </w:pPr>
      <w:bookmarkStart w:id="153" w:name="H4_Non__current_receivables"/>
      <w:r>
        <w:rPr>
          <w:b/>
          <w:bCs/>
          <w:sz w:val="22"/>
          <w:szCs w:val="22"/>
        </w:rPr>
        <w:t>Non - c</w:t>
      </w:r>
      <w:r w:rsidRPr="004F5F1C">
        <w:rPr>
          <w:b/>
          <w:bCs/>
          <w:sz w:val="22"/>
          <w:szCs w:val="22"/>
        </w:rPr>
        <w:t>urrent receivables</w:t>
      </w:r>
    </w:p>
    <w:bookmarkEnd w:id="153"/>
    <w:p w14:paraId="78198490" w14:textId="4A0BA706" w:rsidR="00CC50AC" w:rsidRPr="009357E9" w:rsidRDefault="00CC50AC" w:rsidP="00BF35DA">
      <w:pPr>
        <w:ind w:left="720"/>
        <w:jc w:val="both"/>
        <w:rPr>
          <w:sz w:val="10"/>
          <w:szCs w:val="10"/>
        </w:rPr>
      </w:pPr>
    </w:p>
    <w:p w14:paraId="3C135C7C" w14:textId="57922CF0" w:rsidR="00CC50AC" w:rsidRPr="00440C55" w:rsidRDefault="00CC50AC" w:rsidP="00440C55">
      <w:pPr>
        <w:ind w:left="720"/>
        <w:rPr>
          <w:bCs/>
          <w:i/>
          <w:iCs/>
          <w:sz w:val="18"/>
        </w:rPr>
      </w:pPr>
      <w:r w:rsidRPr="00F02921">
        <w:rPr>
          <w:rStyle w:val="Koteret"/>
          <w:b w:val="0"/>
          <w:bCs/>
          <w:i/>
          <w:iCs/>
        </w:rPr>
        <w:t>In thousands of Euros</w:t>
      </w:r>
    </w:p>
    <w:tbl>
      <w:tblPr>
        <w:tblW w:w="0" w:type="auto"/>
        <w:tblInd w:w="720" w:type="dxa"/>
        <w:tblLook w:val="06A0" w:firstRow="1" w:lastRow="0" w:firstColumn="1" w:lastColumn="0" w:noHBand="1" w:noVBand="1"/>
        <w:tblCaption w:val="AHR01"/>
        <w:tblDescription w:val="Non - current receivables"/>
      </w:tblPr>
      <w:tblGrid>
        <w:gridCol w:w="5890"/>
        <w:gridCol w:w="1515"/>
        <w:gridCol w:w="1513"/>
      </w:tblGrid>
      <w:tr w:rsidR="00023304" w14:paraId="5D7406F4" w14:textId="77777777" w:rsidTr="005101BC">
        <w:trPr>
          <w:cantSplit/>
          <w:trHeight w:val="566"/>
          <w:tblHeader/>
        </w:trPr>
        <w:tc>
          <w:tcPr>
            <w:tcW w:w="5890" w:type="dxa"/>
            <w:shd w:val="clear" w:color="auto" w:fill="auto"/>
            <w:noWrap/>
            <w:vAlign w:val="bottom"/>
            <w:hideMark/>
          </w:tcPr>
          <w:p w14:paraId="572E3E6B" w14:textId="77777777" w:rsidR="00023304" w:rsidRPr="00866299" w:rsidRDefault="00023304" w:rsidP="0019652F">
            <w:pPr>
              <w:spacing w:before="40"/>
              <w:rPr>
                <w:rFonts w:ascii="Arial" w:eastAsia="Arial" w:hAnsi="Arial" w:cs="Arial"/>
                <w:sz w:val="20"/>
              </w:rPr>
            </w:pPr>
            <w:bookmarkStart w:id="154" w:name="Title_32" w:colFirst="0" w:colLast="0"/>
          </w:p>
        </w:tc>
        <w:tc>
          <w:tcPr>
            <w:tcW w:w="1515" w:type="dxa"/>
            <w:shd w:val="clear" w:color="auto" w:fill="auto"/>
            <w:vAlign w:val="bottom"/>
            <w:hideMark/>
          </w:tcPr>
          <w:p w14:paraId="469BD44F" w14:textId="77777777" w:rsidR="00023304" w:rsidRPr="00866299" w:rsidRDefault="00023304" w:rsidP="0033136A">
            <w:pPr>
              <w:spacing w:before="40"/>
              <w:jc w:val="center"/>
              <w:rPr>
                <w:b/>
                <w:bCs/>
                <w:sz w:val="20"/>
              </w:rPr>
            </w:pPr>
            <w:r w:rsidRPr="00866299">
              <w:rPr>
                <w:b/>
                <w:bCs/>
                <w:color w:val="000000"/>
                <w:sz w:val="20"/>
              </w:rPr>
              <w:t>December 31,</w:t>
            </w:r>
          </w:p>
          <w:p w14:paraId="241D79B9" w14:textId="3DD9A20A" w:rsidR="00023304" w:rsidRPr="00866299" w:rsidRDefault="00AD1E41" w:rsidP="0033136A">
            <w:pPr>
              <w:pBdr>
                <w:bottom w:val="single" w:sz="4" w:space="0" w:color="000000"/>
              </w:pBdr>
              <w:bidi/>
              <w:spacing w:before="40"/>
              <w:ind w:left="57"/>
              <w:jc w:val="center"/>
              <w:rPr>
                <w:b/>
                <w:bCs/>
                <w:sz w:val="20"/>
              </w:rPr>
            </w:pPr>
            <w:r>
              <w:rPr>
                <w:b/>
                <w:bCs/>
                <w:color w:val="000000"/>
                <w:sz w:val="20"/>
              </w:rPr>
              <w:t>20</w:t>
            </w:r>
            <w:r w:rsidR="00C52BA0">
              <w:rPr>
                <w:b/>
                <w:bCs/>
                <w:color w:val="000000"/>
                <w:sz w:val="20"/>
              </w:rPr>
              <w:t>24</w:t>
            </w:r>
          </w:p>
        </w:tc>
        <w:tc>
          <w:tcPr>
            <w:tcW w:w="1513" w:type="dxa"/>
            <w:shd w:val="clear" w:color="auto" w:fill="auto"/>
            <w:vAlign w:val="bottom"/>
            <w:hideMark/>
          </w:tcPr>
          <w:p w14:paraId="488FE484" w14:textId="77777777" w:rsidR="00023304" w:rsidRPr="00866299" w:rsidRDefault="00023304" w:rsidP="0033136A">
            <w:pPr>
              <w:spacing w:before="40"/>
              <w:jc w:val="center"/>
              <w:rPr>
                <w:b/>
                <w:bCs/>
                <w:sz w:val="20"/>
              </w:rPr>
            </w:pPr>
            <w:r w:rsidRPr="00866299">
              <w:rPr>
                <w:b/>
                <w:bCs/>
                <w:color w:val="000000"/>
                <w:sz w:val="20"/>
              </w:rPr>
              <w:t>December 31,</w:t>
            </w:r>
          </w:p>
          <w:p w14:paraId="19D3626F" w14:textId="2B981409" w:rsidR="00023304" w:rsidRPr="00866299" w:rsidRDefault="00AD1E41" w:rsidP="0033136A">
            <w:pPr>
              <w:pBdr>
                <w:bottom w:val="single" w:sz="4" w:space="0" w:color="000000"/>
              </w:pBdr>
              <w:bidi/>
              <w:spacing w:before="40"/>
              <w:ind w:left="57"/>
              <w:jc w:val="center"/>
              <w:rPr>
                <w:b/>
                <w:bCs/>
                <w:sz w:val="20"/>
              </w:rPr>
            </w:pPr>
            <w:r>
              <w:rPr>
                <w:b/>
                <w:bCs/>
                <w:color w:val="000000"/>
                <w:sz w:val="20"/>
              </w:rPr>
              <w:t>202</w:t>
            </w:r>
            <w:r w:rsidR="00C52BA0">
              <w:rPr>
                <w:b/>
                <w:bCs/>
                <w:sz w:val="20"/>
              </w:rPr>
              <w:t>3</w:t>
            </w:r>
          </w:p>
        </w:tc>
      </w:tr>
      <w:bookmarkEnd w:id="154"/>
      <w:tr w:rsidR="00DC271E" w14:paraId="1FB5ABA0" w14:textId="77777777" w:rsidTr="005101BC">
        <w:trPr>
          <w:trHeight w:val="283"/>
        </w:trPr>
        <w:tc>
          <w:tcPr>
            <w:tcW w:w="5890" w:type="dxa"/>
            <w:shd w:val="clear" w:color="auto" w:fill="auto"/>
            <w:noWrap/>
            <w:hideMark/>
          </w:tcPr>
          <w:p w14:paraId="739043E1" w14:textId="3B7ACF9A" w:rsidR="00DC271E" w:rsidRPr="00CC50AC" w:rsidRDefault="00DC271E" w:rsidP="00DC271E">
            <w:pPr>
              <w:spacing w:before="40"/>
              <w:rPr>
                <w:sz w:val="22"/>
                <w:szCs w:val="22"/>
                <w:lang w:bidi="he-IL"/>
              </w:rPr>
            </w:pPr>
            <w:r>
              <w:rPr>
                <w:sz w:val="22"/>
                <w:szCs w:val="22"/>
              </w:rPr>
              <w:t>Deposit related to financing</w:t>
            </w:r>
          </w:p>
        </w:tc>
        <w:tc>
          <w:tcPr>
            <w:tcW w:w="1515" w:type="dxa"/>
            <w:shd w:val="clear" w:color="auto" w:fill="auto"/>
            <w:noWrap/>
            <w:vAlign w:val="bottom"/>
          </w:tcPr>
          <w:p w14:paraId="0088F2FF" w14:textId="5EB2F4B9" w:rsidR="00DC271E" w:rsidRPr="00DC271E" w:rsidRDefault="00DC271E" w:rsidP="00DC271E">
            <w:pPr>
              <w:spacing w:before="40"/>
              <w:jc w:val="right"/>
              <w:rPr>
                <w:b/>
                <w:bCs/>
                <w:sz w:val="22"/>
                <w:szCs w:val="22"/>
                <w:highlight w:val="yellow"/>
              </w:rPr>
            </w:pPr>
            <w:r w:rsidRPr="00DC271E">
              <w:rPr>
                <w:sz w:val="22"/>
                <w:szCs w:val="22"/>
              </w:rPr>
              <w:t>35,821</w:t>
            </w:r>
          </w:p>
        </w:tc>
        <w:tc>
          <w:tcPr>
            <w:tcW w:w="1513" w:type="dxa"/>
            <w:shd w:val="clear" w:color="auto" w:fill="auto"/>
            <w:noWrap/>
            <w:vAlign w:val="bottom"/>
          </w:tcPr>
          <w:p w14:paraId="20DED59D" w14:textId="2CBEE8D0" w:rsidR="00DC271E" w:rsidRPr="0033136A" w:rsidRDefault="00DC271E" w:rsidP="00DC271E">
            <w:pPr>
              <w:spacing w:before="40"/>
              <w:jc w:val="right"/>
              <w:rPr>
                <w:sz w:val="22"/>
                <w:szCs w:val="22"/>
              </w:rPr>
            </w:pPr>
            <w:r>
              <w:rPr>
                <w:sz w:val="22"/>
                <w:szCs w:val="22"/>
              </w:rPr>
              <w:t>34,742</w:t>
            </w:r>
          </w:p>
        </w:tc>
      </w:tr>
      <w:tr w:rsidR="00DC271E" w14:paraId="5A60F11B" w14:textId="77777777" w:rsidTr="005101BC">
        <w:trPr>
          <w:trHeight w:val="283"/>
        </w:trPr>
        <w:tc>
          <w:tcPr>
            <w:tcW w:w="5890" w:type="dxa"/>
            <w:shd w:val="clear" w:color="auto" w:fill="auto"/>
            <w:noWrap/>
            <w:hideMark/>
          </w:tcPr>
          <w:p w14:paraId="1785D1F6" w14:textId="099E6FE6" w:rsidR="00DC271E" w:rsidRPr="00CC50AC" w:rsidRDefault="00DC271E" w:rsidP="00DC271E">
            <w:pPr>
              <w:spacing w:before="40"/>
              <w:rPr>
                <w:sz w:val="22"/>
                <w:szCs w:val="22"/>
                <w:rtl/>
                <w:lang w:bidi="he-IL"/>
              </w:rPr>
            </w:pPr>
            <w:r w:rsidRPr="00440C55">
              <w:rPr>
                <w:sz w:val="22"/>
                <w:szCs w:val="22"/>
              </w:rPr>
              <w:t>Receivable from derivatives</w:t>
            </w:r>
          </w:p>
        </w:tc>
        <w:tc>
          <w:tcPr>
            <w:tcW w:w="1515" w:type="dxa"/>
            <w:shd w:val="clear" w:color="auto" w:fill="auto"/>
            <w:noWrap/>
            <w:vAlign w:val="bottom"/>
          </w:tcPr>
          <w:p w14:paraId="03D48860" w14:textId="06E12F64" w:rsidR="00DC271E" w:rsidRPr="00DC271E" w:rsidRDefault="00DC271E" w:rsidP="00DC271E">
            <w:pPr>
              <w:spacing w:before="40"/>
              <w:jc w:val="right"/>
              <w:rPr>
                <w:b/>
                <w:bCs/>
                <w:sz w:val="22"/>
                <w:szCs w:val="22"/>
                <w:highlight w:val="yellow"/>
              </w:rPr>
            </w:pPr>
            <w:r w:rsidRPr="00DC271E">
              <w:rPr>
                <w:sz w:val="22"/>
                <w:szCs w:val="22"/>
              </w:rPr>
              <w:t>1,594</w:t>
            </w:r>
          </w:p>
        </w:tc>
        <w:tc>
          <w:tcPr>
            <w:tcW w:w="1513" w:type="dxa"/>
            <w:shd w:val="clear" w:color="auto" w:fill="auto"/>
            <w:noWrap/>
            <w:vAlign w:val="bottom"/>
          </w:tcPr>
          <w:p w14:paraId="0B8076F9" w14:textId="2B2FDAAE" w:rsidR="00DC271E" w:rsidRPr="0033136A" w:rsidRDefault="00DC271E" w:rsidP="00DC271E">
            <w:pPr>
              <w:spacing w:before="40"/>
              <w:jc w:val="right"/>
              <w:rPr>
                <w:sz w:val="22"/>
                <w:szCs w:val="22"/>
              </w:rPr>
            </w:pPr>
            <w:r>
              <w:rPr>
                <w:color w:val="000000"/>
                <w:sz w:val="22"/>
                <w:szCs w:val="22"/>
              </w:rPr>
              <w:t>8,240</w:t>
            </w:r>
          </w:p>
        </w:tc>
      </w:tr>
      <w:tr w:rsidR="00DC271E" w14:paraId="77117CFC" w14:textId="77777777" w:rsidTr="005101BC">
        <w:trPr>
          <w:trHeight w:val="283"/>
        </w:trPr>
        <w:tc>
          <w:tcPr>
            <w:tcW w:w="5890" w:type="dxa"/>
            <w:shd w:val="clear" w:color="auto" w:fill="auto"/>
            <w:noWrap/>
            <w:hideMark/>
          </w:tcPr>
          <w:p w14:paraId="540E754F" w14:textId="3E040DC7" w:rsidR="00DC271E" w:rsidRPr="00CC50AC" w:rsidRDefault="00DC271E" w:rsidP="00DC271E">
            <w:pPr>
              <w:spacing w:before="40"/>
              <w:rPr>
                <w:sz w:val="22"/>
                <w:szCs w:val="22"/>
              </w:rPr>
            </w:pPr>
            <w:r w:rsidRPr="00440C55">
              <w:rPr>
                <w:sz w:val="22"/>
                <w:szCs w:val="22"/>
              </w:rPr>
              <w:t>Advances for investment property</w:t>
            </w:r>
            <w:r>
              <w:rPr>
                <w:sz w:val="22"/>
                <w:szCs w:val="22"/>
              </w:rPr>
              <w:t xml:space="preserve"> </w:t>
            </w:r>
            <w:r w:rsidRPr="00440C55">
              <w:rPr>
                <w:sz w:val="20"/>
              </w:rPr>
              <w:t>(1)</w:t>
            </w:r>
            <w:r>
              <w:rPr>
                <w:sz w:val="20"/>
              </w:rPr>
              <w:t xml:space="preserve"> (2) </w:t>
            </w:r>
          </w:p>
        </w:tc>
        <w:tc>
          <w:tcPr>
            <w:tcW w:w="1515" w:type="dxa"/>
            <w:shd w:val="clear" w:color="auto" w:fill="auto"/>
            <w:noWrap/>
            <w:vAlign w:val="bottom"/>
          </w:tcPr>
          <w:p w14:paraId="49B7276C" w14:textId="49FF9020" w:rsidR="00DC271E" w:rsidRPr="00DC271E" w:rsidRDefault="00DC271E" w:rsidP="00DC271E">
            <w:pPr>
              <w:spacing w:before="40"/>
              <w:jc w:val="right"/>
              <w:rPr>
                <w:b/>
                <w:bCs/>
                <w:sz w:val="22"/>
                <w:szCs w:val="22"/>
                <w:highlight w:val="yellow"/>
              </w:rPr>
            </w:pPr>
            <w:r w:rsidRPr="00DC271E">
              <w:rPr>
                <w:sz w:val="22"/>
                <w:szCs w:val="22"/>
              </w:rPr>
              <w:t>6,092</w:t>
            </w:r>
          </w:p>
        </w:tc>
        <w:tc>
          <w:tcPr>
            <w:tcW w:w="1513" w:type="dxa"/>
            <w:shd w:val="clear" w:color="auto" w:fill="auto"/>
            <w:noWrap/>
            <w:vAlign w:val="bottom"/>
          </w:tcPr>
          <w:p w14:paraId="12703E44" w14:textId="223B4384" w:rsidR="00DC271E" w:rsidRPr="0033136A" w:rsidRDefault="00DC271E" w:rsidP="00DC271E">
            <w:pPr>
              <w:spacing w:before="40"/>
              <w:jc w:val="right"/>
              <w:rPr>
                <w:sz w:val="22"/>
                <w:szCs w:val="22"/>
              </w:rPr>
            </w:pPr>
            <w:r>
              <w:rPr>
                <w:sz w:val="22"/>
                <w:szCs w:val="22"/>
              </w:rPr>
              <w:t>74,295</w:t>
            </w:r>
          </w:p>
        </w:tc>
      </w:tr>
      <w:tr w:rsidR="00DC271E" w14:paraId="4C0059DE" w14:textId="77777777" w:rsidTr="005101BC">
        <w:trPr>
          <w:trHeight w:val="283"/>
        </w:trPr>
        <w:tc>
          <w:tcPr>
            <w:tcW w:w="5890" w:type="dxa"/>
            <w:shd w:val="clear" w:color="auto" w:fill="auto"/>
            <w:noWrap/>
            <w:hideMark/>
          </w:tcPr>
          <w:p w14:paraId="568D5BCB" w14:textId="0AD1D164" w:rsidR="00DC271E" w:rsidRPr="00CC50AC" w:rsidRDefault="00DC271E" w:rsidP="00DC271E">
            <w:pPr>
              <w:spacing w:before="40"/>
              <w:rPr>
                <w:sz w:val="22"/>
                <w:szCs w:val="22"/>
              </w:rPr>
            </w:pPr>
            <w:r w:rsidRPr="00440C55">
              <w:rPr>
                <w:sz w:val="22"/>
                <w:szCs w:val="22"/>
              </w:rPr>
              <w:t>Loans and other receivables</w:t>
            </w:r>
          </w:p>
        </w:tc>
        <w:tc>
          <w:tcPr>
            <w:tcW w:w="1515" w:type="dxa"/>
            <w:shd w:val="clear" w:color="auto" w:fill="auto"/>
            <w:noWrap/>
            <w:vAlign w:val="bottom"/>
          </w:tcPr>
          <w:p w14:paraId="0807593C" w14:textId="466AE2FD" w:rsidR="00DC271E" w:rsidRPr="00DC271E" w:rsidRDefault="00DC271E" w:rsidP="00DC271E">
            <w:pPr>
              <w:pBdr>
                <w:bottom w:val="single" w:sz="4" w:space="0" w:color="000000"/>
              </w:pBdr>
              <w:spacing w:before="40"/>
              <w:jc w:val="right"/>
              <w:rPr>
                <w:b/>
                <w:bCs/>
                <w:sz w:val="22"/>
                <w:szCs w:val="22"/>
                <w:highlight w:val="yellow"/>
              </w:rPr>
            </w:pPr>
            <w:r w:rsidRPr="00DC271E">
              <w:rPr>
                <w:sz w:val="22"/>
                <w:szCs w:val="22"/>
              </w:rPr>
              <w:t>2,007</w:t>
            </w:r>
          </w:p>
        </w:tc>
        <w:tc>
          <w:tcPr>
            <w:tcW w:w="1513" w:type="dxa"/>
            <w:shd w:val="clear" w:color="auto" w:fill="auto"/>
            <w:noWrap/>
            <w:vAlign w:val="bottom"/>
          </w:tcPr>
          <w:p w14:paraId="1CF70826" w14:textId="6A9164EF" w:rsidR="00DC271E" w:rsidRPr="0033136A" w:rsidRDefault="00DC271E" w:rsidP="00DC271E">
            <w:pPr>
              <w:pBdr>
                <w:bottom w:val="single" w:sz="4" w:space="0" w:color="000000"/>
              </w:pBdr>
              <w:spacing w:before="40"/>
              <w:jc w:val="right"/>
              <w:rPr>
                <w:sz w:val="22"/>
                <w:szCs w:val="22"/>
              </w:rPr>
            </w:pPr>
            <w:r>
              <w:rPr>
                <w:sz w:val="22"/>
                <w:szCs w:val="22"/>
              </w:rPr>
              <w:t>1,879</w:t>
            </w:r>
          </w:p>
        </w:tc>
      </w:tr>
      <w:tr w:rsidR="00DC271E" w14:paraId="3238B479" w14:textId="77777777" w:rsidTr="005101BC">
        <w:trPr>
          <w:trHeight w:val="283"/>
        </w:trPr>
        <w:tc>
          <w:tcPr>
            <w:tcW w:w="5890" w:type="dxa"/>
            <w:shd w:val="clear" w:color="auto" w:fill="auto"/>
            <w:noWrap/>
            <w:vAlign w:val="bottom"/>
            <w:hideMark/>
          </w:tcPr>
          <w:p w14:paraId="44847F1A" w14:textId="77777777" w:rsidR="00DC271E" w:rsidRPr="002C7408" w:rsidRDefault="00DC271E" w:rsidP="00DC271E">
            <w:pPr>
              <w:spacing w:before="40"/>
              <w:rPr>
                <w:rFonts w:ascii="Arial" w:eastAsia="Arial" w:hAnsi="Arial" w:cs="Arial"/>
                <w:sz w:val="22"/>
                <w:szCs w:val="22"/>
              </w:rPr>
            </w:pPr>
          </w:p>
        </w:tc>
        <w:tc>
          <w:tcPr>
            <w:tcW w:w="1515" w:type="dxa"/>
            <w:shd w:val="clear" w:color="auto" w:fill="auto"/>
            <w:noWrap/>
            <w:vAlign w:val="bottom"/>
          </w:tcPr>
          <w:p w14:paraId="2A0CE00A" w14:textId="55C7E6A1" w:rsidR="00DC271E" w:rsidRPr="00DC271E" w:rsidRDefault="00DC271E" w:rsidP="00DC271E">
            <w:pPr>
              <w:pBdr>
                <w:bottom w:val="double" w:sz="4" w:space="0" w:color="000000"/>
              </w:pBdr>
              <w:spacing w:before="40"/>
              <w:jc w:val="right"/>
              <w:rPr>
                <w:b/>
                <w:bCs/>
                <w:sz w:val="22"/>
                <w:szCs w:val="22"/>
                <w:highlight w:val="yellow"/>
              </w:rPr>
            </w:pPr>
            <w:r w:rsidRPr="00DC271E">
              <w:rPr>
                <w:sz w:val="22"/>
                <w:szCs w:val="22"/>
              </w:rPr>
              <w:t>45,514</w:t>
            </w:r>
          </w:p>
        </w:tc>
        <w:tc>
          <w:tcPr>
            <w:tcW w:w="1513" w:type="dxa"/>
            <w:shd w:val="clear" w:color="auto" w:fill="auto"/>
            <w:noWrap/>
            <w:vAlign w:val="bottom"/>
          </w:tcPr>
          <w:p w14:paraId="4AFBA012" w14:textId="5919173B" w:rsidR="00DC271E" w:rsidRPr="0033136A" w:rsidRDefault="00DC271E" w:rsidP="00DC271E">
            <w:pPr>
              <w:pBdr>
                <w:bottom w:val="double" w:sz="4" w:space="0" w:color="000000"/>
              </w:pBdr>
              <w:spacing w:before="40"/>
              <w:jc w:val="right"/>
              <w:rPr>
                <w:sz w:val="22"/>
                <w:szCs w:val="22"/>
              </w:rPr>
            </w:pPr>
            <w:r>
              <w:rPr>
                <w:sz w:val="22"/>
                <w:szCs w:val="22"/>
              </w:rPr>
              <w:t>119,156</w:t>
            </w:r>
          </w:p>
        </w:tc>
      </w:tr>
    </w:tbl>
    <w:p w14:paraId="6316D3EA" w14:textId="77777777" w:rsidR="001C69BF" w:rsidRPr="00A26CFE" w:rsidRDefault="001C69BF" w:rsidP="00BF2911">
      <w:pPr>
        <w:rPr>
          <w:sz w:val="10"/>
          <w:szCs w:val="10"/>
        </w:rPr>
      </w:pPr>
    </w:p>
    <w:p w14:paraId="2F5D8C7C" w14:textId="1C995630" w:rsidR="00F64D81" w:rsidRDefault="00D86316" w:rsidP="00C97D2F">
      <w:pPr>
        <w:pStyle w:val="af2"/>
        <w:numPr>
          <w:ilvl w:val="0"/>
          <w:numId w:val="20"/>
        </w:numPr>
        <w:jc w:val="both"/>
        <w:rPr>
          <w:sz w:val="22"/>
          <w:szCs w:val="22"/>
        </w:rPr>
      </w:pPr>
      <w:r w:rsidRPr="00C97D2F">
        <w:rPr>
          <w:sz w:val="22"/>
          <w:szCs w:val="22"/>
          <w:lang w:bidi="he-IL"/>
        </w:rPr>
        <w:t xml:space="preserve">During 2024, </w:t>
      </w:r>
      <w:r w:rsidR="00D961CB" w:rsidRPr="002B4B5D">
        <w:rPr>
          <w:sz w:val="22"/>
          <w:szCs w:val="22"/>
        </w:rPr>
        <w:t xml:space="preserve">two Polish subsidiaries of the Company met the conditions precedent for acquiring two residential-for-rent properties in Poland: AFI Home </w:t>
      </w:r>
      <w:proofErr w:type="spellStart"/>
      <w:r w:rsidR="00D961CB" w:rsidRPr="002B4B5D">
        <w:rPr>
          <w:sz w:val="22"/>
          <w:szCs w:val="22"/>
        </w:rPr>
        <w:t>Dluga</w:t>
      </w:r>
      <w:proofErr w:type="spellEnd"/>
      <w:r w:rsidR="00D961CB" w:rsidRPr="002B4B5D">
        <w:rPr>
          <w:sz w:val="22"/>
          <w:szCs w:val="22"/>
        </w:rPr>
        <w:t xml:space="preserve"> in Wroclaw and AFI Home </w:t>
      </w:r>
      <w:proofErr w:type="spellStart"/>
      <w:r w:rsidR="00D961CB" w:rsidRPr="002B4B5D">
        <w:rPr>
          <w:sz w:val="22"/>
          <w:szCs w:val="22"/>
        </w:rPr>
        <w:t>Swedzka</w:t>
      </w:r>
      <w:proofErr w:type="spellEnd"/>
      <w:r w:rsidR="00D961CB" w:rsidRPr="002B4B5D">
        <w:rPr>
          <w:sz w:val="22"/>
          <w:szCs w:val="22"/>
        </w:rPr>
        <w:t xml:space="preserve"> in Warsaw (the “Transactions”). Following the issuance of occupancy permits for each property, handover of the projects took place and subsequently the leasing </w:t>
      </w:r>
      <w:r w:rsidR="00D961CB">
        <w:rPr>
          <w:sz w:val="22"/>
          <w:szCs w:val="22"/>
        </w:rPr>
        <w:t xml:space="preserve">of </w:t>
      </w:r>
      <w:r w:rsidR="00D961CB" w:rsidRPr="002B4B5D">
        <w:rPr>
          <w:sz w:val="22"/>
          <w:szCs w:val="22"/>
        </w:rPr>
        <w:t>the units began. As a result, the assets</w:t>
      </w:r>
      <w:r w:rsidR="00D961CB">
        <w:rPr>
          <w:sz w:val="22"/>
          <w:szCs w:val="22"/>
        </w:rPr>
        <w:t xml:space="preserve"> </w:t>
      </w:r>
      <w:r w:rsidR="00D961CB" w:rsidRPr="002B4B5D">
        <w:rPr>
          <w:sz w:val="22"/>
          <w:szCs w:val="22"/>
        </w:rPr>
        <w:t>have been classified as investment properties</w:t>
      </w:r>
      <w:r w:rsidRPr="00C97D2F">
        <w:rPr>
          <w:sz w:val="22"/>
          <w:szCs w:val="22"/>
        </w:rPr>
        <w:t xml:space="preserve">. For further information see Note 5(A)(1). </w:t>
      </w:r>
    </w:p>
    <w:p w14:paraId="5B082DC3" w14:textId="77777777" w:rsidR="00C97D2F" w:rsidRDefault="00C97D2F" w:rsidP="00C97D2F">
      <w:pPr>
        <w:pStyle w:val="af2"/>
        <w:ind w:left="1080"/>
        <w:jc w:val="both"/>
        <w:rPr>
          <w:sz w:val="22"/>
          <w:szCs w:val="22"/>
        </w:rPr>
      </w:pPr>
    </w:p>
    <w:p w14:paraId="0D478187" w14:textId="59C44CA7" w:rsidR="00F64D81" w:rsidRPr="00847A40" w:rsidRDefault="00E11F66" w:rsidP="00F64D81">
      <w:pPr>
        <w:pStyle w:val="af2"/>
        <w:numPr>
          <w:ilvl w:val="0"/>
          <w:numId w:val="20"/>
        </w:numPr>
        <w:jc w:val="both"/>
        <w:rPr>
          <w:sz w:val="22"/>
          <w:szCs w:val="22"/>
        </w:rPr>
      </w:pPr>
      <w:r w:rsidRPr="00E11F66">
        <w:rPr>
          <w:sz w:val="22"/>
          <w:szCs w:val="22"/>
        </w:rPr>
        <w:t xml:space="preserve">On April 19, 2024 a Czech subsidiary of the Company signed a future purchase agreement for the acquisition of a land plot of approx. 14,826 sqm in Prague, Czech Republic, with a view to developing thereon a residential-for-rent project, for a purchase price of </w:t>
      </w:r>
      <w:r w:rsidR="008439D5">
        <w:rPr>
          <w:sz w:val="22"/>
          <w:szCs w:val="22"/>
        </w:rPr>
        <w:t xml:space="preserve">approx. </w:t>
      </w:r>
      <w:r w:rsidRPr="00E11F66">
        <w:rPr>
          <w:sz w:val="22"/>
          <w:szCs w:val="22"/>
        </w:rPr>
        <w:t>CZK 652</w:t>
      </w:r>
      <w:r w:rsidR="008439D5">
        <w:rPr>
          <w:sz w:val="22"/>
          <w:szCs w:val="22"/>
        </w:rPr>
        <w:t>.</w:t>
      </w:r>
      <w:r w:rsidRPr="00E11F66">
        <w:rPr>
          <w:sz w:val="22"/>
          <w:szCs w:val="22"/>
        </w:rPr>
        <w:t>8</w:t>
      </w:r>
      <w:r w:rsidR="008439D5">
        <w:rPr>
          <w:sz w:val="22"/>
          <w:szCs w:val="22"/>
        </w:rPr>
        <w:t xml:space="preserve"> million</w:t>
      </w:r>
      <w:r w:rsidRPr="00E11F66">
        <w:rPr>
          <w:sz w:val="22"/>
          <w:szCs w:val="22"/>
        </w:rPr>
        <w:t xml:space="preserve"> (equivalent to approx. EUR 25.9 million), 10% of which was paid upon signing that agreement, and the remaining 90% was paid on January 15, 2025 upon completion of the transaction and signing the final purchase agreement.</w:t>
      </w:r>
    </w:p>
    <w:p w14:paraId="453B415E" w14:textId="77777777" w:rsidR="00F64D81" w:rsidRPr="00D86316" w:rsidRDefault="00F64D81" w:rsidP="00F64D81">
      <w:pPr>
        <w:pStyle w:val="af2"/>
        <w:ind w:left="1080"/>
        <w:jc w:val="both"/>
        <w:rPr>
          <w:sz w:val="22"/>
          <w:szCs w:val="22"/>
        </w:rPr>
      </w:pPr>
    </w:p>
    <w:p w14:paraId="1B330FEB" w14:textId="5233E024" w:rsidR="00C35D07" w:rsidRPr="0033136A" w:rsidRDefault="00C35D07" w:rsidP="000B59AD">
      <w:pPr>
        <w:outlineLvl w:val="2"/>
        <w:rPr>
          <w:b/>
          <w:bCs/>
          <w:sz w:val="22"/>
          <w:szCs w:val="22"/>
        </w:rPr>
      </w:pPr>
      <w:bookmarkStart w:id="155" w:name="H3_Note_10__Cash_and_Cash_Equivalents_"/>
      <w:r w:rsidRPr="0033136A">
        <w:rPr>
          <w:b/>
          <w:bCs/>
          <w:sz w:val="22"/>
          <w:szCs w:val="22"/>
        </w:rPr>
        <w:t xml:space="preserve">Note </w:t>
      </w:r>
      <w:r w:rsidR="00BF2911" w:rsidRPr="0033136A">
        <w:rPr>
          <w:b/>
          <w:bCs/>
          <w:sz w:val="22"/>
          <w:szCs w:val="22"/>
        </w:rPr>
        <w:t>10</w:t>
      </w:r>
      <w:r w:rsidRPr="0033136A">
        <w:rPr>
          <w:b/>
          <w:bCs/>
          <w:sz w:val="22"/>
          <w:szCs w:val="22"/>
        </w:rPr>
        <w:t xml:space="preserve"> - Cash and Cash Equivalents </w:t>
      </w:r>
    </w:p>
    <w:bookmarkEnd w:id="155"/>
    <w:p w14:paraId="10F65A07" w14:textId="77777777" w:rsidR="002C7408" w:rsidRPr="008769A6" w:rsidRDefault="002C7408" w:rsidP="008769A6">
      <w:pPr>
        <w:ind w:left="720"/>
        <w:rPr>
          <w:sz w:val="22"/>
          <w:szCs w:val="22"/>
        </w:rPr>
      </w:pPr>
    </w:p>
    <w:p w14:paraId="55E88619" w14:textId="77777777" w:rsidR="00C35D07" w:rsidRPr="00F02921" w:rsidRDefault="00C35D07" w:rsidP="004A3C21">
      <w:pPr>
        <w:ind w:left="720"/>
        <w:rPr>
          <w:rStyle w:val="Koteret"/>
          <w:b w:val="0"/>
          <w:bCs/>
          <w:i/>
          <w:iCs/>
        </w:rPr>
      </w:pPr>
      <w:r w:rsidRPr="00F02921">
        <w:rPr>
          <w:rStyle w:val="Koteret"/>
          <w:b w:val="0"/>
          <w:bCs/>
          <w:i/>
          <w:iCs/>
        </w:rPr>
        <w:t>In thousands of Euros</w:t>
      </w:r>
    </w:p>
    <w:tbl>
      <w:tblPr>
        <w:tblW w:w="0" w:type="auto"/>
        <w:tblInd w:w="720" w:type="dxa"/>
        <w:tblLook w:val="06A0" w:firstRow="1" w:lastRow="0" w:firstColumn="1" w:lastColumn="0" w:noHBand="1" w:noVBand="1"/>
        <w:tblCaption w:val="AHR01"/>
        <w:tblDescription w:val="Cash and Cash Equivalents "/>
      </w:tblPr>
      <w:tblGrid>
        <w:gridCol w:w="5838"/>
        <w:gridCol w:w="1540"/>
        <w:gridCol w:w="1540"/>
      </w:tblGrid>
      <w:tr w:rsidR="009565B4" w:rsidRPr="002C7408" w14:paraId="747ADEAC" w14:textId="77777777" w:rsidTr="005101BC">
        <w:trPr>
          <w:cantSplit/>
          <w:trHeight w:val="566"/>
          <w:tblHeader/>
        </w:trPr>
        <w:tc>
          <w:tcPr>
            <w:tcW w:w="5838" w:type="dxa"/>
            <w:shd w:val="clear" w:color="auto" w:fill="auto"/>
            <w:noWrap/>
            <w:vAlign w:val="bottom"/>
            <w:hideMark/>
          </w:tcPr>
          <w:p w14:paraId="546D58D4" w14:textId="77777777" w:rsidR="009565B4" w:rsidRPr="00866299" w:rsidRDefault="009565B4">
            <w:pPr>
              <w:spacing w:before="40"/>
              <w:rPr>
                <w:rFonts w:ascii="Arial" w:eastAsia="Arial" w:hAnsi="Arial" w:cs="Arial"/>
                <w:sz w:val="20"/>
              </w:rPr>
            </w:pPr>
            <w:bookmarkStart w:id="156" w:name="Title_33" w:colFirst="0" w:colLast="0"/>
          </w:p>
        </w:tc>
        <w:tc>
          <w:tcPr>
            <w:tcW w:w="1540" w:type="dxa"/>
            <w:shd w:val="clear" w:color="auto" w:fill="auto"/>
            <w:vAlign w:val="bottom"/>
            <w:hideMark/>
          </w:tcPr>
          <w:p w14:paraId="0BE853CE" w14:textId="77777777" w:rsidR="009565B4" w:rsidRPr="00866299" w:rsidRDefault="009565B4" w:rsidP="0033136A">
            <w:pPr>
              <w:spacing w:before="40"/>
              <w:jc w:val="center"/>
              <w:rPr>
                <w:b/>
                <w:bCs/>
                <w:sz w:val="20"/>
              </w:rPr>
            </w:pPr>
            <w:r w:rsidRPr="00866299">
              <w:rPr>
                <w:b/>
                <w:bCs/>
                <w:color w:val="000000"/>
                <w:sz w:val="20"/>
              </w:rPr>
              <w:t>December 31,</w:t>
            </w:r>
          </w:p>
          <w:p w14:paraId="01F59E80" w14:textId="51A7002A" w:rsidR="009565B4" w:rsidRPr="00866299" w:rsidRDefault="00AD1E41" w:rsidP="0033136A">
            <w:pPr>
              <w:pBdr>
                <w:bottom w:val="single" w:sz="4" w:space="0" w:color="000000"/>
              </w:pBdr>
              <w:bidi/>
              <w:spacing w:before="40"/>
              <w:ind w:left="57"/>
              <w:jc w:val="center"/>
              <w:rPr>
                <w:b/>
                <w:bCs/>
                <w:sz w:val="20"/>
              </w:rPr>
            </w:pPr>
            <w:r>
              <w:rPr>
                <w:b/>
                <w:bCs/>
                <w:color w:val="000000"/>
                <w:sz w:val="20"/>
              </w:rPr>
              <w:t>202</w:t>
            </w:r>
            <w:r w:rsidR="00C52BA0">
              <w:rPr>
                <w:b/>
                <w:bCs/>
                <w:color w:val="000000"/>
                <w:sz w:val="20"/>
              </w:rPr>
              <w:t>4</w:t>
            </w:r>
          </w:p>
        </w:tc>
        <w:tc>
          <w:tcPr>
            <w:tcW w:w="1540" w:type="dxa"/>
            <w:shd w:val="clear" w:color="auto" w:fill="auto"/>
            <w:vAlign w:val="bottom"/>
            <w:hideMark/>
          </w:tcPr>
          <w:p w14:paraId="55E0EC43" w14:textId="77777777" w:rsidR="009565B4" w:rsidRPr="00866299" w:rsidRDefault="009565B4" w:rsidP="0033136A">
            <w:pPr>
              <w:spacing w:before="40"/>
              <w:jc w:val="center"/>
              <w:rPr>
                <w:b/>
                <w:bCs/>
                <w:sz w:val="20"/>
              </w:rPr>
            </w:pPr>
            <w:r w:rsidRPr="00866299">
              <w:rPr>
                <w:b/>
                <w:bCs/>
                <w:color w:val="000000"/>
                <w:sz w:val="20"/>
              </w:rPr>
              <w:t>December 31,</w:t>
            </w:r>
          </w:p>
          <w:p w14:paraId="46CE540A" w14:textId="317F2C49" w:rsidR="009565B4" w:rsidRPr="00866299" w:rsidRDefault="00AD1E41" w:rsidP="0033136A">
            <w:pPr>
              <w:pBdr>
                <w:bottom w:val="single" w:sz="4" w:space="0" w:color="000000"/>
              </w:pBdr>
              <w:bidi/>
              <w:spacing w:before="40"/>
              <w:ind w:left="57"/>
              <w:jc w:val="center"/>
              <w:rPr>
                <w:b/>
                <w:bCs/>
                <w:sz w:val="20"/>
              </w:rPr>
            </w:pPr>
            <w:r>
              <w:rPr>
                <w:b/>
                <w:bCs/>
                <w:color w:val="000000"/>
                <w:sz w:val="20"/>
              </w:rPr>
              <w:t>202</w:t>
            </w:r>
            <w:r w:rsidR="00C52BA0">
              <w:rPr>
                <w:b/>
                <w:bCs/>
                <w:color w:val="000000"/>
                <w:sz w:val="20"/>
              </w:rPr>
              <w:t>3</w:t>
            </w:r>
          </w:p>
        </w:tc>
      </w:tr>
      <w:bookmarkEnd w:id="156"/>
      <w:tr w:rsidR="00DC271E" w:rsidRPr="002C7408" w14:paraId="7972D015" w14:textId="77777777" w:rsidTr="005101BC">
        <w:trPr>
          <w:trHeight w:val="283"/>
        </w:trPr>
        <w:tc>
          <w:tcPr>
            <w:tcW w:w="5838" w:type="dxa"/>
            <w:shd w:val="clear" w:color="auto" w:fill="auto"/>
            <w:vAlign w:val="bottom"/>
            <w:hideMark/>
          </w:tcPr>
          <w:p w14:paraId="2B90B604" w14:textId="77777777" w:rsidR="00DC271E" w:rsidRPr="002C7408" w:rsidRDefault="00DC271E" w:rsidP="00DC271E">
            <w:pPr>
              <w:spacing w:before="40"/>
              <w:rPr>
                <w:sz w:val="22"/>
                <w:szCs w:val="22"/>
              </w:rPr>
            </w:pPr>
            <w:r w:rsidRPr="002C7408">
              <w:rPr>
                <w:color w:val="000000"/>
                <w:sz w:val="22"/>
                <w:szCs w:val="22"/>
              </w:rPr>
              <w:t>Bank balances</w:t>
            </w:r>
          </w:p>
        </w:tc>
        <w:tc>
          <w:tcPr>
            <w:tcW w:w="1540" w:type="dxa"/>
            <w:shd w:val="clear" w:color="auto" w:fill="auto"/>
            <w:noWrap/>
            <w:vAlign w:val="bottom"/>
          </w:tcPr>
          <w:p w14:paraId="69A38779" w14:textId="31EB9F56" w:rsidR="00DC271E" w:rsidRPr="00DC271E" w:rsidRDefault="00DC271E" w:rsidP="00DC271E">
            <w:pPr>
              <w:spacing w:before="40"/>
              <w:jc w:val="right"/>
              <w:rPr>
                <w:b/>
                <w:bCs/>
                <w:sz w:val="22"/>
                <w:szCs w:val="22"/>
                <w:highlight w:val="yellow"/>
              </w:rPr>
            </w:pPr>
            <w:r w:rsidRPr="00DC271E">
              <w:rPr>
                <w:sz w:val="22"/>
                <w:szCs w:val="22"/>
              </w:rPr>
              <w:t>75,261</w:t>
            </w:r>
          </w:p>
        </w:tc>
        <w:tc>
          <w:tcPr>
            <w:tcW w:w="1540" w:type="dxa"/>
            <w:shd w:val="clear" w:color="auto" w:fill="auto"/>
            <w:noWrap/>
            <w:vAlign w:val="bottom"/>
          </w:tcPr>
          <w:p w14:paraId="41912CDC" w14:textId="6DABA81A" w:rsidR="00DC271E" w:rsidRPr="0033136A" w:rsidRDefault="00DC271E" w:rsidP="00DC271E">
            <w:pPr>
              <w:spacing w:before="40"/>
              <w:jc w:val="right"/>
              <w:rPr>
                <w:sz w:val="22"/>
                <w:szCs w:val="22"/>
              </w:rPr>
            </w:pPr>
            <w:r>
              <w:rPr>
                <w:sz w:val="22"/>
                <w:szCs w:val="22"/>
              </w:rPr>
              <w:t>73,399</w:t>
            </w:r>
          </w:p>
        </w:tc>
      </w:tr>
      <w:tr w:rsidR="00DC271E" w:rsidRPr="002C7408" w14:paraId="15783E3B" w14:textId="77777777" w:rsidTr="005101BC">
        <w:trPr>
          <w:trHeight w:val="283"/>
        </w:trPr>
        <w:tc>
          <w:tcPr>
            <w:tcW w:w="5838" w:type="dxa"/>
            <w:shd w:val="clear" w:color="auto" w:fill="auto"/>
            <w:noWrap/>
            <w:vAlign w:val="bottom"/>
            <w:hideMark/>
          </w:tcPr>
          <w:p w14:paraId="44A59F81" w14:textId="77777777" w:rsidR="00DC271E" w:rsidRPr="002C7408" w:rsidRDefault="00DC271E" w:rsidP="00DC271E">
            <w:pPr>
              <w:spacing w:before="40"/>
              <w:rPr>
                <w:sz w:val="22"/>
                <w:szCs w:val="22"/>
              </w:rPr>
            </w:pPr>
            <w:r w:rsidRPr="002C7408">
              <w:rPr>
                <w:color w:val="000000"/>
                <w:sz w:val="22"/>
                <w:szCs w:val="22"/>
              </w:rPr>
              <w:t>Bank deposits</w:t>
            </w:r>
            <w:r w:rsidRPr="002C7408">
              <w:rPr>
                <w:sz w:val="22"/>
                <w:szCs w:val="22"/>
              </w:rPr>
              <w:t xml:space="preserve"> </w:t>
            </w:r>
          </w:p>
        </w:tc>
        <w:tc>
          <w:tcPr>
            <w:tcW w:w="1540" w:type="dxa"/>
            <w:shd w:val="clear" w:color="auto" w:fill="auto"/>
            <w:noWrap/>
            <w:vAlign w:val="bottom"/>
          </w:tcPr>
          <w:p w14:paraId="20E4E4AB" w14:textId="084E4BAE" w:rsidR="00DC271E" w:rsidRPr="00DC271E" w:rsidRDefault="00DC271E" w:rsidP="00DC271E">
            <w:pPr>
              <w:pBdr>
                <w:bottom w:val="single" w:sz="4" w:space="0" w:color="000000"/>
              </w:pBdr>
              <w:spacing w:before="40"/>
              <w:jc w:val="right"/>
              <w:rPr>
                <w:b/>
                <w:bCs/>
                <w:sz w:val="22"/>
                <w:szCs w:val="22"/>
                <w:highlight w:val="yellow"/>
              </w:rPr>
            </w:pPr>
            <w:r w:rsidRPr="00DC271E">
              <w:rPr>
                <w:sz w:val="22"/>
                <w:szCs w:val="22"/>
              </w:rPr>
              <w:t>28,807</w:t>
            </w:r>
          </w:p>
        </w:tc>
        <w:tc>
          <w:tcPr>
            <w:tcW w:w="1540" w:type="dxa"/>
            <w:shd w:val="clear" w:color="auto" w:fill="auto"/>
            <w:noWrap/>
            <w:vAlign w:val="bottom"/>
          </w:tcPr>
          <w:p w14:paraId="08252E92" w14:textId="1D83B42E" w:rsidR="00DC271E" w:rsidRPr="0033136A" w:rsidRDefault="00DC271E" w:rsidP="00DC271E">
            <w:pPr>
              <w:pBdr>
                <w:bottom w:val="single" w:sz="4" w:space="0" w:color="000000"/>
              </w:pBdr>
              <w:spacing w:before="40"/>
              <w:jc w:val="right"/>
              <w:rPr>
                <w:sz w:val="22"/>
                <w:szCs w:val="22"/>
              </w:rPr>
            </w:pPr>
            <w:r>
              <w:rPr>
                <w:sz w:val="22"/>
                <w:szCs w:val="22"/>
              </w:rPr>
              <w:t>9,419</w:t>
            </w:r>
          </w:p>
        </w:tc>
      </w:tr>
      <w:tr w:rsidR="00DC271E" w:rsidRPr="002C7408" w14:paraId="40FA47F3" w14:textId="77777777" w:rsidTr="005101BC">
        <w:trPr>
          <w:trHeight w:val="283"/>
        </w:trPr>
        <w:tc>
          <w:tcPr>
            <w:tcW w:w="5838" w:type="dxa"/>
            <w:shd w:val="clear" w:color="auto" w:fill="auto"/>
            <w:vAlign w:val="bottom"/>
            <w:hideMark/>
          </w:tcPr>
          <w:p w14:paraId="40F810D6" w14:textId="77777777" w:rsidR="00DC271E" w:rsidRPr="002C7408" w:rsidRDefault="00DC271E" w:rsidP="00DC271E">
            <w:pPr>
              <w:spacing w:before="40"/>
              <w:rPr>
                <w:sz w:val="22"/>
                <w:szCs w:val="22"/>
              </w:rPr>
            </w:pPr>
            <w:r w:rsidRPr="002C7408">
              <w:rPr>
                <w:color w:val="000000"/>
                <w:sz w:val="22"/>
                <w:szCs w:val="22"/>
              </w:rPr>
              <w:t>Cash and cash equivalents</w:t>
            </w:r>
          </w:p>
        </w:tc>
        <w:tc>
          <w:tcPr>
            <w:tcW w:w="1540" w:type="dxa"/>
            <w:shd w:val="clear" w:color="auto" w:fill="auto"/>
            <w:noWrap/>
            <w:vAlign w:val="bottom"/>
          </w:tcPr>
          <w:p w14:paraId="07AAAC73" w14:textId="045041E5" w:rsidR="00DC271E" w:rsidRPr="00DC271E" w:rsidRDefault="00DC271E" w:rsidP="00DC271E">
            <w:pPr>
              <w:pBdr>
                <w:bottom w:val="double" w:sz="4" w:space="0" w:color="000000"/>
              </w:pBdr>
              <w:spacing w:before="40"/>
              <w:jc w:val="right"/>
              <w:rPr>
                <w:b/>
                <w:bCs/>
                <w:sz w:val="22"/>
                <w:szCs w:val="22"/>
                <w:highlight w:val="yellow"/>
              </w:rPr>
            </w:pPr>
            <w:r w:rsidRPr="00DC271E">
              <w:rPr>
                <w:sz w:val="22"/>
                <w:szCs w:val="22"/>
              </w:rPr>
              <w:t>104,068</w:t>
            </w:r>
          </w:p>
        </w:tc>
        <w:tc>
          <w:tcPr>
            <w:tcW w:w="1540" w:type="dxa"/>
            <w:shd w:val="clear" w:color="auto" w:fill="auto"/>
            <w:noWrap/>
            <w:vAlign w:val="bottom"/>
          </w:tcPr>
          <w:p w14:paraId="39A66EED" w14:textId="0FF73921" w:rsidR="00DC271E" w:rsidRPr="0033136A" w:rsidRDefault="00DC271E" w:rsidP="00DC271E">
            <w:pPr>
              <w:pBdr>
                <w:bottom w:val="double" w:sz="4" w:space="0" w:color="000000"/>
              </w:pBdr>
              <w:spacing w:before="40"/>
              <w:jc w:val="right"/>
              <w:rPr>
                <w:sz w:val="22"/>
                <w:szCs w:val="22"/>
              </w:rPr>
            </w:pPr>
            <w:r>
              <w:rPr>
                <w:sz w:val="22"/>
                <w:szCs w:val="22"/>
              </w:rPr>
              <w:t>82,818</w:t>
            </w:r>
          </w:p>
        </w:tc>
      </w:tr>
    </w:tbl>
    <w:p w14:paraId="5CA7048D" w14:textId="77777777" w:rsidR="002C7408" w:rsidRDefault="002C7408" w:rsidP="004A3C21">
      <w:pPr>
        <w:ind w:left="720"/>
        <w:rPr>
          <w:sz w:val="22"/>
          <w:szCs w:val="22"/>
        </w:rPr>
      </w:pPr>
    </w:p>
    <w:p w14:paraId="025E3539" w14:textId="641E9531" w:rsidR="00E36DED" w:rsidRDefault="002C7408" w:rsidP="00237FC5">
      <w:pPr>
        <w:ind w:left="720"/>
        <w:rPr>
          <w:b/>
          <w:bCs/>
          <w:sz w:val="26"/>
          <w:szCs w:val="26"/>
        </w:rPr>
      </w:pPr>
      <w:r>
        <w:rPr>
          <w:sz w:val="22"/>
          <w:szCs w:val="22"/>
        </w:rPr>
        <w:t>A</w:t>
      </w:r>
      <w:r w:rsidR="00C35D07" w:rsidRPr="00F02921">
        <w:rPr>
          <w:sz w:val="22"/>
          <w:szCs w:val="22"/>
        </w:rPr>
        <w:t>ll cash and cash equivalents are payable on demand.</w:t>
      </w:r>
    </w:p>
    <w:p w14:paraId="7B2617C8" w14:textId="77777777" w:rsidR="00FD6AB9" w:rsidRDefault="00FD6AB9" w:rsidP="00FD6AB9">
      <w:pPr>
        <w:ind w:left="720"/>
        <w:jc w:val="both"/>
        <w:rPr>
          <w:sz w:val="22"/>
          <w:szCs w:val="22"/>
        </w:rPr>
      </w:pPr>
    </w:p>
    <w:p w14:paraId="6FD2AB63" w14:textId="57FA9CB9" w:rsidR="00FD6AB9" w:rsidRPr="00F02921" w:rsidRDefault="00FD6AB9" w:rsidP="00FD6AB9">
      <w:pPr>
        <w:ind w:left="720"/>
        <w:jc w:val="both"/>
        <w:rPr>
          <w:sz w:val="22"/>
          <w:szCs w:val="22"/>
          <w:rtl/>
          <w:lang w:bidi="he-IL"/>
        </w:rPr>
      </w:pPr>
      <w:r w:rsidRPr="00C66B29">
        <w:rPr>
          <w:sz w:val="22"/>
          <w:szCs w:val="22"/>
        </w:rPr>
        <w:t>Information abo</w:t>
      </w:r>
      <w:r w:rsidRPr="00ED45EE">
        <w:rPr>
          <w:sz w:val="22"/>
          <w:szCs w:val="22"/>
        </w:rPr>
        <w:t xml:space="preserve">ut the company's exposure to currency risk for cash and cash equivalents is included in Note </w:t>
      </w:r>
      <w:r w:rsidRPr="00DA7DED">
        <w:rPr>
          <w:sz w:val="22"/>
          <w:szCs w:val="22"/>
        </w:rPr>
        <w:t>21</w:t>
      </w:r>
      <w:r w:rsidRPr="00ED45EE">
        <w:rPr>
          <w:sz w:val="22"/>
          <w:szCs w:val="22"/>
        </w:rPr>
        <w:t>.</w:t>
      </w:r>
    </w:p>
    <w:p w14:paraId="3F87D7D5" w14:textId="77777777" w:rsidR="00D936C7" w:rsidRPr="0020502A" w:rsidRDefault="00D936C7" w:rsidP="0020502A">
      <w:pPr>
        <w:rPr>
          <w:rFonts w:asciiTheme="majorBidi" w:hAnsiTheme="majorBidi" w:cstheme="majorBidi"/>
          <w:bCs/>
          <w:color w:val="000000"/>
          <w:sz w:val="20"/>
        </w:rPr>
      </w:pPr>
    </w:p>
    <w:p w14:paraId="35F1CA99" w14:textId="13C9FFCC" w:rsidR="00C35D07" w:rsidRPr="0033136A" w:rsidRDefault="00C35D07" w:rsidP="000B59AD">
      <w:pPr>
        <w:jc w:val="both"/>
        <w:outlineLvl w:val="2"/>
        <w:rPr>
          <w:b/>
          <w:bCs/>
          <w:sz w:val="22"/>
          <w:szCs w:val="22"/>
        </w:rPr>
      </w:pPr>
      <w:bookmarkStart w:id="157" w:name="H3_Note_11__Capital_and_Reserves_"/>
      <w:r w:rsidRPr="0033136A">
        <w:rPr>
          <w:b/>
          <w:bCs/>
          <w:sz w:val="22"/>
          <w:szCs w:val="22"/>
        </w:rPr>
        <w:t>Note 1</w:t>
      </w:r>
      <w:r w:rsidR="00BF2911" w:rsidRPr="0033136A">
        <w:rPr>
          <w:b/>
          <w:bCs/>
          <w:sz w:val="22"/>
          <w:szCs w:val="22"/>
        </w:rPr>
        <w:t>1</w:t>
      </w:r>
      <w:r w:rsidRPr="0033136A">
        <w:rPr>
          <w:b/>
          <w:bCs/>
          <w:sz w:val="22"/>
          <w:szCs w:val="22"/>
        </w:rPr>
        <w:t xml:space="preserve"> </w:t>
      </w:r>
      <w:r w:rsidR="00B23E8B" w:rsidRPr="0033136A">
        <w:rPr>
          <w:b/>
          <w:bCs/>
          <w:sz w:val="22"/>
          <w:szCs w:val="22"/>
        </w:rPr>
        <w:t xml:space="preserve">- </w:t>
      </w:r>
      <w:r w:rsidRPr="0033136A">
        <w:rPr>
          <w:b/>
          <w:bCs/>
          <w:sz w:val="22"/>
          <w:szCs w:val="22"/>
        </w:rPr>
        <w:t xml:space="preserve">Capital and Reserves </w:t>
      </w:r>
    </w:p>
    <w:bookmarkEnd w:id="157"/>
    <w:p w14:paraId="17F6192A" w14:textId="77777777" w:rsidR="00181F2F" w:rsidRPr="0033136A" w:rsidRDefault="00181F2F" w:rsidP="004A3C21">
      <w:pPr>
        <w:ind w:left="720"/>
        <w:rPr>
          <w:sz w:val="22"/>
          <w:szCs w:val="22"/>
        </w:rPr>
      </w:pPr>
    </w:p>
    <w:p w14:paraId="573021F8" w14:textId="77777777" w:rsidR="000A7F0B" w:rsidRPr="0033136A" w:rsidRDefault="000A7F0B" w:rsidP="000B59AD">
      <w:pPr>
        <w:ind w:left="567" w:hanging="567"/>
        <w:jc w:val="both"/>
        <w:outlineLvl w:val="3"/>
        <w:rPr>
          <w:b/>
          <w:bCs/>
          <w:sz w:val="22"/>
          <w:szCs w:val="22"/>
        </w:rPr>
      </w:pPr>
      <w:bookmarkStart w:id="158" w:name="H4_AComposition_of_share_capital"/>
      <w:r w:rsidRPr="0033136A">
        <w:rPr>
          <w:b/>
          <w:bCs/>
          <w:sz w:val="22"/>
          <w:szCs w:val="22"/>
        </w:rPr>
        <w:t>A.</w:t>
      </w:r>
      <w:r w:rsidRPr="0033136A">
        <w:rPr>
          <w:b/>
          <w:bCs/>
          <w:sz w:val="22"/>
          <w:szCs w:val="22"/>
        </w:rPr>
        <w:tab/>
        <w:t>Composition of share capital:</w:t>
      </w:r>
    </w:p>
    <w:bookmarkEnd w:id="158"/>
    <w:p w14:paraId="6C940C65" w14:textId="77777777" w:rsidR="00C35D07" w:rsidRPr="00F02921" w:rsidRDefault="00C35D07" w:rsidP="004A3C21">
      <w:pPr>
        <w:ind w:left="720"/>
        <w:rPr>
          <w:sz w:val="22"/>
          <w:szCs w:val="22"/>
        </w:rPr>
      </w:pPr>
    </w:p>
    <w:tbl>
      <w:tblPr>
        <w:tblW w:w="8933" w:type="dxa"/>
        <w:tblInd w:w="720" w:type="dxa"/>
        <w:tblLook w:val="06A0" w:firstRow="1" w:lastRow="0" w:firstColumn="1" w:lastColumn="0" w:noHBand="1" w:noVBand="1"/>
        <w:tblCaption w:val="AHR02"/>
        <w:tblDescription w:val="Composition of share capital"/>
      </w:tblPr>
      <w:tblGrid>
        <w:gridCol w:w="3345"/>
        <w:gridCol w:w="1397"/>
        <w:gridCol w:w="1397"/>
        <w:gridCol w:w="1397"/>
        <w:gridCol w:w="1397"/>
      </w:tblGrid>
      <w:tr w:rsidR="005101BC" w14:paraId="33505C2B" w14:textId="77777777" w:rsidTr="005101BC">
        <w:trPr>
          <w:cantSplit/>
          <w:trHeight w:val="240"/>
          <w:tblHeader/>
        </w:trPr>
        <w:tc>
          <w:tcPr>
            <w:tcW w:w="3345" w:type="dxa"/>
            <w:vMerge w:val="restart"/>
            <w:shd w:val="clear" w:color="auto" w:fill="auto"/>
            <w:noWrap/>
            <w:vAlign w:val="bottom"/>
            <w:hideMark/>
          </w:tcPr>
          <w:p w14:paraId="06AC6EB7" w14:textId="77777777" w:rsidR="005101BC" w:rsidRPr="00866299" w:rsidRDefault="005101BC">
            <w:pPr>
              <w:spacing w:before="40"/>
              <w:rPr>
                <w:rFonts w:ascii="Arial" w:eastAsia="Arial" w:hAnsi="Arial" w:cs="Arial"/>
                <w:sz w:val="20"/>
              </w:rPr>
            </w:pPr>
            <w:bookmarkStart w:id="159" w:name="Title_34" w:colFirst="0" w:colLast="0"/>
          </w:p>
        </w:tc>
        <w:tc>
          <w:tcPr>
            <w:tcW w:w="2794" w:type="dxa"/>
            <w:gridSpan w:val="2"/>
            <w:shd w:val="clear" w:color="auto" w:fill="auto"/>
            <w:vAlign w:val="bottom"/>
            <w:hideMark/>
          </w:tcPr>
          <w:p w14:paraId="202004E0" w14:textId="22A3EB03" w:rsidR="005101BC" w:rsidRPr="00866299" w:rsidRDefault="005101BC" w:rsidP="00AD1E41">
            <w:pPr>
              <w:pBdr>
                <w:bottom w:val="single" w:sz="4" w:space="0" w:color="000000"/>
              </w:pBdr>
              <w:bidi/>
              <w:spacing w:before="40"/>
              <w:ind w:left="57"/>
              <w:jc w:val="center"/>
              <w:rPr>
                <w:b/>
                <w:bCs/>
                <w:sz w:val="20"/>
              </w:rPr>
            </w:pPr>
            <w:r w:rsidRPr="00866299">
              <w:rPr>
                <w:b/>
                <w:bCs/>
                <w:color w:val="000000"/>
                <w:sz w:val="20"/>
              </w:rPr>
              <w:t xml:space="preserve">December 31, </w:t>
            </w:r>
            <w:r>
              <w:rPr>
                <w:b/>
                <w:bCs/>
                <w:color w:val="000000"/>
                <w:sz w:val="20"/>
              </w:rPr>
              <w:t>2024</w:t>
            </w:r>
          </w:p>
        </w:tc>
        <w:tc>
          <w:tcPr>
            <w:tcW w:w="2794" w:type="dxa"/>
            <w:gridSpan w:val="2"/>
            <w:shd w:val="clear" w:color="auto" w:fill="auto"/>
            <w:vAlign w:val="bottom"/>
            <w:hideMark/>
          </w:tcPr>
          <w:p w14:paraId="0767C72A" w14:textId="59754331" w:rsidR="005101BC" w:rsidRPr="00866299" w:rsidRDefault="005101BC" w:rsidP="00AD1E41">
            <w:pPr>
              <w:pBdr>
                <w:bottom w:val="single" w:sz="4" w:space="0" w:color="000000"/>
              </w:pBdr>
              <w:bidi/>
              <w:spacing w:before="40"/>
              <w:ind w:left="57"/>
              <w:jc w:val="center"/>
              <w:rPr>
                <w:b/>
                <w:bCs/>
                <w:sz w:val="20"/>
              </w:rPr>
            </w:pPr>
            <w:r w:rsidRPr="00866299">
              <w:rPr>
                <w:b/>
                <w:bCs/>
                <w:color w:val="000000"/>
                <w:sz w:val="20"/>
              </w:rPr>
              <w:t xml:space="preserve">December 31, </w:t>
            </w:r>
            <w:r>
              <w:rPr>
                <w:b/>
                <w:bCs/>
                <w:color w:val="000000"/>
                <w:sz w:val="20"/>
              </w:rPr>
              <w:t>2023</w:t>
            </w:r>
          </w:p>
        </w:tc>
      </w:tr>
      <w:bookmarkEnd w:id="159"/>
      <w:tr w:rsidR="005101BC" w14:paraId="4F2FA19A" w14:textId="77777777" w:rsidTr="005101BC">
        <w:trPr>
          <w:cantSplit/>
          <w:trHeight w:val="550"/>
          <w:tblHeader/>
        </w:trPr>
        <w:tc>
          <w:tcPr>
            <w:tcW w:w="3345" w:type="dxa"/>
            <w:vMerge/>
            <w:shd w:val="clear" w:color="auto" w:fill="auto"/>
            <w:noWrap/>
            <w:vAlign w:val="bottom"/>
            <w:hideMark/>
          </w:tcPr>
          <w:p w14:paraId="2CECA328" w14:textId="77777777" w:rsidR="005101BC" w:rsidRPr="00866299" w:rsidRDefault="005101BC">
            <w:pPr>
              <w:spacing w:before="40"/>
              <w:rPr>
                <w:rFonts w:ascii="Arial" w:eastAsia="Arial" w:hAnsi="Arial" w:cs="Arial"/>
                <w:sz w:val="20"/>
              </w:rPr>
            </w:pPr>
          </w:p>
        </w:tc>
        <w:tc>
          <w:tcPr>
            <w:tcW w:w="1397" w:type="dxa"/>
            <w:shd w:val="clear" w:color="auto" w:fill="auto"/>
            <w:noWrap/>
            <w:vAlign w:val="bottom"/>
            <w:hideMark/>
          </w:tcPr>
          <w:p w14:paraId="0D3BFE97" w14:textId="11C32BC5" w:rsidR="005101BC" w:rsidRPr="00866299" w:rsidRDefault="005101BC" w:rsidP="0019652F">
            <w:pPr>
              <w:pBdr>
                <w:bottom w:val="single" w:sz="4" w:space="0" w:color="000000"/>
              </w:pBdr>
              <w:spacing w:before="40"/>
              <w:jc w:val="right"/>
              <w:rPr>
                <w:b/>
                <w:bCs/>
                <w:sz w:val="20"/>
              </w:rPr>
            </w:pPr>
            <w:r w:rsidRPr="00866299">
              <w:rPr>
                <w:b/>
                <w:bCs/>
                <w:color w:val="000000"/>
                <w:sz w:val="20"/>
              </w:rPr>
              <w:t>Authorized</w:t>
            </w:r>
          </w:p>
        </w:tc>
        <w:tc>
          <w:tcPr>
            <w:tcW w:w="1397" w:type="dxa"/>
            <w:shd w:val="clear" w:color="auto" w:fill="auto"/>
            <w:noWrap/>
            <w:vAlign w:val="bottom"/>
            <w:hideMark/>
          </w:tcPr>
          <w:p w14:paraId="087C14F3" w14:textId="77777777" w:rsidR="005101BC" w:rsidRPr="00866299" w:rsidRDefault="005101BC">
            <w:pPr>
              <w:spacing w:before="40"/>
              <w:jc w:val="right"/>
              <w:rPr>
                <w:b/>
                <w:bCs/>
                <w:sz w:val="20"/>
              </w:rPr>
            </w:pPr>
            <w:r w:rsidRPr="00866299">
              <w:rPr>
                <w:b/>
                <w:bCs/>
                <w:color w:val="000000"/>
                <w:sz w:val="20"/>
              </w:rPr>
              <w:t>Issued and</w:t>
            </w:r>
          </w:p>
          <w:p w14:paraId="51A29E27" w14:textId="1B3C6042" w:rsidR="005101BC" w:rsidRPr="00866299" w:rsidRDefault="005101BC" w:rsidP="0019652F">
            <w:pPr>
              <w:pBdr>
                <w:bottom w:val="single" w:sz="4" w:space="0" w:color="000000"/>
              </w:pBdr>
              <w:spacing w:before="40"/>
              <w:jc w:val="right"/>
              <w:rPr>
                <w:b/>
                <w:bCs/>
                <w:sz w:val="20"/>
              </w:rPr>
            </w:pPr>
            <w:r w:rsidRPr="00866299">
              <w:rPr>
                <w:b/>
                <w:bCs/>
                <w:color w:val="000000"/>
                <w:sz w:val="20"/>
              </w:rPr>
              <w:t>outstanding</w:t>
            </w:r>
          </w:p>
        </w:tc>
        <w:tc>
          <w:tcPr>
            <w:tcW w:w="1397" w:type="dxa"/>
            <w:shd w:val="clear" w:color="auto" w:fill="auto"/>
            <w:noWrap/>
            <w:vAlign w:val="bottom"/>
            <w:hideMark/>
          </w:tcPr>
          <w:p w14:paraId="669A19F4" w14:textId="467E9599" w:rsidR="005101BC" w:rsidRPr="00866299" w:rsidRDefault="005101BC" w:rsidP="0019652F">
            <w:pPr>
              <w:pBdr>
                <w:bottom w:val="single" w:sz="4" w:space="0" w:color="000000"/>
              </w:pBdr>
              <w:spacing w:before="40"/>
              <w:jc w:val="right"/>
              <w:rPr>
                <w:b/>
                <w:bCs/>
                <w:sz w:val="20"/>
              </w:rPr>
            </w:pPr>
            <w:r w:rsidRPr="00866299">
              <w:rPr>
                <w:b/>
                <w:bCs/>
                <w:color w:val="000000"/>
                <w:sz w:val="20"/>
              </w:rPr>
              <w:t>Authorized</w:t>
            </w:r>
          </w:p>
        </w:tc>
        <w:tc>
          <w:tcPr>
            <w:tcW w:w="1397" w:type="dxa"/>
            <w:shd w:val="clear" w:color="auto" w:fill="auto"/>
            <w:noWrap/>
            <w:vAlign w:val="bottom"/>
            <w:hideMark/>
          </w:tcPr>
          <w:p w14:paraId="31AD4E69" w14:textId="77777777" w:rsidR="005101BC" w:rsidRPr="00866299" w:rsidRDefault="005101BC">
            <w:pPr>
              <w:spacing w:before="40"/>
              <w:jc w:val="right"/>
              <w:rPr>
                <w:b/>
                <w:bCs/>
                <w:sz w:val="20"/>
              </w:rPr>
            </w:pPr>
            <w:r w:rsidRPr="00866299">
              <w:rPr>
                <w:b/>
                <w:bCs/>
                <w:color w:val="000000"/>
                <w:sz w:val="20"/>
              </w:rPr>
              <w:t>Issued and</w:t>
            </w:r>
          </w:p>
          <w:p w14:paraId="40E29309" w14:textId="60A5CE63" w:rsidR="005101BC" w:rsidRPr="00866299" w:rsidRDefault="005101BC" w:rsidP="0019652F">
            <w:pPr>
              <w:pBdr>
                <w:bottom w:val="single" w:sz="4" w:space="0" w:color="000000"/>
              </w:pBdr>
              <w:spacing w:before="40"/>
              <w:jc w:val="right"/>
              <w:rPr>
                <w:b/>
                <w:bCs/>
                <w:sz w:val="20"/>
              </w:rPr>
            </w:pPr>
            <w:r w:rsidRPr="00866299">
              <w:rPr>
                <w:b/>
                <w:bCs/>
                <w:color w:val="000000"/>
                <w:sz w:val="20"/>
              </w:rPr>
              <w:t>outstanding</w:t>
            </w:r>
          </w:p>
        </w:tc>
      </w:tr>
      <w:tr w:rsidR="00F6489C" w14:paraId="4DB9494D" w14:textId="77777777" w:rsidTr="005101BC">
        <w:trPr>
          <w:trHeight w:val="340"/>
        </w:trPr>
        <w:tc>
          <w:tcPr>
            <w:tcW w:w="3345" w:type="dxa"/>
            <w:shd w:val="clear" w:color="auto" w:fill="auto"/>
            <w:noWrap/>
            <w:vAlign w:val="bottom"/>
            <w:hideMark/>
          </w:tcPr>
          <w:p w14:paraId="6C29B940" w14:textId="77777777" w:rsidR="00F6489C" w:rsidRPr="004958DD" w:rsidRDefault="00F6489C" w:rsidP="00F6489C">
            <w:pPr>
              <w:spacing w:before="40"/>
              <w:rPr>
                <w:sz w:val="22"/>
              </w:rPr>
            </w:pPr>
            <w:r w:rsidRPr="004958DD">
              <w:rPr>
                <w:color w:val="000000"/>
                <w:sz w:val="22"/>
                <w:szCs w:val="22"/>
              </w:rPr>
              <w:t xml:space="preserve">Ordinary share of Euro 0.01 </w:t>
            </w:r>
            <w:proofErr w:type="gramStart"/>
            <w:r w:rsidRPr="004958DD">
              <w:rPr>
                <w:color w:val="000000"/>
                <w:sz w:val="22"/>
                <w:szCs w:val="22"/>
              </w:rPr>
              <w:t>par</w:t>
            </w:r>
            <w:proofErr w:type="gramEnd"/>
            <w:r w:rsidRPr="004958DD">
              <w:rPr>
                <w:color w:val="000000"/>
                <w:sz w:val="22"/>
                <w:szCs w:val="22"/>
              </w:rPr>
              <w:t xml:space="preserve"> value each</w:t>
            </w:r>
          </w:p>
        </w:tc>
        <w:tc>
          <w:tcPr>
            <w:tcW w:w="1397" w:type="dxa"/>
            <w:shd w:val="clear" w:color="auto" w:fill="auto"/>
            <w:noWrap/>
            <w:vAlign w:val="bottom"/>
          </w:tcPr>
          <w:p w14:paraId="17B4C09E" w14:textId="27F8B164" w:rsidR="00F6489C" w:rsidRPr="00237FC5" w:rsidRDefault="00F6489C" w:rsidP="00F6489C">
            <w:pPr>
              <w:pBdr>
                <w:bottom w:val="double" w:sz="4" w:space="0" w:color="000000"/>
              </w:pBdr>
              <w:spacing w:before="40"/>
              <w:jc w:val="right"/>
              <w:rPr>
                <w:sz w:val="22"/>
              </w:rPr>
            </w:pPr>
            <w:r w:rsidRPr="00237FC5">
              <w:rPr>
                <w:color w:val="000000"/>
                <w:sz w:val="22"/>
                <w:szCs w:val="22"/>
              </w:rPr>
              <w:t xml:space="preserve"> 122,100,000</w:t>
            </w:r>
          </w:p>
        </w:tc>
        <w:tc>
          <w:tcPr>
            <w:tcW w:w="1397" w:type="dxa"/>
            <w:shd w:val="clear" w:color="auto" w:fill="auto"/>
            <w:noWrap/>
            <w:vAlign w:val="bottom"/>
          </w:tcPr>
          <w:p w14:paraId="0C4E2453" w14:textId="0ABA0F64" w:rsidR="00F6489C" w:rsidRPr="00237FC5" w:rsidRDefault="00F6489C" w:rsidP="00F6489C">
            <w:pPr>
              <w:pBdr>
                <w:bottom w:val="double" w:sz="4" w:space="0" w:color="000000"/>
              </w:pBdr>
              <w:spacing w:before="40"/>
              <w:jc w:val="right"/>
              <w:rPr>
                <w:sz w:val="22"/>
              </w:rPr>
            </w:pPr>
            <w:r w:rsidRPr="00237FC5">
              <w:rPr>
                <w:color w:val="000000"/>
                <w:sz w:val="22"/>
                <w:szCs w:val="22"/>
              </w:rPr>
              <w:t xml:space="preserve"> 93,000,000</w:t>
            </w:r>
          </w:p>
        </w:tc>
        <w:tc>
          <w:tcPr>
            <w:tcW w:w="1397" w:type="dxa"/>
            <w:shd w:val="clear" w:color="auto" w:fill="auto"/>
            <w:noWrap/>
            <w:vAlign w:val="bottom"/>
            <w:hideMark/>
          </w:tcPr>
          <w:p w14:paraId="2CD43D19" w14:textId="1AABF2F6" w:rsidR="00F6489C" w:rsidRPr="0012167B" w:rsidRDefault="00F6489C" w:rsidP="00F6489C">
            <w:pPr>
              <w:pBdr>
                <w:bottom w:val="double" w:sz="4" w:space="0" w:color="000000"/>
              </w:pBdr>
              <w:spacing w:before="40"/>
              <w:jc w:val="right"/>
              <w:rPr>
                <w:sz w:val="22"/>
              </w:rPr>
            </w:pPr>
            <w:r w:rsidRPr="00237FC5">
              <w:rPr>
                <w:color w:val="000000"/>
                <w:sz w:val="22"/>
                <w:szCs w:val="22"/>
              </w:rPr>
              <w:t xml:space="preserve"> 122,100,000</w:t>
            </w:r>
          </w:p>
        </w:tc>
        <w:tc>
          <w:tcPr>
            <w:tcW w:w="1397" w:type="dxa"/>
            <w:shd w:val="clear" w:color="auto" w:fill="auto"/>
            <w:noWrap/>
            <w:vAlign w:val="bottom"/>
            <w:hideMark/>
          </w:tcPr>
          <w:p w14:paraId="6538C3B8" w14:textId="48CEFB6A" w:rsidR="00F6489C" w:rsidRDefault="00F6489C" w:rsidP="00F6489C">
            <w:pPr>
              <w:pBdr>
                <w:bottom w:val="double" w:sz="4" w:space="0" w:color="000000"/>
              </w:pBdr>
              <w:spacing w:before="40"/>
              <w:jc w:val="right"/>
              <w:rPr>
                <w:sz w:val="22"/>
              </w:rPr>
            </w:pPr>
            <w:r w:rsidRPr="00237FC5">
              <w:rPr>
                <w:color w:val="000000"/>
                <w:sz w:val="22"/>
                <w:szCs w:val="22"/>
              </w:rPr>
              <w:t xml:space="preserve"> 93,000,000</w:t>
            </w:r>
          </w:p>
        </w:tc>
      </w:tr>
    </w:tbl>
    <w:p w14:paraId="583DF88C" w14:textId="77777777" w:rsidR="00C35D07" w:rsidRPr="00F02921" w:rsidRDefault="00C35D07" w:rsidP="004A3C21">
      <w:pPr>
        <w:ind w:left="1440" w:hanging="720"/>
        <w:jc w:val="both"/>
        <w:rPr>
          <w:sz w:val="22"/>
          <w:szCs w:val="22"/>
        </w:rPr>
      </w:pPr>
    </w:p>
    <w:p w14:paraId="5C74EA13" w14:textId="440D5C8E" w:rsidR="00C35D07" w:rsidRPr="000A7F0B" w:rsidRDefault="00C35D07" w:rsidP="00C5462B">
      <w:pPr>
        <w:numPr>
          <w:ilvl w:val="0"/>
          <w:numId w:val="10"/>
        </w:numPr>
        <w:jc w:val="both"/>
        <w:rPr>
          <w:sz w:val="22"/>
          <w:szCs w:val="18"/>
        </w:rPr>
      </w:pPr>
      <w:r w:rsidRPr="000A7F0B">
        <w:rPr>
          <w:sz w:val="22"/>
          <w:szCs w:val="18"/>
        </w:rPr>
        <w:t xml:space="preserve">As </w:t>
      </w:r>
      <w:proofErr w:type="gramStart"/>
      <w:r w:rsidRPr="000A7F0B">
        <w:rPr>
          <w:sz w:val="22"/>
          <w:szCs w:val="18"/>
        </w:rPr>
        <w:t>at</w:t>
      </w:r>
      <w:proofErr w:type="gramEnd"/>
      <w:r w:rsidRPr="000A7F0B">
        <w:rPr>
          <w:sz w:val="22"/>
          <w:szCs w:val="18"/>
        </w:rPr>
        <w:t xml:space="preserve"> December 31, </w:t>
      </w:r>
      <w:r w:rsidR="001A2FE7" w:rsidRPr="0020502A">
        <w:rPr>
          <w:sz w:val="22"/>
          <w:szCs w:val="18"/>
        </w:rPr>
        <w:t>202</w:t>
      </w:r>
      <w:r w:rsidR="00804DFB">
        <w:rPr>
          <w:sz w:val="22"/>
          <w:szCs w:val="18"/>
        </w:rPr>
        <w:t>4</w:t>
      </w:r>
      <w:r w:rsidRPr="000A7F0B">
        <w:rPr>
          <w:sz w:val="22"/>
          <w:szCs w:val="18"/>
        </w:rPr>
        <w:t xml:space="preserve">, the authorized, issued and paid-up share capital of the Company comprises 122,100,000, 93,000,000 and 93,000,000 ordinary shares of </w:t>
      </w:r>
      <w:r w:rsidR="00DB01AE" w:rsidRPr="000A7F0B">
        <w:rPr>
          <w:sz w:val="22"/>
          <w:szCs w:val="18"/>
        </w:rPr>
        <w:t>EUR</w:t>
      </w:r>
      <w:r w:rsidRPr="000A7F0B">
        <w:rPr>
          <w:sz w:val="22"/>
          <w:szCs w:val="18"/>
        </w:rPr>
        <w:t xml:space="preserve"> </w:t>
      </w:r>
      <w:r w:rsidR="00AF1F66" w:rsidRPr="000A7F0B">
        <w:rPr>
          <w:sz w:val="22"/>
          <w:szCs w:val="18"/>
        </w:rPr>
        <w:t>0.01, respectively</w:t>
      </w:r>
      <w:r w:rsidRPr="000A7F0B">
        <w:rPr>
          <w:sz w:val="22"/>
          <w:szCs w:val="18"/>
        </w:rPr>
        <w:t>.</w:t>
      </w:r>
    </w:p>
    <w:p w14:paraId="0C44C53B" w14:textId="77777777" w:rsidR="00C35D07" w:rsidRPr="00F02921" w:rsidRDefault="00C35D07" w:rsidP="006C6F33">
      <w:pPr>
        <w:pStyle w:val="af2"/>
        <w:ind w:left="1080"/>
        <w:jc w:val="both"/>
        <w:rPr>
          <w:sz w:val="22"/>
          <w:szCs w:val="22"/>
        </w:rPr>
      </w:pPr>
    </w:p>
    <w:p w14:paraId="454F123E" w14:textId="77777777" w:rsidR="00C35D07" w:rsidRPr="00F02921" w:rsidRDefault="000A7F0B" w:rsidP="000B59AD">
      <w:pPr>
        <w:ind w:left="567" w:hanging="567"/>
        <w:jc w:val="both"/>
        <w:outlineLvl w:val="3"/>
        <w:rPr>
          <w:sz w:val="22"/>
          <w:szCs w:val="22"/>
        </w:rPr>
      </w:pPr>
      <w:bookmarkStart w:id="160" w:name="H4_BTranslation_reserve_from_foreign_ope"/>
      <w:bookmarkStart w:id="161" w:name="OLE_LINK11"/>
      <w:bookmarkStart w:id="162" w:name="OLE_LINK12"/>
      <w:r>
        <w:rPr>
          <w:b/>
          <w:bCs/>
          <w:sz w:val="22"/>
          <w:szCs w:val="22"/>
        </w:rPr>
        <w:t>B</w:t>
      </w:r>
      <w:r w:rsidRPr="00C435F7">
        <w:rPr>
          <w:b/>
          <w:bCs/>
          <w:sz w:val="22"/>
          <w:szCs w:val="22"/>
        </w:rPr>
        <w:t>.</w:t>
      </w:r>
      <w:r w:rsidRPr="00C435F7">
        <w:rPr>
          <w:b/>
          <w:bCs/>
          <w:sz w:val="22"/>
          <w:szCs w:val="22"/>
        </w:rPr>
        <w:tab/>
      </w:r>
      <w:r w:rsidR="00C35D07" w:rsidRPr="00F02921">
        <w:rPr>
          <w:b/>
          <w:bCs/>
          <w:sz w:val="22"/>
          <w:szCs w:val="22"/>
        </w:rPr>
        <w:t xml:space="preserve">Translation reserve </w:t>
      </w:r>
      <w:r w:rsidR="0040794F">
        <w:rPr>
          <w:b/>
          <w:bCs/>
          <w:sz w:val="22"/>
          <w:szCs w:val="22"/>
        </w:rPr>
        <w:t>from foreign operations</w:t>
      </w:r>
    </w:p>
    <w:bookmarkEnd w:id="160"/>
    <w:p w14:paraId="057BBC01" w14:textId="77777777" w:rsidR="00C35D07" w:rsidRPr="00F02921" w:rsidRDefault="00C35D07" w:rsidP="004A3C21">
      <w:pPr>
        <w:ind w:left="720"/>
        <w:jc w:val="both"/>
        <w:rPr>
          <w:sz w:val="22"/>
          <w:szCs w:val="22"/>
        </w:rPr>
      </w:pPr>
      <w:r w:rsidRPr="00F02921">
        <w:rPr>
          <w:sz w:val="22"/>
          <w:szCs w:val="22"/>
        </w:rPr>
        <w:t>The translation reserve comprises all foreign exchange differences arising from the translation of the financial statements of foreign operations that are not integral to the operations of the Company.</w:t>
      </w:r>
    </w:p>
    <w:bookmarkEnd w:id="161"/>
    <w:bookmarkEnd w:id="162"/>
    <w:p w14:paraId="76E81FEB" w14:textId="77777777" w:rsidR="00C35D07" w:rsidRPr="00F02921" w:rsidRDefault="00C35D07" w:rsidP="004A3C21">
      <w:pPr>
        <w:ind w:left="720"/>
        <w:jc w:val="both"/>
        <w:rPr>
          <w:sz w:val="22"/>
          <w:szCs w:val="22"/>
        </w:rPr>
      </w:pPr>
    </w:p>
    <w:p w14:paraId="421D64FF" w14:textId="77777777" w:rsidR="00C35D07" w:rsidRPr="00F02921" w:rsidRDefault="000A7F0B" w:rsidP="000B59AD">
      <w:pPr>
        <w:ind w:left="567" w:hanging="567"/>
        <w:jc w:val="both"/>
        <w:outlineLvl w:val="3"/>
        <w:rPr>
          <w:b/>
          <w:bCs/>
          <w:sz w:val="22"/>
          <w:szCs w:val="22"/>
        </w:rPr>
      </w:pPr>
      <w:bookmarkStart w:id="163" w:name="H4_CHedging_reserve"/>
      <w:r>
        <w:rPr>
          <w:b/>
          <w:bCs/>
          <w:sz w:val="22"/>
          <w:szCs w:val="22"/>
        </w:rPr>
        <w:t>C</w:t>
      </w:r>
      <w:r w:rsidRPr="00C435F7">
        <w:rPr>
          <w:b/>
          <w:bCs/>
          <w:sz w:val="22"/>
          <w:szCs w:val="22"/>
        </w:rPr>
        <w:t>.</w:t>
      </w:r>
      <w:r w:rsidRPr="00C435F7">
        <w:rPr>
          <w:b/>
          <w:bCs/>
          <w:sz w:val="22"/>
          <w:szCs w:val="22"/>
        </w:rPr>
        <w:tab/>
      </w:r>
      <w:r w:rsidR="00C35D07" w:rsidRPr="00F02921">
        <w:rPr>
          <w:b/>
          <w:bCs/>
          <w:sz w:val="22"/>
          <w:szCs w:val="22"/>
        </w:rPr>
        <w:t>Hedging reserve</w:t>
      </w:r>
    </w:p>
    <w:bookmarkEnd w:id="163"/>
    <w:p w14:paraId="7CB85064" w14:textId="5681C7AB" w:rsidR="00C35D07" w:rsidRDefault="00C35D07" w:rsidP="004A3C21">
      <w:pPr>
        <w:ind w:left="720"/>
        <w:jc w:val="both"/>
        <w:rPr>
          <w:sz w:val="22"/>
          <w:szCs w:val="22"/>
        </w:rPr>
      </w:pPr>
      <w:r w:rsidRPr="00F02921">
        <w:rPr>
          <w:sz w:val="22"/>
          <w:szCs w:val="22"/>
        </w:rPr>
        <w:t>The hedging reserve comprises the effective portion of the cumulative net change in the fair value of cash flow hedging instruments related to hedged transactions that have not yet occurred.</w:t>
      </w:r>
    </w:p>
    <w:p w14:paraId="3C58581D" w14:textId="77777777" w:rsidR="00C35D07" w:rsidRDefault="00C35D07" w:rsidP="004A3C21">
      <w:pPr>
        <w:jc w:val="both"/>
        <w:rPr>
          <w:sz w:val="22"/>
          <w:szCs w:val="22"/>
        </w:rPr>
      </w:pPr>
    </w:p>
    <w:p w14:paraId="402CCCC6" w14:textId="77777777" w:rsidR="00C52BA0" w:rsidRDefault="00C52BA0" w:rsidP="004A3C21">
      <w:pPr>
        <w:jc w:val="both"/>
        <w:rPr>
          <w:sz w:val="22"/>
          <w:szCs w:val="22"/>
        </w:rPr>
      </w:pPr>
    </w:p>
    <w:p w14:paraId="73C0ED1F" w14:textId="77777777" w:rsidR="00C52BA0" w:rsidRDefault="00C52BA0" w:rsidP="004A3C21">
      <w:pPr>
        <w:jc w:val="both"/>
        <w:rPr>
          <w:sz w:val="22"/>
          <w:szCs w:val="22"/>
        </w:rPr>
      </w:pPr>
    </w:p>
    <w:p w14:paraId="68F64B61" w14:textId="77777777" w:rsidR="00C52BA0" w:rsidRPr="00F02921" w:rsidRDefault="00C52BA0" w:rsidP="004A3C21">
      <w:pPr>
        <w:jc w:val="both"/>
        <w:rPr>
          <w:sz w:val="22"/>
          <w:szCs w:val="22"/>
        </w:rPr>
        <w:sectPr w:rsidR="00C52BA0" w:rsidRPr="00F02921" w:rsidSect="00593E8F">
          <w:endnotePr>
            <w:numFmt w:val="lowerLetter"/>
          </w:endnotePr>
          <w:type w:val="nextColumn"/>
          <w:pgSz w:w="11906" w:h="16838"/>
          <w:pgMar w:top="1134" w:right="1134" w:bottom="1134" w:left="1134" w:header="567" w:footer="567" w:gutter="0"/>
          <w:paperSrc w:first="15" w:other="15"/>
          <w:cols w:space="720"/>
          <w:bidi/>
          <w:docGrid w:linePitch="326"/>
        </w:sectPr>
      </w:pPr>
    </w:p>
    <w:p w14:paraId="5BA9DDB2" w14:textId="77777777" w:rsidR="0033136A" w:rsidRDefault="0033136A" w:rsidP="0020502A">
      <w:pPr>
        <w:rPr>
          <w:b/>
          <w:bCs/>
          <w:sz w:val="22"/>
          <w:szCs w:val="22"/>
        </w:rPr>
      </w:pPr>
      <w:bookmarkStart w:id="164" w:name="H3_Note_12__Loans_and_Borrowings_"/>
    </w:p>
    <w:p w14:paraId="4BB6C931" w14:textId="769F631A" w:rsidR="00C35D07" w:rsidRPr="0033136A" w:rsidRDefault="00C35D07" w:rsidP="00C01E5D">
      <w:pPr>
        <w:jc w:val="both"/>
        <w:outlineLvl w:val="2"/>
        <w:rPr>
          <w:b/>
          <w:bCs/>
          <w:sz w:val="22"/>
          <w:szCs w:val="22"/>
        </w:rPr>
      </w:pPr>
      <w:r w:rsidRPr="0033136A">
        <w:rPr>
          <w:b/>
          <w:bCs/>
          <w:sz w:val="22"/>
          <w:szCs w:val="22"/>
        </w:rPr>
        <w:t xml:space="preserve">Note </w:t>
      </w:r>
      <w:r w:rsidR="00030CEF" w:rsidRPr="0033136A">
        <w:rPr>
          <w:b/>
          <w:bCs/>
          <w:sz w:val="22"/>
          <w:szCs w:val="22"/>
        </w:rPr>
        <w:t>1</w:t>
      </w:r>
      <w:r w:rsidR="00BF2911" w:rsidRPr="0033136A">
        <w:rPr>
          <w:b/>
          <w:bCs/>
          <w:sz w:val="22"/>
          <w:szCs w:val="22"/>
        </w:rPr>
        <w:t>2</w:t>
      </w:r>
      <w:r w:rsidRPr="0033136A">
        <w:rPr>
          <w:b/>
          <w:bCs/>
          <w:sz w:val="22"/>
          <w:szCs w:val="22"/>
        </w:rPr>
        <w:t xml:space="preserve"> - Loans and Borrowings </w:t>
      </w:r>
    </w:p>
    <w:bookmarkEnd w:id="164"/>
    <w:p w14:paraId="3E51276E" w14:textId="77777777" w:rsidR="000970FC" w:rsidRDefault="000970FC" w:rsidP="00CE2D94">
      <w:pPr>
        <w:ind w:left="720"/>
        <w:jc w:val="both"/>
        <w:rPr>
          <w:sz w:val="22"/>
          <w:szCs w:val="22"/>
        </w:rPr>
      </w:pPr>
    </w:p>
    <w:p w14:paraId="4A627D81" w14:textId="586F9336" w:rsidR="00C35D07" w:rsidRPr="00F02921" w:rsidRDefault="00C35D07" w:rsidP="00BF35DA">
      <w:pPr>
        <w:ind w:left="720"/>
        <w:jc w:val="both"/>
        <w:rPr>
          <w:sz w:val="22"/>
          <w:szCs w:val="22"/>
          <w:rtl/>
          <w:lang w:bidi="he-IL"/>
        </w:rPr>
      </w:pPr>
      <w:r w:rsidRPr="00F02921">
        <w:rPr>
          <w:sz w:val="22"/>
          <w:szCs w:val="22"/>
        </w:rPr>
        <w:t xml:space="preserve">This note provides information about the </w:t>
      </w:r>
      <w:r w:rsidRPr="00C66B29">
        <w:rPr>
          <w:sz w:val="22"/>
          <w:szCs w:val="22"/>
        </w:rPr>
        <w:t xml:space="preserve">contractual </w:t>
      </w:r>
      <w:r w:rsidRPr="00ED45EE">
        <w:rPr>
          <w:sz w:val="22"/>
          <w:szCs w:val="22"/>
        </w:rPr>
        <w:t xml:space="preserve">terms of the Group’s interest-bearing loans and borrowings. For more information about the Group’s exposure to interest </w:t>
      </w:r>
      <w:proofErr w:type="gramStart"/>
      <w:r w:rsidRPr="00ED45EE">
        <w:rPr>
          <w:sz w:val="22"/>
          <w:szCs w:val="22"/>
        </w:rPr>
        <w:t>rate</w:t>
      </w:r>
      <w:proofErr w:type="gramEnd"/>
      <w:r w:rsidRPr="00ED45EE">
        <w:rPr>
          <w:sz w:val="22"/>
          <w:szCs w:val="22"/>
        </w:rPr>
        <w:t xml:space="preserve"> and currency risk, refer to Note </w:t>
      </w:r>
      <w:r w:rsidR="009971CB" w:rsidRPr="00DA7DED">
        <w:rPr>
          <w:sz w:val="22"/>
          <w:szCs w:val="22"/>
        </w:rPr>
        <w:t>2</w:t>
      </w:r>
      <w:r w:rsidR="00F66EC1" w:rsidRPr="00DA7DED">
        <w:rPr>
          <w:sz w:val="22"/>
          <w:szCs w:val="22"/>
        </w:rPr>
        <w:t>1</w:t>
      </w:r>
      <w:r w:rsidRPr="00ED45EE">
        <w:rPr>
          <w:sz w:val="22"/>
          <w:szCs w:val="22"/>
        </w:rPr>
        <w:t>.</w:t>
      </w:r>
    </w:p>
    <w:p w14:paraId="3F758FD6" w14:textId="77777777" w:rsidR="00C35D07" w:rsidRPr="00F02921" w:rsidRDefault="00C35D07" w:rsidP="004A3C21">
      <w:pPr>
        <w:ind w:left="720"/>
        <w:jc w:val="both"/>
        <w:rPr>
          <w:sz w:val="10"/>
          <w:szCs w:val="10"/>
          <w:lang w:bidi="he-IL"/>
        </w:rPr>
      </w:pPr>
    </w:p>
    <w:p w14:paraId="1C1BD3A5" w14:textId="77777777" w:rsidR="00C35D07" w:rsidRPr="00F02921" w:rsidRDefault="00C35D07" w:rsidP="00C01E5D">
      <w:pPr>
        <w:ind w:left="720"/>
        <w:jc w:val="both"/>
        <w:outlineLvl w:val="3"/>
        <w:rPr>
          <w:b/>
          <w:bCs/>
          <w:sz w:val="22"/>
          <w:szCs w:val="22"/>
        </w:rPr>
      </w:pPr>
      <w:bookmarkStart w:id="165" w:name="H4_Terms_and_debt_repayment_schedule"/>
      <w:r w:rsidRPr="00F02921">
        <w:rPr>
          <w:b/>
          <w:bCs/>
          <w:sz w:val="22"/>
          <w:szCs w:val="22"/>
        </w:rPr>
        <w:t>Terms and debt repayment schedule</w:t>
      </w:r>
    </w:p>
    <w:bookmarkEnd w:id="165"/>
    <w:p w14:paraId="72931EAE" w14:textId="77777777" w:rsidR="00C35D07" w:rsidRPr="00F02921" w:rsidRDefault="00C35D07" w:rsidP="008211D9">
      <w:pPr>
        <w:ind w:left="720"/>
        <w:jc w:val="both"/>
        <w:rPr>
          <w:rStyle w:val="Koteret"/>
          <w:b w:val="0"/>
          <w:bCs/>
          <w:i/>
          <w:iCs/>
        </w:rPr>
      </w:pPr>
      <w:r w:rsidRPr="00F02921">
        <w:rPr>
          <w:sz w:val="22"/>
          <w:szCs w:val="22"/>
        </w:rPr>
        <w:t>Terms and conditions of outstanding loans were as follows</w:t>
      </w:r>
      <w:r w:rsidR="00EC2699">
        <w:rPr>
          <w:sz w:val="22"/>
          <w:szCs w:val="22"/>
        </w:rPr>
        <w:t>:</w:t>
      </w:r>
    </w:p>
    <w:tbl>
      <w:tblPr>
        <w:tblW w:w="14250" w:type="dxa"/>
        <w:tblInd w:w="720" w:type="dxa"/>
        <w:tblLayout w:type="fixed"/>
        <w:tblLook w:val="06E0" w:firstRow="1" w:lastRow="1" w:firstColumn="1" w:lastColumn="0" w:noHBand="1" w:noVBand="1"/>
        <w:tblCaption w:val="AHR02"/>
        <w:tblDescription w:val="Terms and conditions of outstanding loans"/>
      </w:tblPr>
      <w:tblGrid>
        <w:gridCol w:w="4139"/>
        <w:gridCol w:w="1168"/>
        <w:gridCol w:w="2268"/>
        <w:gridCol w:w="1487"/>
        <w:gridCol w:w="1313"/>
        <w:gridCol w:w="1285"/>
        <w:gridCol w:w="39"/>
        <w:gridCol w:w="1245"/>
        <w:gridCol w:w="1285"/>
        <w:gridCol w:w="21"/>
      </w:tblGrid>
      <w:tr w:rsidR="00DA4829" w14:paraId="6F97AC8D" w14:textId="77777777" w:rsidTr="005101BC">
        <w:trPr>
          <w:cantSplit/>
          <w:trHeight w:val="255"/>
          <w:tblHeader/>
        </w:trPr>
        <w:tc>
          <w:tcPr>
            <w:tcW w:w="4139" w:type="dxa"/>
            <w:shd w:val="clear" w:color="auto" w:fill="auto"/>
            <w:noWrap/>
            <w:vAlign w:val="bottom"/>
            <w:hideMark/>
          </w:tcPr>
          <w:p w14:paraId="110CECD4" w14:textId="66C14045" w:rsidR="00DA4829" w:rsidRPr="00B85721" w:rsidRDefault="00B63F52" w:rsidP="00522BD6">
            <w:pPr>
              <w:rPr>
                <w:rStyle w:val="Koteret"/>
                <w:b w:val="0"/>
                <w:bCs/>
                <w:i/>
                <w:iCs/>
              </w:rPr>
            </w:pPr>
            <w:bookmarkStart w:id="166" w:name="Title_35" w:colFirst="0" w:colLast="0"/>
            <w:r w:rsidRPr="00B85721">
              <w:rPr>
                <w:rStyle w:val="Koteret"/>
                <w:b w:val="0"/>
                <w:bCs/>
                <w:i/>
                <w:iCs/>
              </w:rPr>
              <w:t>In thousands of Euros</w:t>
            </w:r>
          </w:p>
        </w:tc>
        <w:tc>
          <w:tcPr>
            <w:tcW w:w="1168" w:type="dxa"/>
            <w:shd w:val="clear" w:color="auto" w:fill="auto"/>
            <w:noWrap/>
            <w:vAlign w:val="bottom"/>
            <w:hideMark/>
          </w:tcPr>
          <w:p w14:paraId="37E63EFB" w14:textId="77777777" w:rsidR="00DA4829" w:rsidRPr="00866299" w:rsidRDefault="00DA4829" w:rsidP="006B6686">
            <w:pPr>
              <w:spacing w:before="40"/>
              <w:jc w:val="center"/>
              <w:rPr>
                <w:b/>
                <w:bCs/>
                <w:sz w:val="18"/>
                <w:szCs w:val="18"/>
              </w:rPr>
            </w:pPr>
          </w:p>
        </w:tc>
        <w:tc>
          <w:tcPr>
            <w:tcW w:w="2268" w:type="dxa"/>
            <w:shd w:val="clear" w:color="auto" w:fill="auto"/>
            <w:noWrap/>
            <w:vAlign w:val="bottom"/>
            <w:hideMark/>
          </w:tcPr>
          <w:p w14:paraId="170B0558" w14:textId="77777777" w:rsidR="00DA4829" w:rsidRPr="00866299" w:rsidRDefault="00DA4829" w:rsidP="006B6686">
            <w:pPr>
              <w:spacing w:before="40"/>
              <w:jc w:val="center"/>
              <w:rPr>
                <w:b/>
                <w:bCs/>
                <w:sz w:val="18"/>
                <w:szCs w:val="18"/>
              </w:rPr>
            </w:pPr>
          </w:p>
        </w:tc>
        <w:tc>
          <w:tcPr>
            <w:tcW w:w="1487" w:type="dxa"/>
            <w:shd w:val="clear" w:color="auto" w:fill="auto"/>
            <w:noWrap/>
            <w:vAlign w:val="bottom"/>
            <w:hideMark/>
          </w:tcPr>
          <w:p w14:paraId="1CD8B280" w14:textId="77777777" w:rsidR="00DA4829" w:rsidRPr="00866299" w:rsidRDefault="00DA4829" w:rsidP="006B6686">
            <w:pPr>
              <w:spacing w:before="40"/>
              <w:jc w:val="center"/>
              <w:rPr>
                <w:b/>
                <w:bCs/>
                <w:sz w:val="18"/>
                <w:szCs w:val="18"/>
              </w:rPr>
            </w:pPr>
          </w:p>
        </w:tc>
        <w:tc>
          <w:tcPr>
            <w:tcW w:w="2637" w:type="dxa"/>
            <w:gridSpan w:val="3"/>
            <w:shd w:val="clear" w:color="auto" w:fill="auto"/>
            <w:noWrap/>
            <w:vAlign w:val="bottom"/>
            <w:hideMark/>
          </w:tcPr>
          <w:p w14:paraId="40448E73" w14:textId="33EE879A" w:rsidR="00DA4829" w:rsidRPr="00866299" w:rsidRDefault="00E75D52" w:rsidP="006B6686">
            <w:pPr>
              <w:pBdr>
                <w:bottom w:val="single" w:sz="4" w:space="0" w:color="000000"/>
              </w:pBdr>
              <w:spacing w:before="40"/>
              <w:jc w:val="center"/>
              <w:rPr>
                <w:b/>
                <w:bCs/>
                <w:sz w:val="18"/>
                <w:szCs w:val="18"/>
              </w:rPr>
            </w:pPr>
            <w:r w:rsidRPr="00866299">
              <w:rPr>
                <w:b/>
                <w:bCs/>
                <w:color w:val="000000"/>
                <w:sz w:val="18"/>
                <w:szCs w:val="18"/>
              </w:rPr>
              <w:t xml:space="preserve">December 31, </w:t>
            </w:r>
            <w:r w:rsidR="0040585B">
              <w:rPr>
                <w:b/>
                <w:bCs/>
                <w:color w:val="000000"/>
                <w:sz w:val="18"/>
                <w:szCs w:val="18"/>
              </w:rPr>
              <w:t>202</w:t>
            </w:r>
            <w:r w:rsidR="00C52BA0">
              <w:rPr>
                <w:b/>
                <w:bCs/>
                <w:color w:val="000000"/>
                <w:sz w:val="18"/>
                <w:szCs w:val="18"/>
              </w:rPr>
              <w:t>4</w:t>
            </w:r>
          </w:p>
        </w:tc>
        <w:tc>
          <w:tcPr>
            <w:tcW w:w="2551" w:type="dxa"/>
            <w:gridSpan w:val="3"/>
            <w:shd w:val="clear" w:color="auto" w:fill="auto"/>
            <w:noWrap/>
            <w:vAlign w:val="bottom"/>
            <w:hideMark/>
          </w:tcPr>
          <w:p w14:paraId="2119A33A" w14:textId="62F4C43C" w:rsidR="00DA4829" w:rsidRPr="00866299" w:rsidRDefault="00E75D52" w:rsidP="006B6686">
            <w:pPr>
              <w:pBdr>
                <w:bottom w:val="single" w:sz="4" w:space="0" w:color="000000"/>
              </w:pBdr>
              <w:spacing w:before="40"/>
              <w:jc w:val="center"/>
              <w:rPr>
                <w:b/>
                <w:bCs/>
                <w:sz w:val="18"/>
                <w:szCs w:val="18"/>
              </w:rPr>
            </w:pPr>
            <w:r w:rsidRPr="00866299">
              <w:rPr>
                <w:b/>
                <w:bCs/>
                <w:color w:val="000000"/>
                <w:sz w:val="18"/>
                <w:szCs w:val="18"/>
              </w:rPr>
              <w:t xml:space="preserve">December 31, </w:t>
            </w:r>
            <w:r w:rsidR="0040585B">
              <w:rPr>
                <w:b/>
                <w:bCs/>
                <w:color w:val="000000"/>
                <w:sz w:val="18"/>
                <w:szCs w:val="18"/>
              </w:rPr>
              <w:t>202</w:t>
            </w:r>
            <w:r w:rsidR="00C52BA0">
              <w:rPr>
                <w:b/>
                <w:bCs/>
                <w:sz w:val="18"/>
                <w:szCs w:val="18"/>
              </w:rPr>
              <w:t>3</w:t>
            </w:r>
          </w:p>
        </w:tc>
      </w:tr>
      <w:bookmarkEnd w:id="166"/>
      <w:tr w:rsidR="00E86153" w14:paraId="38C0CEC5" w14:textId="77777777" w:rsidTr="005101BC">
        <w:trPr>
          <w:gridAfter w:val="1"/>
          <w:wAfter w:w="21" w:type="dxa"/>
          <w:cantSplit/>
          <w:trHeight w:val="510"/>
          <w:tblHeader/>
        </w:trPr>
        <w:tc>
          <w:tcPr>
            <w:tcW w:w="4139" w:type="dxa"/>
            <w:shd w:val="clear" w:color="auto" w:fill="auto"/>
            <w:noWrap/>
            <w:vAlign w:val="bottom"/>
            <w:hideMark/>
          </w:tcPr>
          <w:p w14:paraId="28C39E2D" w14:textId="77777777" w:rsidR="00E86153" w:rsidRPr="00866299" w:rsidRDefault="00E86153">
            <w:pPr>
              <w:spacing w:before="40"/>
              <w:rPr>
                <w:b/>
                <w:bCs/>
                <w:sz w:val="18"/>
                <w:szCs w:val="18"/>
              </w:rPr>
            </w:pPr>
          </w:p>
        </w:tc>
        <w:tc>
          <w:tcPr>
            <w:tcW w:w="1168" w:type="dxa"/>
            <w:shd w:val="clear" w:color="auto" w:fill="auto"/>
            <w:noWrap/>
            <w:vAlign w:val="bottom"/>
            <w:hideMark/>
          </w:tcPr>
          <w:p w14:paraId="7397EF0C" w14:textId="326E9540" w:rsidR="00E86153" w:rsidRPr="00866299" w:rsidRDefault="00E86153" w:rsidP="006B6686">
            <w:pPr>
              <w:pBdr>
                <w:bottom w:val="single" w:sz="4" w:space="0" w:color="000000"/>
              </w:pBdr>
              <w:spacing w:before="40"/>
              <w:jc w:val="center"/>
              <w:rPr>
                <w:b/>
                <w:bCs/>
                <w:sz w:val="18"/>
                <w:szCs w:val="18"/>
              </w:rPr>
            </w:pPr>
            <w:r w:rsidRPr="00866299">
              <w:rPr>
                <w:b/>
                <w:bCs/>
                <w:color w:val="000000"/>
                <w:sz w:val="18"/>
                <w:szCs w:val="18"/>
              </w:rPr>
              <w:t>Currency</w:t>
            </w:r>
          </w:p>
        </w:tc>
        <w:tc>
          <w:tcPr>
            <w:tcW w:w="2268" w:type="dxa"/>
            <w:shd w:val="clear" w:color="auto" w:fill="auto"/>
            <w:noWrap/>
            <w:vAlign w:val="bottom"/>
            <w:hideMark/>
          </w:tcPr>
          <w:p w14:paraId="26BAA33C" w14:textId="169B29B7" w:rsidR="00E86153" w:rsidRPr="00866299" w:rsidRDefault="00E86153" w:rsidP="006B6686">
            <w:pPr>
              <w:pBdr>
                <w:bottom w:val="single" w:sz="4" w:space="0" w:color="000000"/>
              </w:pBdr>
              <w:spacing w:before="40"/>
              <w:jc w:val="center"/>
              <w:rPr>
                <w:b/>
                <w:bCs/>
                <w:sz w:val="18"/>
                <w:szCs w:val="18"/>
              </w:rPr>
            </w:pPr>
            <w:r w:rsidRPr="00866299">
              <w:rPr>
                <w:b/>
                <w:bCs/>
                <w:color w:val="000000"/>
                <w:sz w:val="18"/>
                <w:szCs w:val="18"/>
              </w:rPr>
              <w:t>Nominal interest rate</w:t>
            </w:r>
          </w:p>
        </w:tc>
        <w:tc>
          <w:tcPr>
            <w:tcW w:w="1487" w:type="dxa"/>
            <w:shd w:val="clear" w:color="auto" w:fill="auto"/>
            <w:noWrap/>
            <w:vAlign w:val="bottom"/>
            <w:hideMark/>
          </w:tcPr>
          <w:p w14:paraId="2475EF9C" w14:textId="77777777" w:rsidR="00E86153" w:rsidRPr="00866299" w:rsidRDefault="00E86153" w:rsidP="006B6686">
            <w:pPr>
              <w:spacing w:before="40"/>
              <w:jc w:val="center"/>
              <w:rPr>
                <w:b/>
                <w:bCs/>
                <w:sz w:val="18"/>
                <w:szCs w:val="18"/>
              </w:rPr>
            </w:pPr>
            <w:r w:rsidRPr="00866299">
              <w:rPr>
                <w:b/>
                <w:bCs/>
                <w:color w:val="000000"/>
                <w:sz w:val="18"/>
                <w:szCs w:val="18"/>
              </w:rPr>
              <w:t>Year of</w:t>
            </w:r>
          </w:p>
          <w:p w14:paraId="611502A5" w14:textId="5B75EEA4" w:rsidR="00E86153" w:rsidRPr="00866299" w:rsidRDefault="00E86153" w:rsidP="006B6686">
            <w:pPr>
              <w:pBdr>
                <w:bottom w:val="single" w:sz="4" w:space="0" w:color="000000"/>
              </w:pBdr>
              <w:spacing w:before="40"/>
              <w:jc w:val="center"/>
              <w:rPr>
                <w:b/>
                <w:bCs/>
                <w:sz w:val="18"/>
                <w:szCs w:val="18"/>
              </w:rPr>
            </w:pPr>
            <w:r w:rsidRPr="00866299">
              <w:rPr>
                <w:b/>
                <w:bCs/>
                <w:color w:val="000000"/>
                <w:sz w:val="18"/>
                <w:szCs w:val="18"/>
              </w:rPr>
              <w:t>maturity</w:t>
            </w:r>
          </w:p>
        </w:tc>
        <w:tc>
          <w:tcPr>
            <w:tcW w:w="1313" w:type="dxa"/>
            <w:shd w:val="clear" w:color="auto" w:fill="auto"/>
            <w:noWrap/>
            <w:vAlign w:val="bottom"/>
            <w:hideMark/>
          </w:tcPr>
          <w:p w14:paraId="68229C8E" w14:textId="77777777" w:rsidR="00E86153" w:rsidRPr="00866299" w:rsidRDefault="00E86153" w:rsidP="006B6686">
            <w:pPr>
              <w:spacing w:before="40"/>
              <w:jc w:val="center"/>
              <w:rPr>
                <w:b/>
                <w:bCs/>
                <w:sz w:val="18"/>
                <w:szCs w:val="18"/>
              </w:rPr>
            </w:pPr>
            <w:r w:rsidRPr="00866299">
              <w:rPr>
                <w:b/>
                <w:bCs/>
                <w:color w:val="000000"/>
                <w:sz w:val="18"/>
                <w:szCs w:val="18"/>
              </w:rPr>
              <w:t>Nominal</w:t>
            </w:r>
          </w:p>
          <w:p w14:paraId="7E136993" w14:textId="12DCEFD2" w:rsidR="00E86153" w:rsidRPr="00866299" w:rsidRDefault="00E86153" w:rsidP="006B6686">
            <w:pPr>
              <w:pBdr>
                <w:bottom w:val="single" w:sz="4" w:space="0" w:color="000000"/>
              </w:pBdr>
              <w:spacing w:before="40"/>
              <w:jc w:val="center"/>
              <w:rPr>
                <w:b/>
                <w:bCs/>
                <w:sz w:val="18"/>
                <w:szCs w:val="18"/>
              </w:rPr>
            </w:pPr>
            <w:r w:rsidRPr="00866299">
              <w:rPr>
                <w:b/>
                <w:bCs/>
                <w:color w:val="000000"/>
                <w:sz w:val="18"/>
                <w:szCs w:val="18"/>
              </w:rPr>
              <w:t>value</w:t>
            </w:r>
          </w:p>
        </w:tc>
        <w:tc>
          <w:tcPr>
            <w:tcW w:w="1285" w:type="dxa"/>
            <w:shd w:val="clear" w:color="auto" w:fill="auto"/>
            <w:noWrap/>
            <w:vAlign w:val="bottom"/>
            <w:hideMark/>
          </w:tcPr>
          <w:p w14:paraId="5C48C46B" w14:textId="77777777" w:rsidR="00E86153" w:rsidRPr="00866299" w:rsidRDefault="00E86153" w:rsidP="006B6686">
            <w:pPr>
              <w:spacing w:before="40"/>
              <w:jc w:val="center"/>
              <w:rPr>
                <w:b/>
                <w:bCs/>
                <w:sz w:val="18"/>
                <w:szCs w:val="18"/>
              </w:rPr>
            </w:pPr>
            <w:r w:rsidRPr="00866299">
              <w:rPr>
                <w:b/>
                <w:bCs/>
                <w:color w:val="000000"/>
                <w:sz w:val="18"/>
                <w:szCs w:val="18"/>
              </w:rPr>
              <w:t>Carrying</w:t>
            </w:r>
          </w:p>
          <w:p w14:paraId="49C63359" w14:textId="6EA42E16" w:rsidR="00E86153" w:rsidRPr="00866299" w:rsidRDefault="00E86153" w:rsidP="006B6686">
            <w:pPr>
              <w:pBdr>
                <w:bottom w:val="single" w:sz="4" w:space="0" w:color="000000"/>
              </w:pBdr>
              <w:spacing w:before="40"/>
              <w:jc w:val="center"/>
              <w:rPr>
                <w:b/>
                <w:bCs/>
                <w:sz w:val="18"/>
                <w:szCs w:val="18"/>
              </w:rPr>
            </w:pPr>
            <w:r w:rsidRPr="00866299">
              <w:rPr>
                <w:b/>
                <w:bCs/>
                <w:color w:val="000000"/>
                <w:sz w:val="18"/>
                <w:szCs w:val="18"/>
              </w:rPr>
              <w:t>value</w:t>
            </w:r>
          </w:p>
        </w:tc>
        <w:tc>
          <w:tcPr>
            <w:tcW w:w="1284" w:type="dxa"/>
            <w:gridSpan w:val="2"/>
            <w:shd w:val="clear" w:color="auto" w:fill="auto"/>
            <w:noWrap/>
            <w:vAlign w:val="bottom"/>
            <w:hideMark/>
          </w:tcPr>
          <w:p w14:paraId="2AA47D84" w14:textId="77777777" w:rsidR="00E86153" w:rsidRPr="00866299" w:rsidRDefault="00E86153" w:rsidP="006B6686">
            <w:pPr>
              <w:spacing w:before="40"/>
              <w:jc w:val="center"/>
              <w:rPr>
                <w:b/>
                <w:bCs/>
                <w:sz w:val="18"/>
                <w:szCs w:val="18"/>
              </w:rPr>
            </w:pPr>
            <w:r w:rsidRPr="00866299">
              <w:rPr>
                <w:b/>
                <w:bCs/>
                <w:color w:val="000000"/>
                <w:sz w:val="18"/>
                <w:szCs w:val="18"/>
              </w:rPr>
              <w:t>Nominal</w:t>
            </w:r>
          </w:p>
          <w:p w14:paraId="53ACBC6A" w14:textId="03700254" w:rsidR="00E86153" w:rsidRPr="00866299" w:rsidRDefault="00E86153" w:rsidP="006B6686">
            <w:pPr>
              <w:pBdr>
                <w:bottom w:val="single" w:sz="4" w:space="0" w:color="000000"/>
              </w:pBdr>
              <w:spacing w:before="40"/>
              <w:jc w:val="center"/>
              <w:rPr>
                <w:b/>
                <w:bCs/>
                <w:sz w:val="18"/>
                <w:szCs w:val="18"/>
              </w:rPr>
            </w:pPr>
            <w:r w:rsidRPr="00866299">
              <w:rPr>
                <w:b/>
                <w:bCs/>
                <w:color w:val="000000"/>
                <w:sz w:val="18"/>
                <w:szCs w:val="18"/>
              </w:rPr>
              <w:t>value</w:t>
            </w:r>
          </w:p>
        </w:tc>
        <w:tc>
          <w:tcPr>
            <w:tcW w:w="1285" w:type="dxa"/>
            <w:shd w:val="clear" w:color="auto" w:fill="auto"/>
            <w:noWrap/>
            <w:vAlign w:val="bottom"/>
            <w:hideMark/>
          </w:tcPr>
          <w:p w14:paraId="0E52BDD2" w14:textId="77777777" w:rsidR="00E86153" w:rsidRPr="00866299" w:rsidRDefault="00E86153" w:rsidP="006B6686">
            <w:pPr>
              <w:spacing w:before="40"/>
              <w:jc w:val="center"/>
              <w:rPr>
                <w:b/>
                <w:bCs/>
                <w:sz w:val="18"/>
                <w:szCs w:val="18"/>
              </w:rPr>
            </w:pPr>
            <w:r w:rsidRPr="00866299">
              <w:rPr>
                <w:b/>
                <w:bCs/>
                <w:color w:val="000000"/>
                <w:sz w:val="18"/>
                <w:szCs w:val="18"/>
              </w:rPr>
              <w:t>Carrying</w:t>
            </w:r>
          </w:p>
          <w:p w14:paraId="24C51B9B" w14:textId="1748CFAC" w:rsidR="00E86153" w:rsidRPr="00866299" w:rsidRDefault="00E86153" w:rsidP="006B6686">
            <w:pPr>
              <w:pBdr>
                <w:bottom w:val="single" w:sz="4" w:space="0" w:color="000000"/>
              </w:pBdr>
              <w:spacing w:before="40"/>
              <w:jc w:val="center"/>
              <w:rPr>
                <w:b/>
                <w:bCs/>
                <w:sz w:val="18"/>
                <w:szCs w:val="18"/>
              </w:rPr>
            </w:pPr>
            <w:r w:rsidRPr="00866299">
              <w:rPr>
                <w:b/>
                <w:bCs/>
                <w:color w:val="000000"/>
                <w:sz w:val="18"/>
                <w:szCs w:val="18"/>
              </w:rPr>
              <w:t>value</w:t>
            </w:r>
          </w:p>
        </w:tc>
      </w:tr>
      <w:tr w:rsidR="00DA4829" w14:paraId="7DE3A4CF" w14:textId="77777777" w:rsidTr="005101BC">
        <w:trPr>
          <w:gridAfter w:val="1"/>
          <w:wAfter w:w="21" w:type="dxa"/>
          <w:trHeight w:val="255"/>
        </w:trPr>
        <w:tc>
          <w:tcPr>
            <w:tcW w:w="4139" w:type="dxa"/>
            <w:shd w:val="clear" w:color="auto" w:fill="auto"/>
            <w:noWrap/>
            <w:vAlign w:val="bottom"/>
            <w:hideMark/>
          </w:tcPr>
          <w:p w14:paraId="1D61D5A0" w14:textId="77777777" w:rsidR="00DA4829" w:rsidRDefault="00E75D52">
            <w:pPr>
              <w:spacing w:before="40"/>
              <w:rPr>
                <w:b/>
                <w:bCs/>
                <w:sz w:val="20"/>
              </w:rPr>
            </w:pPr>
            <w:r>
              <w:rPr>
                <w:b/>
                <w:bCs/>
                <w:color w:val="000000"/>
                <w:sz w:val="20"/>
              </w:rPr>
              <w:t>Non-current</w:t>
            </w:r>
          </w:p>
        </w:tc>
        <w:tc>
          <w:tcPr>
            <w:tcW w:w="1168" w:type="dxa"/>
            <w:shd w:val="clear" w:color="auto" w:fill="auto"/>
            <w:noWrap/>
            <w:vAlign w:val="bottom"/>
            <w:hideMark/>
          </w:tcPr>
          <w:p w14:paraId="4D4D1D70" w14:textId="77777777" w:rsidR="00DA4829" w:rsidRDefault="00DA4829">
            <w:pPr>
              <w:spacing w:before="40"/>
              <w:rPr>
                <w:rFonts w:ascii="Arial" w:eastAsia="Arial" w:hAnsi="Arial" w:cs="Arial"/>
                <w:sz w:val="20"/>
              </w:rPr>
            </w:pPr>
          </w:p>
        </w:tc>
        <w:tc>
          <w:tcPr>
            <w:tcW w:w="2268" w:type="dxa"/>
            <w:shd w:val="clear" w:color="auto" w:fill="auto"/>
            <w:noWrap/>
            <w:vAlign w:val="bottom"/>
            <w:hideMark/>
          </w:tcPr>
          <w:p w14:paraId="226F2203" w14:textId="77777777" w:rsidR="00DA4829" w:rsidRDefault="00DA4829">
            <w:pPr>
              <w:spacing w:before="40"/>
              <w:rPr>
                <w:rFonts w:ascii="Arial" w:eastAsia="Arial" w:hAnsi="Arial" w:cs="Arial"/>
                <w:sz w:val="20"/>
              </w:rPr>
            </w:pPr>
          </w:p>
        </w:tc>
        <w:tc>
          <w:tcPr>
            <w:tcW w:w="1487" w:type="dxa"/>
            <w:shd w:val="clear" w:color="auto" w:fill="auto"/>
            <w:noWrap/>
            <w:vAlign w:val="bottom"/>
            <w:hideMark/>
          </w:tcPr>
          <w:p w14:paraId="1C789C24" w14:textId="77777777" w:rsidR="00DA4829" w:rsidRDefault="00DA4829">
            <w:pPr>
              <w:spacing w:before="40"/>
              <w:rPr>
                <w:rFonts w:ascii="Arial" w:eastAsia="Arial" w:hAnsi="Arial" w:cs="Arial"/>
                <w:sz w:val="20"/>
              </w:rPr>
            </w:pPr>
          </w:p>
        </w:tc>
        <w:tc>
          <w:tcPr>
            <w:tcW w:w="1313" w:type="dxa"/>
            <w:shd w:val="clear" w:color="auto" w:fill="auto"/>
            <w:noWrap/>
            <w:vAlign w:val="bottom"/>
            <w:hideMark/>
          </w:tcPr>
          <w:p w14:paraId="5A0ADCC1" w14:textId="77777777" w:rsidR="00DA4829" w:rsidRDefault="00DA4829">
            <w:pPr>
              <w:spacing w:before="40"/>
              <w:rPr>
                <w:rFonts w:ascii="Arial" w:eastAsia="Arial" w:hAnsi="Arial" w:cs="Arial"/>
                <w:sz w:val="20"/>
              </w:rPr>
            </w:pPr>
          </w:p>
        </w:tc>
        <w:tc>
          <w:tcPr>
            <w:tcW w:w="1285" w:type="dxa"/>
            <w:shd w:val="clear" w:color="auto" w:fill="auto"/>
            <w:noWrap/>
            <w:vAlign w:val="bottom"/>
            <w:hideMark/>
          </w:tcPr>
          <w:p w14:paraId="6DC3C37C" w14:textId="77777777" w:rsidR="00DA4829" w:rsidRDefault="00DA4829">
            <w:pPr>
              <w:spacing w:before="40"/>
              <w:rPr>
                <w:rFonts w:ascii="Arial" w:eastAsia="Arial" w:hAnsi="Arial" w:cs="Arial"/>
                <w:sz w:val="20"/>
              </w:rPr>
            </w:pPr>
          </w:p>
        </w:tc>
        <w:tc>
          <w:tcPr>
            <w:tcW w:w="1284" w:type="dxa"/>
            <w:gridSpan w:val="2"/>
            <w:shd w:val="clear" w:color="auto" w:fill="auto"/>
            <w:noWrap/>
            <w:vAlign w:val="bottom"/>
            <w:hideMark/>
          </w:tcPr>
          <w:p w14:paraId="0A2F510E" w14:textId="77777777" w:rsidR="00DA4829" w:rsidRDefault="00DA4829">
            <w:pPr>
              <w:spacing w:before="40"/>
              <w:rPr>
                <w:rFonts w:ascii="Arial" w:eastAsia="Arial" w:hAnsi="Arial" w:cs="Arial"/>
                <w:sz w:val="20"/>
              </w:rPr>
            </w:pPr>
          </w:p>
        </w:tc>
        <w:tc>
          <w:tcPr>
            <w:tcW w:w="1285" w:type="dxa"/>
            <w:shd w:val="clear" w:color="auto" w:fill="auto"/>
            <w:noWrap/>
            <w:vAlign w:val="bottom"/>
            <w:hideMark/>
          </w:tcPr>
          <w:p w14:paraId="544533DE" w14:textId="77777777" w:rsidR="00DA4829" w:rsidRDefault="00DA4829">
            <w:pPr>
              <w:spacing w:before="40"/>
              <w:rPr>
                <w:rFonts w:ascii="Arial" w:eastAsia="Arial" w:hAnsi="Arial" w:cs="Arial"/>
                <w:sz w:val="20"/>
              </w:rPr>
            </w:pPr>
          </w:p>
        </w:tc>
      </w:tr>
      <w:tr w:rsidR="00DC271E" w:rsidRPr="00E947A1" w14:paraId="67FCD75A" w14:textId="77777777" w:rsidTr="005101BC">
        <w:trPr>
          <w:gridAfter w:val="1"/>
          <w:wAfter w:w="21" w:type="dxa"/>
          <w:trHeight w:val="255"/>
        </w:trPr>
        <w:tc>
          <w:tcPr>
            <w:tcW w:w="4139" w:type="dxa"/>
            <w:shd w:val="clear" w:color="auto" w:fill="auto"/>
            <w:noWrap/>
            <w:vAlign w:val="bottom"/>
            <w:hideMark/>
          </w:tcPr>
          <w:p w14:paraId="21369F40" w14:textId="77777777" w:rsidR="00DC271E" w:rsidRPr="00E947A1" w:rsidRDefault="00DC271E" w:rsidP="00DC271E">
            <w:pPr>
              <w:spacing w:before="40"/>
              <w:rPr>
                <w:sz w:val="20"/>
              </w:rPr>
            </w:pPr>
            <w:r w:rsidRPr="00E947A1">
              <w:rPr>
                <w:color w:val="000000"/>
                <w:sz w:val="20"/>
              </w:rPr>
              <w:t>Secured bank loan</w:t>
            </w:r>
          </w:p>
        </w:tc>
        <w:tc>
          <w:tcPr>
            <w:tcW w:w="1168" w:type="dxa"/>
            <w:shd w:val="clear" w:color="auto" w:fill="auto"/>
            <w:noWrap/>
            <w:vAlign w:val="bottom"/>
            <w:hideMark/>
          </w:tcPr>
          <w:p w14:paraId="47880C14" w14:textId="77777777" w:rsidR="00DC271E" w:rsidRPr="007A4F1A" w:rsidRDefault="00DC271E" w:rsidP="00DC271E">
            <w:pPr>
              <w:spacing w:before="40"/>
              <w:rPr>
                <w:sz w:val="20"/>
              </w:rPr>
            </w:pPr>
            <w:r w:rsidRPr="007A4F1A">
              <w:rPr>
                <w:color w:val="000000"/>
                <w:sz w:val="20"/>
              </w:rPr>
              <w:t>Euro</w:t>
            </w:r>
          </w:p>
        </w:tc>
        <w:tc>
          <w:tcPr>
            <w:tcW w:w="2268" w:type="dxa"/>
            <w:shd w:val="clear" w:color="auto" w:fill="auto"/>
            <w:noWrap/>
            <w:vAlign w:val="bottom"/>
            <w:hideMark/>
          </w:tcPr>
          <w:p w14:paraId="49442D16" w14:textId="20E25FFA" w:rsidR="00DC271E" w:rsidRPr="007A4F1A" w:rsidRDefault="00DC271E" w:rsidP="00DC271E">
            <w:pPr>
              <w:spacing w:before="40"/>
              <w:rPr>
                <w:sz w:val="20"/>
              </w:rPr>
            </w:pPr>
            <w:r w:rsidRPr="007A4F1A">
              <w:rPr>
                <w:color w:val="000000"/>
                <w:sz w:val="20"/>
              </w:rPr>
              <w:t>3M Euribor+1.85%-3.35</w:t>
            </w:r>
            <w:r w:rsidRPr="007A4F1A">
              <w:rPr>
                <w:sz w:val="20"/>
              </w:rPr>
              <w:t>%</w:t>
            </w:r>
          </w:p>
        </w:tc>
        <w:tc>
          <w:tcPr>
            <w:tcW w:w="1487" w:type="dxa"/>
            <w:shd w:val="clear" w:color="auto" w:fill="auto"/>
            <w:noWrap/>
            <w:vAlign w:val="bottom"/>
            <w:hideMark/>
          </w:tcPr>
          <w:p w14:paraId="57828C51" w14:textId="63CAB3A6" w:rsidR="00DC271E" w:rsidRPr="007A4F1A" w:rsidRDefault="00DC271E" w:rsidP="00DC271E">
            <w:pPr>
              <w:spacing w:before="40"/>
              <w:rPr>
                <w:sz w:val="20"/>
              </w:rPr>
            </w:pPr>
            <w:r w:rsidRPr="007A4F1A">
              <w:rPr>
                <w:color w:val="000000"/>
                <w:sz w:val="20"/>
              </w:rPr>
              <w:t>2025-2030</w:t>
            </w:r>
          </w:p>
        </w:tc>
        <w:tc>
          <w:tcPr>
            <w:tcW w:w="1313" w:type="dxa"/>
            <w:shd w:val="clear" w:color="auto" w:fill="auto"/>
            <w:noWrap/>
            <w:vAlign w:val="bottom"/>
          </w:tcPr>
          <w:p w14:paraId="464DEBC6" w14:textId="2DEC8141" w:rsidR="00DC271E" w:rsidRPr="00DC271E" w:rsidRDefault="00DC271E" w:rsidP="00DC271E">
            <w:pPr>
              <w:spacing w:before="40"/>
              <w:jc w:val="right"/>
              <w:rPr>
                <w:sz w:val="20"/>
                <w:lang w:bidi="he-IL"/>
              </w:rPr>
            </w:pPr>
            <w:r w:rsidRPr="00DC271E">
              <w:rPr>
                <w:sz w:val="20"/>
              </w:rPr>
              <w:t>1,189,485</w:t>
            </w:r>
          </w:p>
        </w:tc>
        <w:tc>
          <w:tcPr>
            <w:tcW w:w="1285" w:type="dxa"/>
            <w:shd w:val="clear" w:color="auto" w:fill="auto"/>
            <w:noWrap/>
            <w:vAlign w:val="bottom"/>
          </w:tcPr>
          <w:p w14:paraId="365AD76F" w14:textId="32AEBA37" w:rsidR="00DC271E" w:rsidRPr="00DC271E" w:rsidRDefault="00DC271E" w:rsidP="00DC271E">
            <w:pPr>
              <w:spacing w:before="40"/>
              <w:jc w:val="right"/>
              <w:rPr>
                <w:sz w:val="20"/>
              </w:rPr>
            </w:pPr>
            <w:r w:rsidRPr="00DC271E">
              <w:rPr>
                <w:sz w:val="20"/>
              </w:rPr>
              <w:t>1,183,729</w:t>
            </w:r>
          </w:p>
        </w:tc>
        <w:tc>
          <w:tcPr>
            <w:tcW w:w="1284" w:type="dxa"/>
            <w:gridSpan w:val="2"/>
            <w:shd w:val="clear" w:color="auto" w:fill="auto"/>
            <w:noWrap/>
            <w:vAlign w:val="bottom"/>
          </w:tcPr>
          <w:p w14:paraId="56078242" w14:textId="5F62C63D" w:rsidR="00DC271E" w:rsidRPr="00591E5A" w:rsidRDefault="00DC271E" w:rsidP="00DC271E">
            <w:pPr>
              <w:spacing w:before="40"/>
              <w:jc w:val="right"/>
              <w:rPr>
                <w:sz w:val="20"/>
              </w:rPr>
            </w:pPr>
            <w:r>
              <w:rPr>
                <w:sz w:val="20"/>
              </w:rPr>
              <w:t>1,114,278</w:t>
            </w:r>
          </w:p>
        </w:tc>
        <w:tc>
          <w:tcPr>
            <w:tcW w:w="1285" w:type="dxa"/>
            <w:shd w:val="clear" w:color="auto" w:fill="auto"/>
            <w:noWrap/>
            <w:vAlign w:val="bottom"/>
          </w:tcPr>
          <w:p w14:paraId="791CFC02" w14:textId="414E441A" w:rsidR="00DC271E" w:rsidRPr="00591E5A" w:rsidRDefault="00DC271E" w:rsidP="00DC271E">
            <w:pPr>
              <w:spacing w:before="40"/>
              <w:jc w:val="right"/>
              <w:rPr>
                <w:sz w:val="20"/>
              </w:rPr>
            </w:pPr>
            <w:r>
              <w:rPr>
                <w:sz w:val="20"/>
              </w:rPr>
              <w:t>1,106,998</w:t>
            </w:r>
          </w:p>
        </w:tc>
      </w:tr>
      <w:tr w:rsidR="00DC271E" w:rsidRPr="00E947A1" w14:paraId="1F2759B1" w14:textId="77777777" w:rsidTr="005101BC">
        <w:trPr>
          <w:gridAfter w:val="1"/>
          <w:wAfter w:w="21" w:type="dxa"/>
          <w:trHeight w:val="255"/>
        </w:trPr>
        <w:tc>
          <w:tcPr>
            <w:tcW w:w="4139" w:type="dxa"/>
            <w:shd w:val="clear" w:color="auto" w:fill="auto"/>
            <w:noWrap/>
            <w:vAlign w:val="bottom"/>
            <w:hideMark/>
          </w:tcPr>
          <w:p w14:paraId="05137A5B" w14:textId="77777777" w:rsidR="00DC271E" w:rsidRPr="00E947A1" w:rsidRDefault="00DC271E" w:rsidP="00DC271E">
            <w:pPr>
              <w:spacing w:before="40"/>
              <w:rPr>
                <w:sz w:val="20"/>
              </w:rPr>
            </w:pPr>
            <w:r w:rsidRPr="00E947A1">
              <w:rPr>
                <w:color w:val="000000"/>
                <w:sz w:val="20"/>
              </w:rPr>
              <w:t>Secured bank loan</w:t>
            </w:r>
          </w:p>
        </w:tc>
        <w:tc>
          <w:tcPr>
            <w:tcW w:w="1168" w:type="dxa"/>
            <w:shd w:val="clear" w:color="auto" w:fill="auto"/>
            <w:noWrap/>
            <w:vAlign w:val="bottom"/>
            <w:hideMark/>
          </w:tcPr>
          <w:p w14:paraId="57499DF8" w14:textId="1B0959C1" w:rsidR="00DC271E" w:rsidRPr="007A4F1A" w:rsidRDefault="00DC271E" w:rsidP="00DC271E">
            <w:pPr>
              <w:spacing w:before="40"/>
              <w:rPr>
                <w:sz w:val="20"/>
              </w:rPr>
            </w:pPr>
            <w:r w:rsidRPr="007A4F1A">
              <w:rPr>
                <w:color w:val="000000"/>
                <w:sz w:val="20"/>
              </w:rPr>
              <w:t>Euro</w:t>
            </w:r>
          </w:p>
        </w:tc>
        <w:tc>
          <w:tcPr>
            <w:tcW w:w="2268" w:type="dxa"/>
            <w:shd w:val="clear" w:color="auto" w:fill="auto"/>
            <w:noWrap/>
            <w:vAlign w:val="bottom"/>
            <w:hideMark/>
          </w:tcPr>
          <w:p w14:paraId="3E3E13AD" w14:textId="50C50599" w:rsidR="00DC271E" w:rsidRPr="007A4F1A" w:rsidRDefault="00DC271E" w:rsidP="00DC271E">
            <w:pPr>
              <w:spacing w:before="40"/>
              <w:rPr>
                <w:sz w:val="20"/>
              </w:rPr>
            </w:pPr>
            <w:r w:rsidRPr="007A4F1A">
              <w:rPr>
                <w:color w:val="000000"/>
                <w:sz w:val="20"/>
              </w:rPr>
              <w:t>5.1%</w:t>
            </w:r>
          </w:p>
        </w:tc>
        <w:tc>
          <w:tcPr>
            <w:tcW w:w="1487" w:type="dxa"/>
            <w:shd w:val="clear" w:color="auto" w:fill="auto"/>
            <w:noWrap/>
            <w:vAlign w:val="bottom"/>
          </w:tcPr>
          <w:p w14:paraId="6E85B2DB" w14:textId="3174992C" w:rsidR="00DC271E" w:rsidRPr="007A4F1A" w:rsidRDefault="00DC271E" w:rsidP="00DC271E">
            <w:pPr>
              <w:spacing w:before="40"/>
              <w:rPr>
                <w:sz w:val="20"/>
              </w:rPr>
            </w:pPr>
            <w:r w:rsidRPr="007A4F1A">
              <w:rPr>
                <w:sz w:val="20"/>
              </w:rPr>
              <w:t>2030</w:t>
            </w:r>
          </w:p>
        </w:tc>
        <w:tc>
          <w:tcPr>
            <w:tcW w:w="1313" w:type="dxa"/>
            <w:shd w:val="clear" w:color="auto" w:fill="auto"/>
            <w:noWrap/>
            <w:vAlign w:val="bottom"/>
          </w:tcPr>
          <w:p w14:paraId="1A2B61B0" w14:textId="213DCBEF" w:rsidR="00DC271E" w:rsidRPr="00DC271E" w:rsidRDefault="00DC271E" w:rsidP="00DC271E">
            <w:pPr>
              <w:spacing w:before="40"/>
              <w:jc w:val="right"/>
              <w:rPr>
                <w:sz w:val="20"/>
              </w:rPr>
            </w:pPr>
            <w:r w:rsidRPr="00DC271E">
              <w:rPr>
                <w:sz w:val="20"/>
              </w:rPr>
              <w:t>24,800</w:t>
            </w:r>
          </w:p>
        </w:tc>
        <w:tc>
          <w:tcPr>
            <w:tcW w:w="1285" w:type="dxa"/>
            <w:shd w:val="clear" w:color="auto" w:fill="auto"/>
            <w:noWrap/>
            <w:vAlign w:val="bottom"/>
          </w:tcPr>
          <w:p w14:paraId="0D4F6698" w14:textId="5D042F06" w:rsidR="00DC271E" w:rsidRPr="00DC271E" w:rsidRDefault="00DC271E" w:rsidP="00DC271E">
            <w:pPr>
              <w:spacing w:before="40"/>
              <w:jc w:val="right"/>
              <w:rPr>
                <w:sz w:val="20"/>
              </w:rPr>
            </w:pPr>
            <w:r w:rsidRPr="00DC271E">
              <w:rPr>
                <w:sz w:val="20"/>
              </w:rPr>
              <w:t>24,800</w:t>
            </w:r>
          </w:p>
        </w:tc>
        <w:tc>
          <w:tcPr>
            <w:tcW w:w="1284" w:type="dxa"/>
            <w:gridSpan w:val="2"/>
            <w:shd w:val="clear" w:color="auto" w:fill="auto"/>
            <w:noWrap/>
            <w:vAlign w:val="bottom"/>
          </w:tcPr>
          <w:p w14:paraId="3A1F9DE6" w14:textId="3768069B" w:rsidR="00DC271E" w:rsidRPr="00591E5A" w:rsidRDefault="00DC271E" w:rsidP="00DC271E">
            <w:pPr>
              <w:spacing w:before="40"/>
              <w:jc w:val="right"/>
              <w:rPr>
                <w:sz w:val="20"/>
              </w:rPr>
            </w:pPr>
            <w:r>
              <w:rPr>
                <w:sz w:val="20"/>
              </w:rPr>
              <w:t>24,800</w:t>
            </w:r>
          </w:p>
        </w:tc>
        <w:tc>
          <w:tcPr>
            <w:tcW w:w="1285" w:type="dxa"/>
            <w:shd w:val="clear" w:color="auto" w:fill="auto"/>
            <w:noWrap/>
            <w:vAlign w:val="bottom"/>
          </w:tcPr>
          <w:p w14:paraId="69F961BC" w14:textId="185A87D3" w:rsidR="00DC271E" w:rsidRPr="00591E5A" w:rsidRDefault="00DC271E" w:rsidP="00DC271E">
            <w:pPr>
              <w:spacing w:before="40"/>
              <w:jc w:val="right"/>
              <w:rPr>
                <w:sz w:val="20"/>
              </w:rPr>
            </w:pPr>
            <w:r>
              <w:rPr>
                <w:sz w:val="20"/>
              </w:rPr>
              <w:t>24,800</w:t>
            </w:r>
          </w:p>
        </w:tc>
      </w:tr>
      <w:tr w:rsidR="00DC271E" w:rsidRPr="00E947A1" w14:paraId="43C80CDC" w14:textId="77777777" w:rsidTr="005101BC">
        <w:trPr>
          <w:gridAfter w:val="1"/>
          <w:wAfter w:w="21" w:type="dxa"/>
          <w:trHeight w:val="255"/>
        </w:trPr>
        <w:tc>
          <w:tcPr>
            <w:tcW w:w="4139" w:type="dxa"/>
            <w:shd w:val="clear" w:color="auto" w:fill="auto"/>
            <w:noWrap/>
            <w:vAlign w:val="bottom"/>
            <w:hideMark/>
          </w:tcPr>
          <w:p w14:paraId="619FB40A" w14:textId="125D0AEF" w:rsidR="00DC271E" w:rsidRPr="00E947A1" w:rsidRDefault="00DC271E" w:rsidP="00DC271E">
            <w:pPr>
              <w:spacing w:before="40"/>
              <w:rPr>
                <w:sz w:val="20"/>
                <w:rtl/>
                <w:lang w:bidi="he-IL"/>
              </w:rPr>
            </w:pPr>
            <w:r>
              <w:rPr>
                <w:color w:val="000000"/>
                <w:sz w:val="20"/>
              </w:rPr>
              <w:t>L</w:t>
            </w:r>
            <w:r w:rsidRPr="00E947A1">
              <w:rPr>
                <w:color w:val="000000"/>
                <w:sz w:val="20"/>
              </w:rPr>
              <w:t>ease liabilities</w:t>
            </w:r>
          </w:p>
        </w:tc>
        <w:tc>
          <w:tcPr>
            <w:tcW w:w="1168" w:type="dxa"/>
            <w:shd w:val="clear" w:color="auto" w:fill="auto"/>
            <w:noWrap/>
            <w:vAlign w:val="bottom"/>
            <w:hideMark/>
          </w:tcPr>
          <w:p w14:paraId="46CACCE8" w14:textId="754D1075" w:rsidR="00DC271E" w:rsidRPr="00853403" w:rsidRDefault="00DC271E" w:rsidP="00DC271E">
            <w:pPr>
              <w:spacing w:before="40"/>
              <w:rPr>
                <w:sz w:val="20"/>
                <w:lang w:bidi="he-IL"/>
              </w:rPr>
            </w:pPr>
            <w:r w:rsidRPr="00853403">
              <w:rPr>
                <w:color w:val="000000"/>
                <w:sz w:val="20"/>
              </w:rPr>
              <w:t>A</w:t>
            </w:r>
            <w:r w:rsidRPr="00853403">
              <w:rPr>
                <w:color w:val="000000"/>
                <w:sz w:val="20"/>
                <w:lang w:bidi="he-IL"/>
              </w:rPr>
              <w:t>ll currencies</w:t>
            </w:r>
          </w:p>
        </w:tc>
        <w:tc>
          <w:tcPr>
            <w:tcW w:w="2268" w:type="dxa"/>
            <w:shd w:val="clear" w:color="auto" w:fill="auto"/>
            <w:noWrap/>
            <w:vAlign w:val="bottom"/>
            <w:hideMark/>
          </w:tcPr>
          <w:p w14:paraId="6D23C1FC" w14:textId="2D7FBE9F" w:rsidR="00DC271E" w:rsidRPr="007A4F1A" w:rsidRDefault="00DC271E" w:rsidP="00DC271E">
            <w:pPr>
              <w:spacing w:before="40"/>
              <w:rPr>
                <w:sz w:val="20"/>
              </w:rPr>
            </w:pPr>
            <w:r w:rsidRPr="007A4F1A">
              <w:rPr>
                <w:color w:val="000000"/>
                <w:sz w:val="20"/>
              </w:rPr>
              <w:t>4%-13.5%</w:t>
            </w:r>
          </w:p>
        </w:tc>
        <w:tc>
          <w:tcPr>
            <w:tcW w:w="1487" w:type="dxa"/>
            <w:shd w:val="clear" w:color="auto" w:fill="auto"/>
            <w:noWrap/>
            <w:vAlign w:val="bottom"/>
            <w:hideMark/>
          </w:tcPr>
          <w:p w14:paraId="0FD5DB5C" w14:textId="4956D22B" w:rsidR="00DC271E" w:rsidRPr="007A4F1A" w:rsidRDefault="00DC271E" w:rsidP="00DC271E">
            <w:pPr>
              <w:spacing w:before="40"/>
              <w:rPr>
                <w:sz w:val="20"/>
                <w:lang w:bidi="he-IL"/>
              </w:rPr>
            </w:pPr>
            <w:r w:rsidRPr="007A4F1A">
              <w:rPr>
                <w:color w:val="000000"/>
                <w:sz w:val="20"/>
              </w:rPr>
              <w:t>2025-2048</w:t>
            </w:r>
          </w:p>
        </w:tc>
        <w:tc>
          <w:tcPr>
            <w:tcW w:w="1313" w:type="dxa"/>
            <w:shd w:val="clear" w:color="auto" w:fill="auto"/>
            <w:noWrap/>
            <w:vAlign w:val="bottom"/>
          </w:tcPr>
          <w:p w14:paraId="1A4D00D0" w14:textId="296B79C9" w:rsidR="00DC271E" w:rsidRPr="00DC271E" w:rsidRDefault="00DC271E" w:rsidP="00DC271E">
            <w:pPr>
              <w:spacing w:before="40"/>
              <w:jc w:val="right"/>
              <w:rPr>
                <w:sz w:val="20"/>
              </w:rPr>
            </w:pPr>
            <w:r w:rsidRPr="00DC271E">
              <w:rPr>
                <w:sz w:val="20"/>
              </w:rPr>
              <w:t>12,499</w:t>
            </w:r>
          </w:p>
        </w:tc>
        <w:tc>
          <w:tcPr>
            <w:tcW w:w="1285" w:type="dxa"/>
            <w:shd w:val="clear" w:color="auto" w:fill="auto"/>
            <w:noWrap/>
            <w:vAlign w:val="bottom"/>
          </w:tcPr>
          <w:p w14:paraId="1724DB5F" w14:textId="79ED20AB" w:rsidR="00DC271E" w:rsidRPr="00DC271E" w:rsidRDefault="00DC271E" w:rsidP="00DC271E">
            <w:pPr>
              <w:spacing w:before="40"/>
              <w:jc w:val="right"/>
              <w:rPr>
                <w:sz w:val="20"/>
              </w:rPr>
            </w:pPr>
            <w:r w:rsidRPr="00DC271E">
              <w:rPr>
                <w:sz w:val="20"/>
              </w:rPr>
              <w:t>12,305</w:t>
            </w:r>
          </w:p>
        </w:tc>
        <w:tc>
          <w:tcPr>
            <w:tcW w:w="1284" w:type="dxa"/>
            <w:gridSpan w:val="2"/>
            <w:shd w:val="clear" w:color="auto" w:fill="auto"/>
            <w:noWrap/>
            <w:vAlign w:val="bottom"/>
          </w:tcPr>
          <w:p w14:paraId="7C007AA3" w14:textId="3F6F261F" w:rsidR="00DC271E" w:rsidRPr="00591E5A" w:rsidRDefault="00DC271E" w:rsidP="00DC271E">
            <w:pPr>
              <w:spacing w:before="40"/>
              <w:jc w:val="right"/>
              <w:rPr>
                <w:sz w:val="20"/>
              </w:rPr>
            </w:pPr>
            <w:r>
              <w:rPr>
                <w:sz w:val="20"/>
              </w:rPr>
              <w:t>11,876</w:t>
            </w:r>
          </w:p>
        </w:tc>
        <w:tc>
          <w:tcPr>
            <w:tcW w:w="1285" w:type="dxa"/>
            <w:shd w:val="clear" w:color="auto" w:fill="auto"/>
            <w:noWrap/>
            <w:vAlign w:val="bottom"/>
          </w:tcPr>
          <w:p w14:paraId="396DC915" w14:textId="407631AB" w:rsidR="00DC271E" w:rsidRPr="00591E5A" w:rsidRDefault="00DC271E" w:rsidP="00DC271E">
            <w:pPr>
              <w:spacing w:before="40"/>
              <w:jc w:val="right"/>
              <w:rPr>
                <w:sz w:val="20"/>
              </w:rPr>
            </w:pPr>
            <w:r>
              <w:rPr>
                <w:sz w:val="20"/>
              </w:rPr>
              <w:t>11,651</w:t>
            </w:r>
          </w:p>
        </w:tc>
      </w:tr>
      <w:tr w:rsidR="00DC271E" w:rsidRPr="00E947A1" w14:paraId="77D5F8AB" w14:textId="77777777" w:rsidTr="005101BC">
        <w:trPr>
          <w:gridAfter w:val="1"/>
          <w:wAfter w:w="21" w:type="dxa"/>
          <w:trHeight w:val="255"/>
        </w:trPr>
        <w:tc>
          <w:tcPr>
            <w:tcW w:w="4139" w:type="dxa"/>
            <w:shd w:val="clear" w:color="auto" w:fill="auto"/>
            <w:noWrap/>
            <w:vAlign w:val="bottom"/>
            <w:hideMark/>
          </w:tcPr>
          <w:p w14:paraId="6CA232C7" w14:textId="177F24EB" w:rsidR="00DC271E" w:rsidRPr="00E947A1" w:rsidRDefault="00DC271E" w:rsidP="00DC271E">
            <w:pPr>
              <w:spacing w:before="40"/>
              <w:rPr>
                <w:sz w:val="20"/>
                <w:lang w:bidi="he-IL"/>
              </w:rPr>
            </w:pPr>
            <w:r w:rsidRPr="00E947A1">
              <w:rPr>
                <w:color w:val="000000"/>
                <w:sz w:val="20"/>
              </w:rPr>
              <w:t>Loan from related parties</w:t>
            </w:r>
            <w:r w:rsidRPr="00E947A1">
              <w:rPr>
                <w:sz w:val="20"/>
              </w:rPr>
              <w:t xml:space="preserve"> (1)</w:t>
            </w:r>
            <w:r w:rsidRPr="00E947A1">
              <w:rPr>
                <w:sz w:val="20"/>
                <w:lang w:bidi="he-IL"/>
              </w:rPr>
              <w:t xml:space="preserve"> </w:t>
            </w:r>
          </w:p>
        </w:tc>
        <w:tc>
          <w:tcPr>
            <w:tcW w:w="1168" w:type="dxa"/>
            <w:shd w:val="clear" w:color="auto" w:fill="auto"/>
            <w:noWrap/>
            <w:vAlign w:val="bottom"/>
            <w:hideMark/>
          </w:tcPr>
          <w:p w14:paraId="2582FAD9" w14:textId="77777777" w:rsidR="00DC271E" w:rsidRPr="00853403" w:rsidRDefault="00DC271E" w:rsidP="00DC271E">
            <w:pPr>
              <w:spacing w:before="40"/>
              <w:rPr>
                <w:sz w:val="20"/>
              </w:rPr>
            </w:pPr>
            <w:r w:rsidRPr="00853403">
              <w:rPr>
                <w:color w:val="000000"/>
                <w:sz w:val="20"/>
              </w:rPr>
              <w:t>Euro</w:t>
            </w:r>
          </w:p>
        </w:tc>
        <w:tc>
          <w:tcPr>
            <w:tcW w:w="2268" w:type="dxa"/>
            <w:shd w:val="clear" w:color="auto" w:fill="auto"/>
            <w:noWrap/>
            <w:vAlign w:val="bottom"/>
            <w:hideMark/>
          </w:tcPr>
          <w:p w14:paraId="2CDE28BB" w14:textId="3FBF8467" w:rsidR="00DC271E" w:rsidRPr="007A4F1A" w:rsidRDefault="00DC271E" w:rsidP="00DC271E">
            <w:pPr>
              <w:spacing w:before="40"/>
              <w:rPr>
                <w:sz w:val="20"/>
              </w:rPr>
            </w:pPr>
            <w:r w:rsidRPr="007A4F1A">
              <w:rPr>
                <w:color w:val="000000"/>
                <w:sz w:val="20"/>
              </w:rPr>
              <w:t>3M Euribor+2%</w:t>
            </w:r>
          </w:p>
        </w:tc>
        <w:tc>
          <w:tcPr>
            <w:tcW w:w="1487" w:type="dxa"/>
            <w:shd w:val="clear" w:color="auto" w:fill="auto"/>
            <w:noWrap/>
            <w:vAlign w:val="bottom"/>
            <w:hideMark/>
          </w:tcPr>
          <w:p w14:paraId="61CD55DD" w14:textId="34EDC66F" w:rsidR="00DC271E" w:rsidRPr="007A4F1A" w:rsidRDefault="00DC271E" w:rsidP="00DC271E">
            <w:pPr>
              <w:spacing w:before="40"/>
              <w:rPr>
                <w:sz w:val="20"/>
              </w:rPr>
            </w:pPr>
            <w:r w:rsidRPr="007A4F1A">
              <w:rPr>
                <w:color w:val="000000"/>
                <w:sz w:val="20"/>
              </w:rPr>
              <w:t>2030</w:t>
            </w:r>
          </w:p>
        </w:tc>
        <w:tc>
          <w:tcPr>
            <w:tcW w:w="1313" w:type="dxa"/>
            <w:shd w:val="clear" w:color="auto" w:fill="auto"/>
            <w:noWrap/>
            <w:vAlign w:val="bottom"/>
          </w:tcPr>
          <w:p w14:paraId="1D63E783" w14:textId="3E99EC39" w:rsidR="00DC271E" w:rsidRPr="00DC271E" w:rsidRDefault="00DC271E" w:rsidP="00DC271E">
            <w:pPr>
              <w:spacing w:before="40"/>
              <w:jc w:val="right"/>
              <w:rPr>
                <w:sz w:val="20"/>
                <w:highlight w:val="yellow"/>
                <w:lang w:bidi="he-IL"/>
              </w:rPr>
            </w:pPr>
            <w:r w:rsidRPr="00DC271E">
              <w:rPr>
                <w:sz w:val="20"/>
              </w:rPr>
              <w:t>1,050,57</w:t>
            </w:r>
            <w:r w:rsidR="00A60FD7">
              <w:rPr>
                <w:rFonts w:hint="cs"/>
                <w:sz w:val="20"/>
                <w:rtl/>
                <w:lang w:bidi="he-IL"/>
              </w:rPr>
              <w:t>0</w:t>
            </w:r>
          </w:p>
        </w:tc>
        <w:tc>
          <w:tcPr>
            <w:tcW w:w="1285" w:type="dxa"/>
            <w:shd w:val="clear" w:color="auto" w:fill="auto"/>
            <w:noWrap/>
            <w:vAlign w:val="bottom"/>
          </w:tcPr>
          <w:p w14:paraId="1CB55978" w14:textId="7A996644" w:rsidR="00DC271E" w:rsidRPr="00DC271E" w:rsidRDefault="00DC271E" w:rsidP="00DC271E">
            <w:pPr>
              <w:spacing w:before="40"/>
              <w:jc w:val="right"/>
              <w:rPr>
                <w:sz w:val="20"/>
                <w:highlight w:val="yellow"/>
                <w:lang w:bidi="he-IL"/>
              </w:rPr>
            </w:pPr>
            <w:r w:rsidRPr="00DC271E">
              <w:rPr>
                <w:sz w:val="20"/>
              </w:rPr>
              <w:t>1,050,57</w:t>
            </w:r>
            <w:r w:rsidR="00A60FD7">
              <w:rPr>
                <w:rFonts w:hint="cs"/>
                <w:sz w:val="20"/>
                <w:rtl/>
                <w:lang w:bidi="he-IL"/>
              </w:rPr>
              <w:t>0</w:t>
            </w:r>
          </w:p>
        </w:tc>
        <w:tc>
          <w:tcPr>
            <w:tcW w:w="1284" w:type="dxa"/>
            <w:gridSpan w:val="2"/>
            <w:shd w:val="clear" w:color="auto" w:fill="auto"/>
            <w:noWrap/>
            <w:vAlign w:val="bottom"/>
          </w:tcPr>
          <w:p w14:paraId="74361201" w14:textId="1DB34AAD" w:rsidR="00DC271E" w:rsidRPr="00591E5A" w:rsidRDefault="00DC271E" w:rsidP="00DC271E">
            <w:pPr>
              <w:spacing w:before="40"/>
              <w:jc w:val="right"/>
              <w:rPr>
                <w:sz w:val="20"/>
              </w:rPr>
            </w:pPr>
            <w:r>
              <w:rPr>
                <w:sz w:val="20"/>
              </w:rPr>
              <w:t>837,019</w:t>
            </w:r>
          </w:p>
        </w:tc>
        <w:tc>
          <w:tcPr>
            <w:tcW w:w="1285" w:type="dxa"/>
            <w:shd w:val="clear" w:color="auto" w:fill="auto"/>
            <w:noWrap/>
            <w:vAlign w:val="bottom"/>
          </w:tcPr>
          <w:p w14:paraId="595DA028" w14:textId="1D814B33" w:rsidR="00DC271E" w:rsidRPr="00591E5A" w:rsidRDefault="00DC271E" w:rsidP="00DC271E">
            <w:pPr>
              <w:spacing w:before="40"/>
              <w:jc w:val="right"/>
              <w:rPr>
                <w:sz w:val="20"/>
              </w:rPr>
            </w:pPr>
            <w:r>
              <w:rPr>
                <w:sz w:val="20"/>
              </w:rPr>
              <w:t>837,019</w:t>
            </w:r>
          </w:p>
        </w:tc>
      </w:tr>
      <w:tr w:rsidR="00DC271E" w:rsidRPr="00E947A1" w14:paraId="4744ACCB" w14:textId="77777777" w:rsidTr="005101BC">
        <w:trPr>
          <w:gridAfter w:val="1"/>
          <w:wAfter w:w="21" w:type="dxa"/>
          <w:trHeight w:val="255"/>
        </w:trPr>
        <w:tc>
          <w:tcPr>
            <w:tcW w:w="4139" w:type="dxa"/>
            <w:shd w:val="clear" w:color="auto" w:fill="auto"/>
            <w:noWrap/>
            <w:vAlign w:val="bottom"/>
          </w:tcPr>
          <w:p w14:paraId="1067056E" w14:textId="61D6AE0C" w:rsidR="00DC271E" w:rsidRPr="00E947A1" w:rsidRDefault="00DC271E" w:rsidP="00DC271E">
            <w:pPr>
              <w:spacing w:before="40"/>
              <w:rPr>
                <w:color w:val="000000"/>
                <w:sz w:val="20"/>
              </w:rPr>
            </w:pPr>
            <w:r w:rsidRPr="00E947A1">
              <w:rPr>
                <w:color w:val="000000"/>
                <w:sz w:val="20"/>
              </w:rPr>
              <w:t>Loan from related parties</w:t>
            </w:r>
            <w:r w:rsidRPr="00E947A1">
              <w:rPr>
                <w:sz w:val="20"/>
              </w:rPr>
              <w:t xml:space="preserve"> (</w:t>
            </w:r>
            <w:r>
              <w:rPr>
                <w:sz w:val="20"/>
              </w:rPr>
              <w:t>2</w:t>
            </w:r>
            <w:r w:rsidRPr="00E947A1">
              <w:rPr>
                <w:sz w:val="20"/>
              </w:rPr>
              <w:t>)</w:t>
            </w:r>
            <w:r w:rsidRPr="00E947A1">
              <w:rPr>
                <w:sz w:val="20"/>
                <w:lang w:bidi="he-IL"/>
              </w:rPr>
              <w:t xml:space="preserve"> </w:t>
            </w:r>
          </w:p>
        </w:tc>
        <w:tc>
          <w:tcPr>
            <w:tcW w:w="1168" w:type="dxa"/>
            <w:shd w:val="clear" w:color="auto" w:fill="auto"/>
            <w:noWrap/>
            <w:vAlign w:val="bottom"/>
          </w:tcPr>
          <w:p w14:paraId="5B480E26" w14:textId="433F6673" w:rsidR="00DC271E" w:rsidRPr="00853403" w:rsidRDefault="00DC271E" w:rsidP="00DC271E">
            <w:pPr>
              <w:spacing w:before="40"/>
              <w:rPr>
                <w:color w:val="000000"/>
                <w:sz w:val="20"/>
              </w:rPr>
            </w:pPr>
            <w:r w:rsidRPr="00853403">
              <w:rPr>
                <w:color w:val="000000"/>
                <w:sz w:val="20"/>
              </w:rPr>
              <w:t>Euro</w:t>
            </w:r>
          </w:p>
        </w:tc>
        <w:tc>
          <w:tcPr>
            <w:tcW w:w="2268" w:type="dxa"/>
            <w:shd w:val="clear" w:color="auto" w:fill="auto"/>
            <w:noWrap/>
            <w:vAlign w:val="bottom"/>
          </w:tcPr>
          <w:p w14:paraId="7653A2B1" w14:textId="36905DD9" w:rsidR="00DC271E" w:rsidRPr="007A4F1A" w:rsidRDefault="00DC271E" w:rsidP="00DC271E">
            <w:pPr>
              <w:spacing w:before="40"/>
              <w:rPr>
                <w:color w:val="000000"/>
                <w:sz w:val="20"/>
              </w:rPr>
            </w:pPr>
            <w:r w:rsidRPr="007A4F1A">
              <w:rPr>
                <w:color w:val="000000"/>
                <w:sz w:val="20"/>
              </w:rPr>
              <w:t>2.985%</w:t>
            </w:r>
          </w:p>
        </w:tc>
        <w:tc>
          <w:tcPr>
            <w:tcW w:w="1487" w:type="dxa"/>
            <w:shd w:val="clear" w:color="auto" w:fill="auto"/>
            <w:noWrap/>
            <w:vAlign w:val="bottom"/>
          </w:tcPr>
          <w:p w14:paraId="019546CF" w14:textId="0552C644" w:rsidR="00DC271E" w:rsidRPr="007A4F1A" w:rsidRDefault="00DC271E" w:rsidP="00DC271E">
            <w:pPr>
              <w:spacing w:before="40"/>
              <w:rPr>
                <w:color w:val="000000"/>
                <w:sz w:val="20"/>
              </w:rPr>
            </w:pPr>
            <w:r w:rsidRPr="007A4F1A">
              <w:rPr>
                <w:color w:val="000000"/>
                <w:sz w:val="20"/>
              </w:rPr>
              <w:t>2027</w:t>
            </w:r>
          </w:p>
        </w:tc>
        <w:tc>
          <w:tcPr>
            <w:tcW w:w="1313" w:type="dxa"/>
            <w:shd w:val="clear" w:color="auto" w:fill="auto"/>
            <w:noWrap/>
            <w:vAlign w:val="bottom"/>
          </w:tcPr>
          <w:p w14:paraId="56CA12E5" w14:textId="162E30E3" w:rsidR="00DC271E" w:rsidRPr="00DC271E" w:rsidRDefault="00DC271E" w:rsidP="00DC271E">
            <w:pPr>
              <w:spacing w:before="40"/>
              <w:jc w:val="right"/>
              <w:rPr>
                <w:sz w:val="20"/>
                <w:highlight w:val="yellow"/>
              </w:rPr>
            </w:pPr>
            <w:r w:rsidRPr="00DC271E">
              <w:rPr>
                <w:sz w:val="20"/>
              </w:rPr>
              <w:t>112,163</w:t>
            </w:r>
          </w:p>
        </w:tc>
        <w:tc>
          <w:tcPr>
            <w:tcW w:w="1285" w:type="dxa"/>
            <w:shd w:val="clear" w:color="auto" w:fill="auto"/>
            <w:noWrap/>
            <w:vAlign w:val="bottom"/>
          </w:tcPr>
          <w:p w14:paraId="2143AEAA" w14:textId="3CC248D6" w:rsidR="00DC271E" w:rsidRPr="00DC271E" w:rsidRDefault="00DC271E" w:rsidP="00DC271E">
            <w:pPr>
              <w:spacing w:before="40"/>
              <w:jc w:val="right"/>
              <w:rPr>
                <w:sz w:val="20"/>
                <w:highlight w:val="yellow"/>
              </w:rPr>
            </w:pPr>
            <w:r w:rsidRPr="00DC271E">
              <w:rPr>
                <w:sz w:val="20"/>
              </w:rPr>
              <w:t>112,163</w:t>
            </w:r>
          </w:p>
        </w:tc>
        <w:tc>
          <w:tcPr>
            <w:tcW w:w="1284" w:type="dxa"/>
            <w:gridSpan w:val="2"/>
            <w:shd w:val="clear" w:color="auto" w:fill="auto"/>
            <w:noWrap/>
            <w:vAlign w:val="bottom"/>
          </w:tcPr>
          <w:p w14:paraId="3C907C09" w14:textId="0DD38278" w:rsidR="00DC271E" w:rsidRPr="00591E5A" w:rsidRDefault="00DC271E" w:rsidP="00DC271E">
            <w:pPr>
              <w:spacing w:before="40"/>
              <w:jc w:val="right"/>
              <w:rPr>
                <w:sz w:val="20"/>
              </w:rPr>
            </w:pPr>
            <w:r>
              <w:rPr>
                <w:sz w:val="20"/>
              </w:rPr>
              <w:t>117,393</w:t>
            </w:r>
          </w:p>
        </w:tc>
        <w:tc>
          <w:tcPr>
            <w:tcW w:w="1285" w:type="dxa"/>
            <w:shd w:val="clear" w:color="auto" w:fill="auto"/>
            <w:noWrap/>
            <w:vAlign w:val="bottom"/>
          </w:tcPr>
          <w:p w14:paraId="0DF33BAA" w14:textId="028AD11B" w:rsidR="00DC271E" w:rsidRPr="00591E5A" w:rsidRDefault="00DC271E" w:rsidP="00DC271E">
            <w:pPr>
              <w:spacing w:before="40"/>
              <w:jc w:val="right"/>
              <w:rPr>
                <w:sz w:val="20"/>
              </w:rPr>
            </w:pPr>
            <w:r>
              <w:rPr>
                <w:sz w:val="20"/>
              </w:rPr>
              <w:t>117,393</w:t>
            </w:r>
          </w:p>
        </w:tc>
      </w:tr>
      <w:tr w:rsidR="00DC271E" w:rsidRPr="00E947A1" w14:paraId="7CFA4E8C" w14:textId="77777777" w:rsidTr="005101BC">
        <w:trPr>
          <w:gridAfter w:val="1"/>
          <w:wAfter w:w="21" w:type="dxa"/>
          <w:trHeight w:val="255"/>
        </w:trPr>
        <w:tc>
          <w:tcPr>
            <w:tcW w:w="4139" w:type="dxa"/>
            <w:shd w:val="clear" w:color="auto" w:fill="auto"/>
            <w:noWrap/>
            <w:vAlign w:val="bottom"/>
            <w:hideMark/>
          </w:tcPr>
          <w:p w14:paraId="66B1A5AA" w14:textId="77777777" w:rsidR="00DC271E" w:rsidRPr="00E947A1" w:rsidRDefault="00DC271E" w:rsidP="00DC271E">
            <w:pPr>
              <w:spacing w:before="40"/>
              <w:rPr>
                <w:sz w:val="20"/>
              </w:rPr>
            </w:pPr>
            <w:r w:rsidRPr="00E947A1">
              <w:rPr>
                <w:color w:val="000000"/>
                <w:sz w:val="20"/>
              </w:rPr>
              <w:t>Loan from Joint Venture partners</w:t>
            </w:r>
          </w:p>
        </w:tc>
        <w:tc>
          <w:tcPr>
            <w:tcW w:w="1168" w:type="dxa"/>
            <w:shd w:val="clear" w:color="auto" w:fill="auto"/>
            <w:noWrap/>
            <w:vAlign w:val="bottom"/>
            <w:hideMark/>
          </w:tcPr>
          <w:p w14:paraId="482D5A2D" w14:textId="77777777" w:rsidR="00DC271E" w:rsidRPr="00853403" w:rsidRDefault="00DC271E" w:rsidP="00DC271E">
            <w:pPr>
              <w:spacing w:before="40"/>
              <w:rPr>
                <w:sz w:val="20"/>
              </w:rPr>
            </w:pPr>
            <w:r w:rsidRPr="00853403">
              <w:rPr>
                <w:color w:val="000000"/>
                <w:sz w:val="20"/>
              </w:rPr>
              <w:t>Euro</w:t>
            </w:r>
          </w:p>
        </w:tc>
        <w:tc>
          <w:tcPr>
            <w:tcW w:w="2268" w:type="dxa"/>
            <w:shd w:val="clear" w:color="auto" w:fill="auto"/>
            <w:noWrap/>
            <w:vAlign w:val="bottom"/>
            <w:hideMark/>
          </w:tcPr>
          <w:p w14:paraId="0EE94E03" w14:textId="66279940" w:rsidR="00DC271E" w:rsidRPr="007A4F1A" w:rsidRDefault="00DC271E" w:rsidP="00DC271E">
            <w:pPr>
              <w:spacing w:before="40"/>
              <w:rPr>
                <w:sz w:val="20"/>
              </w:rPr>
            </w:pPr>
            <w:r w:rsidRPr="007A4F1A">
              <w:rPr>
                <w:color w:val="000000"/>
                <w:sz w:val="20"/>
              </w:rPr>
              <w:t>3M Euribor+2</w:t>
            </w:r>
            <w:r w:rsidRPr="007A4F1A">
              <w:rPr>
                <w:sz w:val="20"/>
              </w:rPr>
              <w:t xml:space="preserve">% </w:t>
            </w:r>
          </w:p>
        </w:tc>
        <w:tc>
          <w:tcPr>
            <w:tcW w:w="1487" w:type="dxa"/>
            <w:shd w:val="clear" w:color="auto" w:fill="auto"/>
            <w:noWrap/>
            <w:vAlign w:val="bottom"/>
            <w:hideMark/>
          </w:tcPr>
          <w:p w14:paraId="27627E84" w14:textId="61B00C1A" w:rsidR="00DC271E" w:rsidRPr="007A4F1A" w:rsidRDefault="00DC271E" w:rsidP="00DC271E">
            <w:pPr>
              <w:spacing w:before="40"/>
              <w:rPr>
                <w:sz w:val="20"/>
              </w:rPr>
            </w:pPr>
            <w:r w:rsidRPr="007A4F1A">
              <w:rPr>
                <w:color w:val="000000"/>
                <w:sz w:val="20"/>
              </w:rPr>
              <w:t>2026</w:t>
            </w:r>
          </w:p>
        </w:tc>
        <w:tc>
          <w:tcPr>
            <w:tcW w:w="1313" w:type="dxa"/>
            <w:shd w:val="clear" w:color="auto" w:fill="auto"/>
            <w:noWrap/>
            <w:vAlign w:val="bottom"/>
          </w:tcPr>
          <w:p w14:paraId="089C54FD" w14:textId="01C3E466" w:rsidR="00DC271E" w:rsidRPr="00DC271E" w:rsidRDefault="00DC271E" w:rsidP="00DC271E">
            <w:pPr>
              <w:spacing w:before="40"/>
              <w:jc w:val="right"/>
              <w:rPr>
                <w:sz w:val="20"/>
              </w:rPr>
            </w:pPr>
            <w:r w:rsidRPr="00DC271E">
              <w:rPr>
                <w:sz w:val="20"/>
              </w:rPr>
              <w:t>848</w:t>
            </w:r>
          </w:p>
        </w:tc>
        <w:tc>
          <w:tcPr>
            <w:tcW w:w="1285" w:type="dxa"/>
            <w:shd w:val="clear" w:color="auto" w:fill="auto"/>
            <w:noWrap/>
            <w:vAlign w:val="bottom"/>
          </w:tcPr>
          <w:p w14:paraId="707528E0" w14:textId="39DE62B1" w:rsidR="00DC271E" w:rsidRPr="00DC271E" w:rsidRDefault="00DC271E" w:rsidP="00DC271E">
            <w:pPr>
              <w:spacing w:before="40"/>
              <w:jc w:val="right"/>
              <w:rPr>
                <w:sz w:val="20"/>
              </w:rPr>
            </w:pPr>
            <w:r w:rsidRPr="00DC271E">
              <w:rPr>
                <w:sz w:val="20"/>
              </w:rPr>
              <w:t>848</w:t>
            </w:r>
          </w:p>
        </w:tc>
        <w:tc>
          <w:tcPr>
            <w:tcW w:w="1284" w:type="dxa"/>
            <w:gridSpan w:val="2"/>
            <w:shd w:val="clear" w:color="auto" w:fill="auto"/>
            <w:noWrap/>
            <w:vAlign w:val="bottom"/>
          </w:tcPr>
          <w:p w14:paraId="59AE17B4" w14:textId="542EBC96" w:rsidR="00DC271E" w:rsidRPr="00591E5A" w:rsidRDefault="00DC271E" w:rsidP="00DC271E">
            <w:pPr>
              <w:spacing w:before="40"/>
              <w:jc w:val="right"/>
              <w:rPr>
                <w:sz w:val="20"/>
              </w:rPr>
            </w:pPr>
            <w:r>
              <w:rPr>
                <w:sz w:val="20"/>
              </w:rPr>
              <w:t>800</w:t>
            </w:r>
          </w:p>
        </w:tc>
        <w:tc>
          <w:tcPr>
            <w:tcW w:w="1285" w:type="dxa"/>
            <w:shd w:val="clear" w:color="auto" w:fill="auto"/>
            <w:noWrap/>
            <w:vAlign w:val="bottom"/>
          </w:tcPr>
          <w:p w14:paraId="06D037D3" w14:textId="11ED79AD" w:rsidR="00DC271E" w:rsidRPr="00591E5A" w:rsidRDefault="00DC271E" w:rsidP="00DC271E">
            <w:pPr>
              <w:spacing w:before="40"/>
              <w:jc w:val="right"/>
              <w:rPr>
                <w:sz w:val="20"/>
              </w:rPr>
            </w:pPr>
            <w:r>
              <w:rPr>
                <w:sz w:val="20"/>
              </w:rPr>
              <w:t>800</w:t>
            </w:r>
          </w:p>
        </w:tc>
      </w:tr>
      <w:tr w:rsidR="00DC271E" w:rsidRPr="00E947A1" w14:paraId="22457A7A" w14:textId="77777777" w:rsidTr="005101BC">
        <w:trPr>
          <w:gridAfter w:val="1"/>
          <w:wAfter w:w="21" w:type="dxa"/>
          <w:trHeight w:val="255"/>
        </w:trPr>
        <w:tc>
          <w:tcPr>
            <w:tcW w:w="4139" w:type="dxa"/>
            <w:shd w:val="clear" w:color="auto" w:fill="auto"/>
            <w:noWrap/>
            <w:vAlign w:val="bottom"/>
          </w:tcPr>
          <w:p w14:paraId="36AB5EF1" w14:textId="013A962A" w:rsidR="00DC271E" w:rsidRPr="00E947A1" w:rsidRDefault="00DC271E" w:rsidP="00DC271E">
            <w:pPr>
              <w:spacing w:before="40"/>
              <w:rPr>
                <w:color w:val="000000"/>
                <w:sz w:val="20"/>
              </w:rPr>
            </w:pPr>
            <w:r w:rsidRPr="00802FAD">
              <w:rPr>
                <w:color w:val="000000"/>
                <w:sz w:val="20"/>
              </w:rPr>
              <w:t>Corporate bank loan</w:t>
            </w:r>
          </w:p>
        </w:tc>
        <w:tc>
          <w:tcPr>
            <w:tcW w:w="1168" w:type="dxa"/>
            <w:shd w:val="clear" w:color="auto" w:fill="auto"/>
            <w:noWrap/>
            <w:vAlign w:val="bottom"/>
          </w:tcPr>
          <w:p w14:paraId="67660AE1" w14:textId="7F4C7B3E" w:rsidR="00DC271E" w:rsidRPr="00853403" w:rsidRDefault="00DC271E" w:rsidP="00DC271E">
            <w:pPr>
              <w:spacing w:before="40"/>
              <w:rPr>
                <w:color w:val="000000"/>
                <w:sz w:val="20"/>
              </w:rPr>
            </w:pPr>
            <w:r>
              <w:rPr>
                <w:color w:val="000000"/>
                <w:sz w:val="20"/>
              </w:rPr>
              <w:t>ILS</w:t>
            </w:r>
          </w:p>
        </w:tc>
        <w:tc>
          <w:tcPr>
            <w:tcW w:w="2268" w:type="dxa"/>
            <w:shd w:val="clear" w:color="auto" w:fill="auto"/>
            <w:noWrap/>
            <w:vAlign w:val="bottom"/>
          </w:tcPr>
          <w:p w14:paraId="50BC56F1" w14:textId="3B05D0C4" w:rsidR="00DC271E" w:rsidRPr="007A4F1A" w:rsidRDefault="00DC271E" w:rsidP="00DC271E">
            <w:pPr>
              <w:spacing w:before="40"/>
              <w:rPr>
                <w:color w:val="000000"/>
                <w:sz w:val="20"/>
              </w:rPr>
            </w:pPr>
            <w:r w:rsidRPr="007A4F1A">
              <w:rPr>
                <w:color w:val="000000"/>
                <w:sz w:val="20"/>
              </w:rPr>
              <w:t>4.82%</w:t>
            </w:r>
          </w:p>
        </w:tc>
        <w:tc>
          <w:tcPr>
            <w:tcW w:w="1487" w:type="dxa"/>
            <w:shd w:val="clear" w:color="auto" w:fill="auto"/>
            <w:noWrap/>
            <w:vAlign w:val="bottom"/>
          </w:tcPr>
          <w:p w14:paraId="64604965" w14:textId="078B0337" w:rsidR="00DC271E" w:rsidRPr="007A4F1A" w:rsidRDefault="00DC271E" w:rsidP="00DC271E">
            <w:pPr>
              <w:spacing w:before="40"/>
              <w:rPr>
                <w:color w:val="000000"/>
                <w:sz w:val="20"/>
              </w:rPr>
            </w:pPr>
            <w:r w:rsidRPr="007A4F1A">
              <w:rPr>
                <w:color w:val="000000"/>
                <w:sz w:val="20"/>
              </w:rPr>
              <w:t>2027</w:t>
            </w:r>
          </w:p>
        </w:tc>
        <w:tc>
          <w:tcPr>
            <w:tcW w:w="1313" w:type="dxa"/>
            <w:shd w:val="clear" w:color="auto" w:fill="auto"/>
            <w:noWrap/>
            <w:vAlign w:val="bottom"/>
          </w:tcPr>
          <w:p w14:paraId="5CEC8C78" w14:textId="0E1BF72A" w:rsidR="00DC271E" w:rsidRPr="00DC271E" w:rsidRDefault="00DC271E" w:rsidP="00DC271E">
            <w:pPr>
              <w:spacing w:before="40"/>
              <w:jc w:val="right"/>
              <w:rPr>
                <w:sz w:val="20"/>
              </w:rPr>
            </w:pPr>
            <w:r w:rsidRPr="00DC271E">
              <w:rPr>
                <w:sz w:val="20"/>
              </w:rPr>
              <w:t>88,513</w:t>
            </w:r>
          </w:p>
        </w:tc>
        <w:tc>
          <w:tcPr>
            <w:tcW w:w="1285" w:type="dxa"/>
            <w:shd w:val="clear" w:color="auto" w:fill="auto"/>
            <w:noWrap/>
            <w:vAlign w:val="bottom"/>
          </w:tcPr>
          <w:p w14:paraId="79D5BD31" w14:textId="4740D9E1" w:rsidR="00DC271E" w:rsidRPr="00DC271E" w:rsidRDefault="00DC271E" w:rsidP="00DC271E">
            <w:pPr>
              <w:spacing w:before="40"/>
              <w:jc w:val="right"/>
              <w:rPr>
                <w:sz w:val="20"/>
              </w:rPr>
            </w:pPr>
            <w:r w:rsidRPr="00DC271E">
              <w:rPr>
                <w:sz w:val="20"/>
              </w:rPr>
              <w:t>88,126</w:t>
            </w:r>
          </w:p>
        </w:tc>
        <w:tc>
          <w:tcPr>
            <w:tcW w:w="1284" w:type="dxa"/>
            <w:gridSpan w:val="2"/>
            <w:shd w:val="clear" w:color="auto" w:fill="auto"/>
            <w:noWrap/>
            <w:vAlign w:val="bottom"/>
          </w:tcPr>
          <w:p w14:paraId="17C80CB2" w14:textId="61F7D3D2" w:rsidR="00DC271E" w:rsidRPr="00ED24D3" w:rsidRDefault="00DC271E" w:rsidP="00DC271E">
            <w:pPr>
              <w:spacing w:before="40"/>
              <w:jc w:val="right"/>
              <w:rPr>
                <w:sz w:val="20"/>
              </w:rPr>
            </w:pPr>
            <w:r>
              <w:rPr>
                <w:sz w:val="20"/>
              </w:rPr>
              <w:t>93,072</w:t>
            </w:r>
          </w:p>
        </w:tc>
        <w:tc>
          <w:tcPr>
            <w:tcW w:w="1285" w:type="dxa"/>
            <w:shd w:val="clear" w:color="auto" w:fill="auto"/>
            <w:noWrap/>
            <w:vAlign w:val="bottom"/>
          </w:tcPr>
          <w:p w14:paraId="709BC0EF" w14:textId="60BB55BE" w:rsidR="00DC271E" w:rsidRPr="00ED24D3" w:rsidRDefault="00DC271E" w:rsidP="00DC271E">
            <w:pPr>
              <w:spacing w:before="40"/>
              <w:jc w:val="right"/>
              <w:rPr>
                <w:sz w:val="20"/>
              </w:rPr>
            </w:pPr>
            <w:r>
              <w:rPr>
                <w:sz w:val="20"/>
              </w:rPr>
              <w:t>92,530</w:t>
            </w:r>
          </w:p>
        </w:tc>
      </w:tr>
      <w:tr w:rsidR="001C15AD" w:rsidRPr="00E947A1" w14:paraId="50582FEB" w14:textId="77777777" w:rsidTr="005101BC">
        <w:trPr>
          <w:gridAfter w:val="1"/>
          <w:wAfter w:w="21" w:type="dxa"/>
          <w:trHeight w:val="255"/>
        </w:trPr>
        <w:tc>
          <w:tcPr>
            <w:tcW w:w="4139" w:type="dxa"/>
            <w:shd w:val="clear" w:color="auto" w:fill="auto"/>
            <w:noWrap/>
            <w:vAlign w:val="bottom"/>
            <w:hideMark/>
          </w:tcPr>
          <w:p w14:paraId="0D12DF97" w14:textId="77777777" w:rsidR="001C15AD" w:rsidRPr="00E947A1" w:rsidRDefault="001C15AD" w:rsidP="001C15AD">
            <w:pPr>
              <w:spacing w:before="40"/>
              <w:rPr>
                <w:sz w:val="20"/>
              </w:rPr>
            </w:pPr>
            <w:r w:rsidRPr="00E947A1">
              <w:rPr>
                <w:color w:val="000000"/>
                <w:sz w:val="20"/>
              </w:rPr>
              <w:t>Current maturity</w:t>
            </w:r>
          </w:p>
        </w:tc>
        <w:tc>
          <w:tcPr>
            <w:tcW w:w="1168" w:type="dxa"/>
            <w:shd w:val="clear" w:color="auto" w:fill="auto"/>
            <w:noWrap/>
            <w:vAlign w:val="bottom"/>
            <w:hideMark/>
          </w:tcPr>
          <w:p w14:paraId="281859BB" w14:textId="77777777" w:rsidR="001C15AD" w:rsidRPr="00853403" w:rsidRDefault="001C15AD" w:rsidP="001C15AD">
            <w:pPr>
              <w:spacing w:before="40"/>
              <w:rPr>
                <w:rFonts w:ascii="Arial" w:eastAsia="Arial" w:hAnsi="Arial" w:cs="Arial"/>
                <w:sz w:val="20"/>
              </w:rPr>
            </w:pPr>
          </w:p>
        </w:tc>
        <w:tc>
          <w:tcPr>
            <w:tcW w:w="2268" w:type="dxa"/>
            <w:shd w:val="clear" w:color="auto" w:fill="auto"/>
            <w:noWrap/>
            <w:vAlign w:val="bottom"/>
            <w:hideMark/>
          </w:tcPr>
          <w:p w14:paraId="49372569" w14:textId="77777777" w:rsidR="001C15AD" w:rsidRPr="00440C55" w:rsidRDefault="001C15AD" w:rsidP="001C15AD">
            <w:pPr>
              <w:spacing w:before="40"/>
              <w:rPr>
                <w:rFonts w:ascii="Arial" w:eastAsia="Arial" w:hAnsi="Arial" w:cs="Arial"/>
                <w:sz w:val="20"/>
                <w:highlight w:val="yellow"/>
              </w:rPr>
            </w:pPr>
          </w:p>
        </w:tc>
        <w:tc>
          <w:tcPr>
            <w:tcW w:w="1487" w:type="dxa"/>
            <w:shd w:val="clear" w:color="auto" w:fill="auto"/>
            <w:noWrap/>
            <w:vAlign w:val="bottom"/>
            <w:hideMark/>
          </w:tcPr>
          <w:p w14:paraId="63A31C1D" w14:textId="77777777" w:rsidR="001C15AD" w:rsidRPr="00440C55" w:rsidRDefault="001C15AD" w:rsidP="001C15AD">
            <w:pPr>
              <w:spacing w:before="40"/>
              <w:rPr>
                <w:rFonts w:ascii="Arial" w:eastAsia="Arial" w:hAnsi="Arial" w:cs="Arial"/>
                <w:sz w:val="20"/>
                <w:highlight w:val="yellow"/>
              </w:rPr>
            </w:pPr>
          </w:p>
        </w:tc>
        <w:tc>
          <w:tcPr>
            <w:tcW w:w="1313" w:type="dxa"/>
            <w:shd w:val="clear" w:color="auto" w:fill="auto"/>
            <w:noWrap/>
            <w:vAlign w:val="bottom"/>
          </w:tcPr>
          <w:p w14:paraId="037A5EC1" w14:textId="7465F0DE" w:rsidR="001C15AD" w:rsidRPr="001C15AD" w:rsidRDefault="001C15AD" w:rsidP="001C15AD">
            <w:pPr>
              <w:pBdr>
                <w:bottom w:val="single" w:sz="4" w:space="0" w:color="000000"/>
              </w:pBdr>
              <w:spacing w:before="40"/>
              <w:jc w:val="right"/>
              <w:rPr>
                <w:sz w:val="20"/>
              </w:rPr>
            </w:pPr>
            <w:r w:rsidRPr="001C15AD">
              <w:rPr>
                <w:sz w:val="20"/>
              </w:rPr>
              <w:t>(311,192)</w:t>
            </w:r>
          </w:p>
        </w:tc>
        <w:tc>
          <w:tcPr>
            <w:tcW w:w="1285" w:type="dxa"/>
            <w:shd w:val="clear" w:color="auto" w:fill="auto"/>
            <w:noWrap/>
            <w:vAlign w:val="bottom"/>
          </w:tcPr>
          <w:p w14:paraId="0891B9E7" w14:textId="05D667F8" w:rsidR="001C15AD" w:rsidRPr="001C15AD" w:rsidRDefault="001C15AD" w:rsidP="001C15AD">
            <w:pPr>
              <w:pBdr>
                <w:bottom w:val="single" w:sz="4" w:space="0" w:color="000000"/>
              </w:pBdr>
              <w:spacing w:before="40"/>
              <w:jc w:val="right"/>
              <w:rPr>
                <w:sz w:val="20"/>
              </w:rPr>
            </w:pPr>
            <w:r w:rsidRPr="001C15AD">
              <w:rPr>
                <w:sz w:val="20"/>
              </w:rPr>
              <w:t>(311,192)</w:t>
            </w:r>
          </w:p>
        </w:tc>
        <w:tc>
          <w:tcPr>
            <w:tcW w:w="1284" w:type="dxa"/>
            <w:gridSpan w:val="2"/>
            <w:shd w:val="clear" w:color="auto" w:fill="auto"/>
            <w:noWrap/>
            <w:vAlign w:val="bottom"/>
          </w:tcPr>
          <w:p w14:paraId="599597B3" w14:textId="471C77FE" w:rsidR="001C15AD" w:rsidRPr="00591E5A" w:rsidRDefault="001C15AD" w:rsidP="001C15AD">
            <w:pPr>
              <w:pBdr>
                <w:bottom w:val="single" w:sz="4" w:space="0" w:color="000000"/>
              </w:pBdr>
              <w:spacing w:before="40"/>
              <w:jc w:val="right"/>
              <w:rPr>
                <w:sz w:val="20"/>
              </w:rPr>
            </w:pPr>
            <w:r>
              <w:rPr>
                <w:sz w:val="20"/>
              </w:rPr>
              <w:t>(74,885)</w:t>
            </w:r>
          </w:p>
        </w:tc>
        <w:tc>
          <w:tcPr>
            <w:tcW w:w="1285" w:type="dxa"/>
            <w:shd w:val="clear" w:color="auto" w:fill="auto"/>
            <w:noWrap/>
            <w:vAlign w:val="bottom"/>
          </w:tcPr>
          <w:p w14:paraId="5AE9A47D" w14:textId="2CA0654C" w:rsidR="001C15AD" w:rsidRPr="00591E5A" w:rsidRDefault="001C15AD" w:rsidP="001C15AD">
            <w:pPr>
              <w:pBdr>
                <w:bottom w:val="single" w:sz="4" w:space="0" w:color="000000"/>
              </w:pBdr>
              <w:spacing w:before="40"/>
              <w:jc w:val="right"/>
              <w:rPr>
                <w:sz w:val="20"/>
              </w:rPr>
            </w:pPr>
            <w:r>
              <w:rPr>
                <w:sz w:val="20"/>
              </w:rPr>
              <w:t>(74,885)</w:t>
            </w:r>
          </w:p>
        </w:tc>
      </w:tr>
      <w:tr w:rsidR="001C15AD" w:rsidRPr="00E947A1" w14:paraId="0B5F6306" w14:textId="77777777" w:rsidTr="005101BC">
        <w:trPr>
          <w:gridAfter w:val="1"/>
          <w:wAfter w:w="21" w:type="dxa"/>
          <w:trHeight w:val="255"/>
        </w:trPr>
        <w:tc>
          <w:tcPr>
            <w:tcW w:w="4139" w:type="dxa"/>
            <w:shd w:val="clear" w:color="auto" w:fill="auto"/>
            <w:noWrap/>
            <w:vAlign w:val="bottom"/>
            <w:hideMark/>
          </w:tcPr>
          <w:p w14:paraId="62332269" w14:textId="77777777" w:rsidR="001C15AD" w:rsidRPr="00E947A1" w:rsidRDefault="001C15AD" w:rsidP="001C15AD">
            <w:pPr>
              <w:spacing w:before="40"/>
              <w:rPr>
                <w:b/>
                <w:bCs/>
                <w:sz w:val="20"/>
              </w:rPr>
            </w:pPr>
            <w:r w:rsidRPr="00E947A1">
              <w:rPr>
                <w:b/>
                <w:bCs/>
                <w:color w:val="000000"/>
                <w:sz w:val="20"/>
              </w:rPr>
              <w:t>Total non-current interest- bearing liabilities</w:t>
            </w:r>
          </w:p>
        </w:tc>
        <w:tc>
          <w:tcPr>
            <w:tcW w:w="1168" w:type="dxa"/>
            <w:shd w:val="clear" w:color="auto" w:fill="auto"/>
            <w:noWrap/>
            <w:vAlign w:val="bottom"/>
            <w:hideMark/>
          </w:tcPr>
          <w:p w14:paraId="5EBC0064" w14:textId="77777777" w:rsidR="001C15AD" w:rsidRPr="00853403" w:rsidRDefault="001C15AD" w:rsidP="001C15AD">
            <w:pPr>
              <w:spacing w:before="40"/>
              <w:rPr>
                <w:rFonts w:ascii="Arial" w:eastAsia="Arial" w:hAnsi="Arial" w:cs="Arial"/>
                <w:sz w:val="20"/>
              </w:rPr>
            </w:pPr>
          </w:p>
        </w:tc>
        <w:tc>
          <w:tcPr>
            <w:tcW w:w="2268" w:type="dxa"/>
            <w:shd w:val="clear" w:color="auto" w:fill="auto"/>
            <w:noWrap/>
            <w:vAlign w:val="bottom"/>
            <w:hideMark/>
          </w:tcPr>
          <w:p w14:paraId="6D67EBE5" w14:textId="77777777" w:rsidR="001C15AD" w:rsidRPr="00440C55" w:rsidRDefault="001C15AD" w:rsidP="001C15AD">
            <w:pPr>
              <w:spacing w:before="40"/>
              <w:rPr>
                <w:rFonts w:ascii="Arial" w:eastAsia="Arial" w:hAnsi="Arial" w:cs="Arial"/>
                <w:sz w:val="20"/>
                <w:highlight w:val="yellow"/>
              </w:rPr>
            </w:pPr>
          </w:p>
        </w:tc>
        <w:tc>
          <w:tcPr>
            <w:tcW w:w="1487" w:type="dxa"/>
            <w:shd w:val="clear" w:color="auto" w:fill="auto"/>
            <w:noWrap/>
            <w:vAlign w:val="bottom"/>
            <w:hideMark/>
          </w:tcPr>
          <w:p w14:paraId="46D19BCA" w14:textId="77777777" w:rsidR="001C15AD" w:rsidRPr="00440C55" w:rsidRDefault="001C15AD" w:rsidP="001C15AD">
            <w:pPr>
              <w:spacing w:before="40"/>
              <w:rPr>
                <w:rFonts w:ascii="Arial" w:eastAsia="Arial" w:hAnsi="Arial" w:cs="Arial"/>
                <w:sz w:val="20"/>
                <w:highlight w:val="yellow"/>
              </w:rPr>
            </w:pPr>
          </w:p>
        </w:tc>
        <w:tc>
          <w:tcPr>
            <w:tcW w:w="1313" w:type="dxa"/>
            <w:shd w:val="clear" w:color="auto" w:fill="auto"/>
            <w:noWrap/>
            <w:vAlign w:val="bottom"/>
          </w:tcPr>
          <w:p w14:paraId="725267ED" w14:textId="18D4F8B8" w:rsidR="001C15AD" w:rsidRPr="001C15AD" w:rsidRDefault="001C15AD" w:rsidP="001C15AD">
            <w:pPr>
              <w:pBdr>
                <w:bottom w:val="double" w:sz="4" w:space="0" w:color="000000"/>
              </w:pBdr>
              <w:spacing w:before="40"/>
              <w:jc w:val="right"/>
              <w:rPr>
                <w:sz w:val="20"/>
              </w:rPr>
            </w:pPr>
            <w:r w:rsidRPr="001C15AD">
              <w:rPr>
                <w:sz w:val="20"/>
              </w:rPr>
              <w:t>2,167,686</w:t>
            </w:r>
          </w:p>
        </w:tc>
        <w:tc>
          <w:tcPr>
            <w:tcW w:w="1285" w:type="dxa"/>
            <w:shd w:val="clear" w:color="auto" w:fill="auto"/>
            <w:noWrap/>
            <w:vAlign w:val="bottom"/>
          </w:tcPr>
          <w:p w14:paraId="5E69DD3E" w14:textId="34E90769" w:rsidR="001C15AD" w:rsidRPr="001C15AD" w:rsidRDefault="001C15AD" w:rsidP="001C15AD">
            <w:pPr>
              <w:pBdr>
                <w:bottom w:val="double" w:sz="4" w:space="0" w:color="000000"/>
              </w:pBdr>
              <w:spacing w:before="40"/>
              <w:jc w:val="right"/>
              <w:rPr>
                <w:sz w:val="20"/>
              </w:rPr>
            </w:pPr>
            <w:r w:rsidRPr="001C15AD">
              <w:rPr>
                <w:sz w:val="20"/>
              </w:rPr>
              <w:t>2,161,349</w:t>
            </w:r>
          </w:p>
        </w:tc>
        <w:tc>
          <w:tcPr>
            <w:tcW w:w="1284" w:type="dxa"/>
            <w:gridSpan w:val="2"/>
            <w:shd w:val="clear" w:color="auto" w:fill="auto"/>
            <w:noWrap/>
            <w:vAlign w:val="bottom"/>
          </w:tcPr>
          <w:p w14:paraId="1E596DF7" w14:textId="57D72D5A" w:rsidR="001C15AD" w:rsidRPr="0020502A" w:rsidRDefault="001C15AD" w:rsidP="001C15AD">
            <w:pPr>
              <w:pBdr>
                <w:bottom w:val="double" w:sz="4" w:space="0" w:color="000000"/>
              </w:pBdr>
              <w:spacing w:before="40"/>
              <w:jc w:val="right"/>
              <w:rPr>
                <w:sz w:val="20"/>
                <w:highlight w:val="yellow"/>
              </w:rPr>
            </w:pPr>
            <w:r>
              <w:rPr>
                <w:sz w:val="20"/>
              </w:rPr>
              <w:t>2,124,353</w:t>
            </w:r>
          </w:p>
        </w:tc>
        <w:tc>
          <w:tcPr>
            <w:tcW w:w="1285" w:type="dxa"/>
            <w:shd w:val="clear" w:color="auto" w:fill="auto"/>
            <w:noWrap/>
            <w:vAlign w:val="bottom"/>
          </w:tcPr>
          <w:p w14:paraId="67DC596C" w14:textId="42713A26" w:rsidR="001C15AD" w:rsidRPr="00591E5A" w:rsidRDefault="001C15AD" w:rsidP="001C15AD">
            <w:pPr>
              <w:pBdr>
                <w:bottom w:val="double" w:sz="4" w:space="0" w:color="000000"/>
              </w:pBdr>
              <w:spacing w:before="40"/>
              <w:jc w:val="right"/>
              <w:rPr>
                <w:sz w:val="20"/>
              </w:rPr>
            </w:pPr>
            <w:r>
              <w:rPr>
                <w:sz w:val="20"/>
              </w:rPr>
              <w:t>2,116,306</w:t>
            </w:r>
          </w:p>
        </w:tc>
      </w:tr>
      <w:tr w:rsidR="00C52BA0" w:rsidRPr="00E947A1" w14:paraId="6E464354" w14:textId="77777777" w:rsidTr="005101BC">
        <w:trPr>
          <w:gridAfter w:val="1"/>
          <w:wAfter w:w="21" w:type="dxa"/>
          <w:trHeight w:val="255"/>
        </w:trPr>
        <w:tc>
          <w:tcPr>
            <w:tcW w:w="4139" w:type="dxa"/>
            <w:shd w:val="clear" w:color="auto" w:fill="auto"/>
            <w:noWrap/>
            <w:vAlign w:val="bottom"/>
            <w:hideMark/>
          </w:tcPr>
          <w:p w14:paraId="65668809" w14:textId="77777777" w:rsidR="00C52BA0" w:rsidRPr="00E947A1" w:rsidRDefault="00C52BA0" w:rsidP="00C52BA0">
            <w:pPr>
              <w:spacing w:before="40"/>
              <w:rPr>
                <w:b/>
                <w:bCs/>
                <w:sz w:val="20"/>
              </w:rPr>
            </w:pPr>
            <w:r w:rsidRPr="00E947A1">
              <w:rPr>
                <w:b/>
                <w:bCs/>
                <w:color w:val="000000"/>
                <w:sz w:val="20"/>
              </w:rPr>
              <w:t>Current</w:t>
            </w:r>
          </w:p>
        </w:tc>
        <w:tc>
          <w:tcPr>
            <w:tcW w:w="1168" w:type="dxa"/>
            <w:shd w:val="clear" w:color="auto" w:fill="auto"/>
            <w:noWrap/>
            <w:vAlign w:val="bottom"/>
            <w:hideMark/>
          </w:tcPr>
          <w:p w14:paraId="297DBD94" w14:textId="77777777" w:rsidR="00C52BA0" w:rsidRPr="00853403" w:rsidRDefault="00C52BA0" w:rsidP="00C52BA0">
            <w:pPr>
              <w:spacing w:before="40"/>
              <w:rPr>
                <w:rFonts w:ascii="Arial" w:eastAsia="Arial" w:hAnsi="Arial" w:cs="Arial"/>
                <w:sz w:val="20"/>
              </w:rPr>
            </w:pPr>
          </w:p>
        </w:tc>
        <w:tc>
          <w:tcPr>
            <w:tcW w:w="2268" w:type="dxa"/>
            <w:shd w:val="clear" w:color="auto" w:fill="auto"/>
            <w:noWrap/>
            <w:vAlign w:val="bottom"/>
            <w:hideMark/>
          </w:tcPr>
          <w:p w14:paraId="57DE975A" w14:textId="77777777" w:rsidR="00C52BA0" w:rsidRPr="00440C55" w:rsidRDefault="00C52BA0" w:rsidP="00C52BA0">
            <w:pPr>
              <w:spacing w:before="40"/>
              <w:rPr>
                <w:rFonts w:ascii="Arial" w:eastAsia="Arial" w:hAnsi="Arial" w:cs="Arial"/>
                <w:sz w:val="20"/>
                <w:highlight w:val="yellow"/>
              </w:rPr>
            </w:pPr>
          </w:p>
        </w:tc>
        <w:tc>
          <w:tcPr>
            <w:tcW w:w="1487" w:type="dxa"/>
            <w:shd w:val="clear" w:color="auto" w:fill="auto"/>
            <w:noWrap/>
            <w:vAlign w:val="bottom"/>
            <w:hideMark/>
          </w:tcPr>
          <w:p w14:paraId="11614791" w14:textId="77777777" w:rsidR="00C52BA0" w:rsidRPr="00440C55" w:rsidRDefault="00C52BA0" w:rsidP="00C52BA0">
            <w:pPr>
              <w:spacing w:before="40"/>
              <w:rPr>
                <w:rFonts w:ascii="Arial" w:eastAsia="Arial" w:hAnsi="Arial" w:cs="Arial"/>
                <w:sz w:val="20"/>
                <w:highlight w:val="yellow"/>
              </w:rPr>
            </w:pPr>
          </w:p>
        </w:tc>
        <w:tc>
          <w:tcPr>
            <w:tcW w:w="1313" w:type="dxa"/>
            <w:shd w:val="clear" w:color="auto" w:fill="auto"/>
            <w:noWrap/>
            <w:vAlign w:val="bottom"/>
          </w:tcPr>
          <w:p w14:paraId="5C03406B" w14:textId="77777777" w:rsidR="00C52BA0" w:rsidRPr="001C15AD" w:rsidRDefault="00C52BA0" w:rsidP="001C15AD">
            <w:pPr>
              <w:spacing w:before="40"/>
              <w:jc w:val="right"/>
              <w:rPr>
                <w:rFonts w:ascii="Calibri" w:eastAsia="Calibri" w:hAnsi="Calibri" w:cs="Calibri"/>
                <w:sz w:val="20"/>
              </w:rPr>
            </w:pPr>
          </w:p>
        </w:tc>
        <w:tc>
          <w:tcPr>
            <w:tcW w:w="1285" w:type="dxa"/>
            <w:shd w:val="clear" w:color="auto" w:fill="auto"/>
            <w:noWrap/>
            <w:vAlign w:val="bottom"/>
          </w:tcPr>
          <w:p w14:paraId="03CB324D" w14:textId="77777777" w:rsidR="00C52BA0" w:rsidRPr="001C15AD" w:rsidRDefault="00C52BA0" w:rsidP="001C15AD">
            <w:pPr>
              <w:spacing w:before="40"/>
              <w:jc w:val="right"/>
              <w:rPr>
                <w:rFonts w:ascii="Calibri" w:eastAsia="Calibri" w:hAnsi="Calibri" w:cs="Calibri"/>
                <w:sz w:val="20"/>
              </w:rPr>
            </w:pPr>
          </w:p>
        </w:tc>
        <w:tc>
          <w:tcPr>
            <w:tcW w:w="1284" w:type="dxa"/>
            <w:gridSpan w:val="2"/>
            <w:shd w:val="clear" w:color="auto" w:fill="auto"/>
            <w:noWrap/>
            <w:vAlign w:val="bottom"/>
          </w:tcPr>
          <w:p w14:paraId="255556E4" w14:textId="77777777" w:rsidR="00C52BA0" w:rsidRPr="00591E5A" w:rsidRDefault="00C52BA0" w:rsidP="00C52BA0">
            <w:pPr>
              <w:spacing w:before="40"/>
              <w:jc w:val="right"/>
              <w:rPr>
                <w:rFonts w:ascii="Calibri" w:eastAsia="Calibri" w:hAnsi="Calibri" w:cs="Calibri"/>
                <w:sz w:val="20"/>
              </w:rPr>
            </w:pPr>
          </w:p>
        </w:tc>
        <w:tc>
          <w:tcPr>
            <w:tcW w:w="1285" w:type="dxa"/>
            <w:shd w:val="clear" w:color="auto" w:fill="auto"/>
            <w:noWrap/>
            <w:vAlign w:val="bottom"/>
          </w:tcPr>
          <w:p w14:paraId="55F33507" w14:textId="77777777" w:rsidR="00C52BA0" w:rsidRPr="00591E5A" w:rsidRDefault="00C52BA0" w:rsidP="00C52BA0">
            <w:pPr>
              <w:spacing w:before="40"/>
              <w:jc w:val="right"/>
              <w:rPr>
                <w:rFonts w:ascii="Calibri" w:eastAsia="Calibri" w:hAnsi="Calibri" w:cs="Calibri"/>
                <w:sz w:val="20"/>
              </w:rPr>
            </w:pPr>
          </w:p>
        </w:tc>
      </w:tr>
      <w:tr w:rsidR="00DC271E" w:rsidRPr="00E947A1" w14:paraId="44C859C7" w14:textId="77777777" w:rsidTr="005101BC">
        <w:trPr>
          <w:gridAfter w:val="1"/>
          <w:wAfter w:w="21" w:type="dxa"/>
          <w:trHeight w:val="255"/>
        </w:trPr>
        <w:tc>
          <w:tcPr>
            <w:tcW w:w="4139" w:type="dxa"/>
            <w:shd w:val="clear" w:color="auto" w:fill="auto"/>
            <w:noWrap/>
            <w:vAlign w:val="bottom"/>
            <w:hideMark/>
          </w:tcPr>
          <w:p w14:paraId="1891DC0A" w14:textId="77777777" w:rsidR="00DC271E" w:rsidRPr="00E947A1" w:rsidRDefault="00DC271E" w:rsidP="00DC271E">
            <w:pPr>
              <w:spacing w:before="40"/>
              <w:rPr>
                <w:sz w:val="20"/>
              </w:rPr>
            </w:pPr>
            <w:r w:rsidRPr="00E947A1">
              <w:rPr>
                <w:color w:val="000000"/>
                <w:sz w:val="20"/>
              </w:rPr>
              <w:t>Secured bank loan</w:t>
            </w:r>
          </w:p>
        </w:tc>
        <w:tc>
          <w:tcPr>
            <w:tcW w:w="1168" w:type="dxa"/>
            <w:shd w:val="clear" w:color="auto" w:fill="auto"/>
            <w:noWrap/>
            <w:vAlign w:val="bottom"/>
            <w:hideMark/>
          </w:tcPr>
          <w:p w14:paraId="2EB31C1D" w14:textId="77777777" w:rsidR="00DC271E" w:rsidRPr="00853403" w:rsidRDefault="00DC271E" w:rsidP="00DC271E">
            <w:pPr>
              <w:spacing w:before="40"/>
              <w:rPr>
                <w:sz w:val="20"/>
              </w:rPr>
            </w:pPr>
            <w:r w:rsidRPr="00853403">
              <w:rPr>
                <w:color w:val="000000"/>
                <w:sz w:val="20"/>
              </w:rPr>
              <w:t>Euro</w:t>
            </w:r>
          </w:p>
        </w:tc>
        <w:tc>
          <w:tcPr>
            <w:tcW w:w="2268" w:type="dxa"/>
            <w:shd w:val="clear" w:color="auto" w:fill="auto"/>
            <w:noWrap/>
            <w:vAlign w:val="bottom"/>
            <w:hideMark/>
          </w:tcPr>
          <w:p w14:paraId="284A4C05" w14:textId="725AD872" w:rsidR="00DC271E" w:rsidRPr="007A4F1A" w:rsidRDefault="00DC271E" w:rsidP="00DC271E">
            <w:pPr>
              <w:spacing w:before="40"/>
              <w:rPr>
                <w:sz w:val="20"/>
              </w:rPr>
            </w:pPr>
            <w:r w:rsidRPr="007A4F1A">
              <w:rPr>
                <w:color w:val="000000"/>
                <w:sz w:val="20"/>
              </w:rPr>
              <w:t>3M Euribor+3%</w:t>
            </w:r>
          </w:p>
        </w:tc>
        <w:tc>
          <w:tcPr>
            <w:tcW w:w="1487" w:type="dxa"/>
            <w:shd w:val="clear" w:color="auto" w:fill="auto"/>
            <w:noWrap/>
            <w:vAlign w:val="bottom"/>
            <w:hideMark/>
          </w:tcPr>
          <w:p w14:paraId="45531A3B" w14:textId="6AD427FE" w:rsidR="00DC271E" w:rsidRPr="007A4F1A" w:rsidRDefault="00DC271E" w:rsidP="00DC271E">
            <w:pPr>
              <w:spacing w:before="40"/>
              <w:rPr>
                <w:sz w:val="20"/>
              </w:rPr>
            </w:pPr>
            <w:r w:rsidRPr="007A4F1A">
              <w:rPr>
                <w:color w:val="000000"/>
                <w:sz w:val="20"/>
              </w:rPr>
              <w:t>2025</w:t>
            </w:r>
          </w:p>
        </w:tc>
        <w:tc>
          <w:tcPr>
            <w:tcW w:w="1313" w:type="dxa"/>
            <w:shd w:val="clear" w:color="auto" w:fill="auto"/>
            <w:noWrap/>
            <w:vAlign w:val="bottom"/>
          </w:tcPr>
          <w:p w14:paraId="20222F0A" w14:textId="0AB5ABE8" w:rsidR="00DC271E" w:rsidRPr="001C15AD" w:rsidRDefault="00DC271E" w:rsidP="001C15AD">
            <w:pPr>
              <w:spacing w:before="40"/>
              <w:jc w:val="right"/>
              <w:rPr>
                <w:sz w:val="20"/>
              </w:rPr>
            </w:pPr>
            <w:r w:rsidRPr="001C15AD">
              <w:rPr>
                <w:sz w:val="20"/>
              </w:rPr>
              <w:t>7,678</w:t>
            </w:r>
          </w:p>
        </w:tc>
        <w:tc>
          <w:tcPr>
            <w:tcW w:w="1285" w:type="dxa"/>
            <w:shd w:val="clear" w:color="auto" w:fill="auto"/>
            <w:noWrap/>
            <w:vAlign w:val="bottom"/>
          </w:tcPr>
          <w:p w14:paraId="5A7351CC" w14:textId="21FA78E9" w:rsidR="00DC271E" w:rsidRPr="001C15AD" w:rsidRDefault="00DC271E" w:rsidP="001C15AD">
            <w:pPr>
              <w:spacing w:before="40"/>
              <w:jc w:val="right"/>
              <w:rPr>
                <w:sz w:val="20"/>
              </w:rPr>
            </w:pPr>
            <w:r w:rsidRPr="001C15AD">
              <w:rPr>
                <w:sz w:val="20"/>
              </w:rPr>
              <w:t>7,678</w:t>
            </w:r>
          </w:p>
        </w:tc>
        <w:tc>
          <w:tcPr>
            <w:tcW w:w="1284" w:type="dxa"/>
            <w:gridSpan w:val="2"/>
            <w:shd w:val="clear" w:color="auto" w:fill="auto"/>
            <w:noWrap/>
            <w:vAlign w:val="bottom"/>
          </w:tcPr>
          <w:p w14:paraId="1515DDAC" w14:textId="3C647BC9" w:rsidR="00DC271E" w:rsidRPr="00591E5A" w:rsidRDefault="00DC271E" w:rsidP="00DC271E">
            <w:pPr>
              <w:spacing w:before="40"/>
              <w:jc w:val="right"/>
              <w:rPr>
                <w:sz w:val="20"/>
              </w:rPr>
            </w:pPr>
            <w:r>
              <w:rPr>
                <w:sz w:val="20"/>
              </w:rPr>
              <w:t>10,648</w:t>
            </w:r>
          </w:p>
        </w:tc>
        <w:tc>
          <w:tcPr>
            <w:tcW w:w="1285" w:type="dxa"/>
            <w:shd w:val="clear" w:color="auto" w:fill="auto"/>
            <w:noWrap/>
            <w:vAlign w:val="bottom"/>
          </w:tcPr>
          <w:p w14:paraId="02E5CBCE" w14:textId="35A45EC1" w:rsidR="00DC271E" w:rsidRPr="00591E5A" w:rsidRDefault="00DC271E" w:rsidP="00DC271E">
            <w:pPr>
              <w:spacing w:before="40"/>
              <w:jc w:val="right"/>
              <w:rPr>
                <w:sz w:val="20"/>
              </w:rPr>
            </w:pPr>
            <w:r>
              <w:rPr>
                <w:sz w:val="20"/>
              </w:rPr>
              <w:t>10,648</w:t>
            </w:r>
          </w:p>
        </w:tc>
      </w:tr>
      <w:tr w:rsidR="00DC271E" w:rsidRPr="00E947A1" w14:paraId="652B2303" w14:textId="77777777" w:rsidTr="005101BC">
        <w:trPr>
          <w:gridAfter w:val="1"/>
          <w:wAfter w:w="21" w:type="dxa"/>
          <w:trHeight w:val="255"/>
        </w:trPr>
        <w:tc>
          <w:tcPr>
            <w:tcW w:w="4139" w:type="dxa"/>
            <w:shd w:val="clear" w:color="auto" w:fill="auto"/>
            <w:noWrap/>
            <w:vAlign w:val="bottom"/>
            <w:hideMark/>
          </w:tcPr>
          <w:p w14:paraId="6C9624BA" w14:textId="415ED973" w:rsidR="00DC271E" w:rsidRPr="00E947A1" w:rsidRDefault="00DC271E" w:rsidP="00DC271E">
            <w:pPr>
              <w:spacing w:before="40"/>
              <w:rPr>
                <w:sz w:val="20"/>
              </w:rPr>
            </w:pPr>
            <w:r w:rsidRPr="00E947A1">
              <w:rPr>
                <w:color w:val="000000"/>
                <w:sz w:val="20"/>
              </w:rPr>
              <w:t>Current maturity</w:t>
            </w:r>
          </w:p>
        </w:tc>
        <w:tc>
          <w:tcPr>
            <w:tcW w:w="1168" w:type="dxa"/>
            <w:shd w:val="clear" w:color="auto" w:fill="auto"/>
            <w:noWrap/>
            <w:vAlign w:val="bottom"/>
          </w:tcPr>
          <w:p w14:paraId="570BEDED" w14:textId="6EC8DC74" w:rsidR="00DC271E" w:rsidRPr="00853403" w:rsidRDefault="00DC271E" w:rsidP="00DC271E">
            <w:pPr>
              <w:spacing w:before="40"/>
              <w:rPr>
                <w:sz w:val="20"/>
                <w:highlight w:val="yellow"/>
              </w:rPr>
            </w:pPr>
          </w:p>
        </w:tc>
        <w:tc>
          <w:tcPr>
            <w:tcW w:w="2268" w:type="dxa"/>
            <w:shd w:val="clear" w:color="auto" w:fill="auto"/>
            <w:noWrap/>
            <w:vAlign w:val="bottom"/>
          </w:tcPr>
          <w:p w14:paraId="7FB38EC3" w14:textId="71D9112A" w:rsidR="00DC271E" w:rsidRPr="00853403" w:rsidRDefault="00DC271E" w:rsidP="00DC271E">
            <w:pPr>
              <w:spacing w:before="40"/>
              <w:rPr>
                <w:sz w:val="20"/>
                <w:highlight w:val="yellow"/>
              </w:rPr>
            </w:pPr>
          </w:p>
        </w:tc>
        <w:tc>
          <w:tcPr>
            <w:tcW w:w="1487" w:type="dxa"/>
            <w:shd w:val="clear" w:color="auto" w:fill="auto"/>
            <w:noWrap/>
            <w:vAlign w:val="bottom"/>
          </w:tcPr>
          <w:p w14:paraId="2678BDBC" w14:textId="2F7469C7" w:rsidR="00DC271E" w:rsidRPr="00853403" w:rsidRDefault="00DC271E" w:rsidP="00DC271E">
            <w:pPr>
              <w:spacing w:before="40"/>
              <w:rPr>
                <w:sz w:val="20"/>
                <w:highlight w:val="yellow"/>
              </w:rPr>
            </w:pPr>
          </w:p>
        </w:tc>
        <w:tc>
          <w:tcPr>
            <w:tcW w:w="1313" w:type="dxa"/>
            <w:shd w:val="clear" w:color="auto" w:fill="auto"/>
            <w:noWrap/>
            <w:vAlign w:val="bottom"/>
          </w:tcPr>
          <w:p w14:paraId="0113A88C" w14:textId="323C5972" w:rsidR="00DC271E" w:rsidRPr="001C15AD" w:rsidRDefault="00DC271E" w:rsidP="001C15AD">
            <w:pPr>
              <w:pBdr>
                <w:bottom w:val="single" w:sz="4" w:space="0" w:color="000000"/>
              </w:pBdr>
              <w:spacing w:before="40"/>
              <w:jc w:val="right"/>
              <w:rPr>
                <w:sz w:val="20"/>
              </w:rPr>
            </w:pPr>
            <w:r w:rsidRPr="001C15AD">
              <w:rPr>
                <w:sz w:val="20"/>
              </w:rPr>
              <w:t>311,192</w:t>
            </w:r>
          </w:p>
        </w:tc>
        <w:tc>
          <w:tcPr>
            <w:tcW w:w="1285" w:type="dxa"/>
            <w:shd w:val="clear" w:color="auto" w:fill="auto"/>
            <w:noWrap/>
            <w:vAlign w:val="bottom"/>
          </w:tcPr>
          <w:p w14:paraId="6A35AEC4" w14:textId="4A149F7A" w:rsidR="00DC271E" w:rsidRPr="001C15AD" w:rsidRDefault="00DC271E" w:rsidP="001C15AD">
            <w:pPr>
              <w:pBdr>
                <w:bottom w:val="single" w:sz="4" w:space="0" w:color="000000"/>
              </w:pBdr>
              <w:spacing w:before="40"/>
              <w:jc w:val="right"/>
              <w:rPr>
                <w:sz w:val="20"/>
              </w:rPr>
            </w:pPr>
            <w:r w:rsidRPr="001C15AD">
              <w:rPr>
                <w:sz w:val="20"/>
              </w:rPr>
              <w:t>311,192</w:t>
            </w:r>
          </w:p>
        </w:tc>
        <w:tc>
          <w:tcPr>
            <w:tcW w:w="1284" w:type="dxa"/>
            <w:gridSpan w:val="2"/>
            <w:shd w:val="clear" w:color="auto" w:fill="auto"/>
            <w:noWrap/>
            <w:vAlign w:val="bottom"/>
          </w:tcPr>
          <w:p w14:paraId="287E7FFB" w14:textId="461B40CC" w:rsidR="00DC271E" w:rsidRPr="00591E5A" w:rsidRDefault="00DC271E" w:rsidP="00DC271E">
            <w:pPr>
              <w:pBdr>
                <w:bottom w:val="single" w:sz="4" w:space="0" w:color="000000"/>
              </w:pBdr>
              <w:spacing w:before="40"/>
              <w:jc w:val="right"/>
              <w:rPr>
                <w:sz w:val="20"/>
              </w:rPr>
            </w:pPr>
            <w:r>
              <w:rPr>
                <w:sz w:val="20"/>
              </w:rPr>
              <w:t>74,885</w:t>
            </w:r>
          </w:p>
        </w:tc>
        <w:tc>
          <w:tcPr>
            <w:tcW w:w="1285" w:type="dxa"/>
            <w:shd w:val="clear" w:color="auto" w:fill="auto"/>
            <w:noWrap/>
            <w:vAlign w:val="bottom"/>
          </w:tcPr>
          <w:p w14:paraId="180078E8" w14:textId="52FA77EB" w:rsidR="00DC271E" w:rsidRPr="00591E5A" w:rsidRDefault="00DC271E" w:rsidP="00DC271E">
            <w:pPr>
              <w:pBdr>
                <w:bottom w:val="single" w:sz="4" w:space="0" w:color="000000"/>
              </w:pBdr>
              <w:spacing w:before="40"/>
              <w:jc w:val="right"/>
              <w:rPr>
                <w:sz w:val="20"/>
              </w:rPr>
            </w:pPr>
            <w:r>
              <w:rPr>
                <w:sz w:val="20"/>
              </w:rPr>
              <w:t>74,885</w:t>
            </w:r>
          </w:p>
        </w:tc>
      </w:tr>
      <w:tr w:rsidR="00DC271E" w:rsidRPr="00E947A1" w14:paraId="55FE7C95" w14:textId="77777777" w:rsidTr="005101BC">
        <w:trPr>
          <w:gridAfter w:val="1"/>
          <w:wAfter w:w="21" w:type="dxa"/>
          <w:trHeight w:val="255"/>
        </w:trPr>
        <w:tc>
          <w:tcPr>
            <w:tcW w:w="4139" w:type="dxa"/>
            <w:shd w:val="clear" w:color="auto" w:fill="auto"/>
            <w:noWrap/>
            <w:vAlign w:val="bottom"/>
            <w:hideMark/>
          </w:tcPr>
          <w:p w14:paraId="42EB15E9" w14:textId="77777777" w:rsidR="00DC271E" w:rsidRPr="00E947A1" w:rsidRDefault="00DC271E" w:rsidP="00DC271E">
            <w:pPr>
              <w:spacing w:before="40"/>
              <w:rPr>
                <w:b/>
                <w:bCs/>
                <w:sz w:val="20"/>
              </w:rPr>
            </w:pPr>
            <w:r w:rsidRPr="00E947A1">
              <w:rPr>
                <w:b/>
                <w:bCs/>
                <w:color w:val="000000"/>
                <w:sz w:val="20"/>
              </w:rPr>
              <w:t>Total current interest- bearing liabilities</w:t>
            </w:r>
          </w:p>
        </w:tc>
        <w:tc>
          <w:tcPr>
            <w:tcW w:w="1168" w:type="dxa"/>
            <w:shd w:val="clear" w:color="auto" w:fill="auto"/>
            <w:noWrap/>
            <w:vAlign w:val="bottom"/>
            <w:hideMark/>
          </w:tcPr>
          <w:p w14:paraId="4FB47418" w14:textId="77777777" w:rsidR="00DC271E" w:rsidRPr="00E947A1" w:rsidRDefault="00DC271E" w:rsidP="00DC271E">
            <w:pPr>
              <w:spacing w:before="40"/>
              <w:rPr>
                <w:rFonts w:ascii="Arial" w:eastAsia="Arial" w:hAnsi="Arial" w:cs="Arial"/>
                <w:sz w:val="20"/>
              </w:rPr>
            </w:pPr>
          </w:p>
        </w:tc>
        <w:tc>
          <w:tcPr>
            <w:tcW w:w="2268" w:type="dxa"/>
            <w:shd w:val="clear" w:color="auto" w:fill="auto"/>
            <w:noWrap/>
            <w:vAlign w:val="bottom"/>
            <w:hideMark/>
          </w:tcPr>
          <w:p w14:paraId="58D69E80" w14:textId="77777777" w:rsidR="00DC271E" w:rsidRPr="00E947A1" w:rsidRDefault="00DC271E" w:rsidP="00DC271E">
            <w:pPr>
              <w:spacing w:before="40"/>
              <w:rPr>
                <w:rFonts w:ascii="Arial" w:eastAsia="Arial" w:hAnsi="Arial" w:cs="Arial"/>
                <w:sz w:val="20"/>
              </w:rPr>
            </w:pPr>
          </w:p>
        </w:tc>
        <w:tc>
          <w:tcPr>
            <w:tcW w:w="1487" w:type="dxa"/>
            <w:shd w:val="clear" w:color="auto" w:fill="auto"/>
            <w:noWrap/>
            <w:vAlign w:val="bottom"/>
            <w:hideMark/>
          </w:tcPr>
          <w:p w14:paraId="3C8B6FEA" w14:textId="77777777" w:rsidR="00DC271E" w:rsidRPr="00E947A1" w:rsidRDefault="00DC271E" w:rsidP="00DC271E">
            <w:pPr>
              <w:spacing w:before="40"/>
              <w:rPr>
                <w:rFonts w:ascii="Arial" w:eastAsia="Arial" w:hAnsi="Arial" w:cs="Arial"/>
                <w:sz w:val="20"/>
              </w:rPr>
            </w:pPr>
          </w:p>
        </w:tc>
        <w:tc>
          <w:tcPr>
            <w:tcW w:w="1313" w:type="dxa"/>
            <w:shd w:val="clear" w:color="auto" w:fill="auto"/>
            <w:noWrap/>
            <w:vAlign w:val="bottom"/>
          </w:tcPr>
          <w:p w14:paraId="4C512E90" w14:textId="1B580CAB" w:rsidR="00DC271E" w:rsidRPr="001C15AD" w:rsidRDefault="00DC271E" w:rsidP="001C15AD">
            <w:pPr>
              <w:pBdr>
                <w:bottom w:val="double" w:sz="4" w:space="1" w:color="auto"/>
              </w:pBdr>
              <w:spacing w:before="40"/>
              <w:jc w:val="right"/>
              <w:rPr>
                <w:sz w:val="20"/>
              </w:rPr>
            </w:pPr>
            <w:r w:rsidRPr="001C15AD">
              <w:rPr>
                <w:sz w:val="20"/>
              </w:rPr>
              <w:t>318,870</w:t>
            </w:r>
          </w:p>
        </w:tc>
        <w:tc>
          <w:tcPr>
            <w:tcW w:w="1285" w:type="dxa"/>
            <w:shd w:val="clear" w:color="auto" w:fill="auto"/>
            <w:noWrap/>
            <w:vAlign w:val="bottom"/>
          </w:tcPr>
          <w:p w14:paraId="617419E2" w14:textId="1913E794" w:rsidR="00DC271E" w:rsidRPr="001C15AD" w:rsidRDefault="00DC271E" w:rsidP="001C15AD">
            <w:pPr>
              <w:pBdr>
                <w:bottom w:val="double" w:sz="4" w:space="1" w:color="auto"/>
              </w:pBdr>
              <w:spacing w:before="40"/>
              <w:jc w:val="right"/>
              <w:rPr>
                <w:sz w:val="20"/>
              </w:rPr>
            </w:pPr>
            <w:r w:rsidRPr="001C15AD">
              <w:rPr>
                <w:sz w:val="20"/>
              </w:rPr>
              <w:t>318,870</w:t>
            </w:r>
          </w:p>
        </w:tc>
        <w:tc>
          <w:tcPr>
            <w:tcW w:w="1284" w:type="dxa"/>
            <w:gridSpan w:val="2"/>
            <w:shd w:val="clear" w:color="auto" w:fill="auto"/>
            <w:noWrap/>
            <w:vAlign w:val="bottom"/>
          </w:tcPr>
          <w:p w14:paraId="3E11EF8F" w14:textId="77DE41EC" w:rsidR="00DC271E" w:rsidRPr="00591E5A" w:rsidRDefault="00DC271E" w:rsidP="00DC271E">
            <w:pPr>
              <w:pBdr>
                <w:bottom w:val="double" w:sz="4" w:space="1" w:color="auto"/>
              </w:pBdr>
              <w:spacing w:before="40"/>
              <w:jc w:val="right"/>
              <w:rPr>
                <w:sz w:val="20"/>
              </w:rPr>
            </w:pPr>
            <w:r>
              <w:rPr>
                <w:sz w:val="20"/>
              </w:rPr>
              <w:t>85,533</w:t>
            </w:r>
          </w:p>
        </w:tc>
        <w:tc>
          <w:tcPr>
            <w:tcW w:w="1285" w:type="dxa"/>
            <w:shd w:val="clear" w:color="auto" w:fill="auto"/>
            <w:noWrap/>
            <w:vAlign w:val="bottom"/>
          </w:tcPr>
          <w:p w14:paraId="51200F79" w14:textId="5D2E0E00" w:rsidR="00DC271E" w:rsidRPr="00591E5A" w:rsidRDefault="00DC271E" w:rsidP="00DC271E">
            <w:pPr>
              <w:pBdr>
                <w:bottom w:val="double" w:sz="4" w:space="1" w:color="auto"/>
              </w:pBdr>
              <w:spacing w:before="40"/>
              <w:jc w:val="right"/>
              <w:rPr>
                <w:sz w:val="20"/>
              </w:rPr>
            </w:pPr>
            <w:r>
              <w:rPr>
                <w:sz w:val="20"/>
              </w:rPr>
              <w:t>85,533</w:t>
            </w:r>
          </w:p>
        </w:tc>
      </w:tr>
    </w:tbl>
    <w:p w14:paraId="1EFE41FD" w14:textId="77777777" w:rsidR="000970FC" w:rsidRPr="00237FC5" w:rsidRDefault="000970FC" w:rsidP="00B44BB1">
      <w:pPr>
        <w:ind w:left="720"/>
        <w:rPr>
          <w:sz w:val="22"/>
          <w:szCs w:val="22"/>
        </w:rPr>
      </w:pPr>
    </w:p>
    <w:p w14:paraId="5B24F754" w14:textId="0478F772" w:rsidR="00C35D07" w:rsidRDefault="00C051C8" w:rsidP="00BF35DA">
      <w:pPr>
        <w:ind w:left="720"/>
        <w:rPr>
          <w:sz w:val="22"/>
          <w:szCs w:val="22"/>
        </w:rPr>
      </w:pPr>
      <w:r>
        <w:rPr>
          <w:sz w:val="22"/>
          <w:szCs w:val="22"/>
        </w:rPr>
        <w:t xml:space="preserve">(*)   </w:t>
      </w:r>
      <w:r w:rsidR="00B36C93" w:rsidRPr="005853D4">
        <w:rPr>
          <w:sz w:val="22"/>
          <w:szCs w:val="22"/>
        </w:rPr>
        <w:t xml:space="preserve">For information regarding compliance with financial </w:t>
      </w:r>
      <w:r w:rsidR="00B36C93" w:rsidRPr="00C66B29">
        <w:rPr>
          <w:sz w:val="22"/>
          <w:szCs w:val="22"/>
        </w:rPr>
        <w:t xml:space="preserve">covenants see </w:t>
      </w:r>
      <w:r w:rsidR="00B36C93" w:rsidRPr="00ED45EE">
        <w:rPr>
          <w:sz w:val="22"/>
          <w:szCs w:val="22"/>
        </w:rPr>
        <w:t xml:space="preserve">Note </w:t>
      </w:r>
      <w:r w:rsidR="00BF35DA" w:rsidRPr="00DA7DED">
        <w:rPr>
          <w:sz w:val="22"/>
          <w:szCs w:val="22"/>
        </w:rPr>
        <w:t>2</w:t>
      </w:r>
      <w:r w:rsidR="00F66EC1" w:rsidRPr="00DA7DED">
        <w:rPr>
          <w:sz w:val="22"/>
          <w:szCs w:val="22"/>
        </w:rPr>
        <w:t>2</w:t>
      </w:r>
      <w:r w:rsidR="00B36C93" w:rsidRPr="00ED45EE">
        <w:rPr>
          <w:sz w:val="22"/>
          <w:szCs w:val="22"/>
        </w:rPr>
        <w:t>.</w:t>
      </w:r>
    </w:p>
    <w:p w14:paraId="75026074" w14:textId="77777777" w:rsidR="00C051C8" w:rsidRDefault="00C051C8" w:rsidP="00C051C8">
      <w:pPr>
        <w:ind w:left="720"/>
        <w:rPr>
          <w:sz w:val="22"/>
          <w:szCs w:val="22"/>
        </w:rPr>
      </w:pPr>
      <w:r>
        <w:rPr>
          <w:sz w:val="22"/>
          <w:szCs w:val="22"/>
        </w:rPr>
        <w:t xml:space="preserve">(**) The Company uses </w:t>
      </w:r>
      <w:r w:rsidR="002F4F86">
        <w:rPr>
          <w:sz w:val="22"/>
          <w:szCs w:val="22"/>
        </w:rPr>
        <w:t xml:space="preserve">derivative </w:t>
      </w:r>
      <w:r>
        <w:rPr>
          <w:sz w:val="22"/>
          <w:szCs w:val="22"/>
          <w:lang w:bidi="he-IL"/>
        </w:rPr>
        <w:t>financial instruments</w:t>
      </w:r>
      <w:r w:rsidR="00485D93">
        <w:rPr>
          <w:sz w:val="22"/>
          <w:szCs w:val="22"/>
          <w:lang w:bidi="he-IL"/>
        </w:rPr>
        <w:t xml:space="preserve"> </w:t>
      </w:r>
      <w:r w:rsidR="00485D93">
        <w:rPr>
          <w:sz w:val="22"/>
          <w:szCs w:val="22"/>
        </w:rPr>
        <w:t>for the existing exposure for variable interest rate.</w:t>
      </w:r>
      <w:r>
        <w:rPr>
          <w:sz w:val="22"/>
          <w:szCs w:val="22"/>
        </w:rPr>
        <w:t xml:space="preserve"> For information </w:t>
      </w:r>
      <w:r w:rsidR="00485D93">
        <w:rPr>
          <w:sz w:val="22"/>
          <w:szCs w:val="22"/>
        </w:rPr>
        <w:t xml:space="preserve">see </w:t>
      </w:r>
      <w:r w:rsidR="00485D93" w:rsidRPr="00ED45EE">
        <w:rPr>
          <w:sz w:val="22"/>
          <w:szCs w:val="22"/>
        </w:rPr>
        <w:t xml:space="preserve">Note </w:t>
      </w:r>
      <w:r w:rsidR="00485D93" w:rsidRPr="00DA7DED">
        <w:rPr>
          <w:sz w:val="22"/>
          <w:szCs w:val="22"/>
        </w:rPr>
        <w:t>21(E).</w:t>
      </w:r>
      <w:r>
        <w:rPr>
          <w:sz w:val="22"/>
          <w:szCs w:val="22"/>
        </w:rPr>
        <w:t xml:space="preserve"> </w:t>
      </w:r>
    </w:p>
    <w:p w14:paraId="71393125" w14:textId="77777777" w:rsidR="00C52BA0" w:rsidRDefault="00C52BA0" w:rsidP="00C051C8">
      <w:pPr>
        <w:ind w:left="720"/>
        <w:rPr>
          <w:sz w:val="22"/>
          <w:szCs w:val="22"/>
        </w:rPr>
      </w:pPr>
    </w:p>
    <w:p w14:paraId="1B3642EE" w14:textId="5E8F986B" w:rsidR="00C52BA0" w:rsidRPr="00F02921" w:rsidRDefault="00C52BA0" w:rsidP="00C051C8">
      <w:pPr>
        <w:ind w:left="720"/>
        <w:rPr>
          <w:sz w:val="22"/>
          <w:szCs w:val="22"/>
        </w:rPr>
        <w:sectPr w:rsidR="00C52BA0" w:rsidRPr="00F02921" w:rsidSect="00593E8F">
          <w:headerReference w:type="default" r:id="rId27"/>
          <w:endnotePr>
            <w:numFmt w:val="lowerLetter"/>
          </w:endnotePr>
          <w:type w:val="nextColumn"/>
          <w:pgSz w:w="16838" w:h="11906" w:orient="landscape"/>
          <w:pgMar w:top="1134" w:right="1134" w:bottom="1134" w:left="1134" w:header="567" w:footer="567" w:gutter="0"/>
          <w:paperSrc w:first="15" w:other="15"/>
          <w:cols w:space="720"/>
          <w:bidi/>
          <w:docGrid w:linePitch="326"/>
        </w:sectPr>
      </w:pPr>
    </w:p>
    <w:p w14:paraId="6277FED4" w14:textId="77777777" w:rsidR="0033136A" w:rsidRPr="0033136A" w:rsidRDefault="0033136A" w:rsidP="00BF2911">
      <w:pPr>
        <w:jc w:val="both"/>
        <w:rPr>
          <w:b/>
          <w:bCs/>
          <w:sz w:val="22"/>
          <w:szCs w:val="22"/>
        </w:rPr>
      </w:pPr>
    </w:p>
    <w:p w14:paraId="0BB26AE6" w14:textId="496C8004" w:rsidR="000970FC" w:rsidRPr="003A5947" w:rsidRDefault="000970FC" w:rsidP="00BF2911">
      <w:pPr>
        <w:jc w:val="both"/>
        <w:rPr>
          <w:b/>
          <w:bCs/>
          <w:sz w:val="22"/>
          <w:szCs w:val="22"/>
        </w:rPr>
      </w:pPr>
      <w:r w:rsidRPr="003A5947">
        <w:rPr>
          <w:b/>
          <w:bCs/>
          <w:sz w:val="22"/>
          <w:szCs w:val="22"/>
        </w:rPr>
        <w:t xml:space="preserve">Note </w:t>
      </w:r>
      <w:r w:rsidR="00030CEF" w:rsidRPr="003A5947">
        <w:rPr>
          <w:b/>
          <w:bCs/>
          <w:sz w:val="22"/>
          <w:szCs w:val="22"/>
        </w:rPr>
        <w:t>1</w:t>
      </w:r>
      <w:r w:rsidR="00BF2911" w:rsidRPr="003A5947">
        <w:rPr>
          <w:b/>
          <w:bCs/>
          <w:sz w:val="22"/>
          <w:szCs w:val="22"/>
        </w:rPr>
        <w:t>2</w:t>
      </w:r>
      <w:r w:rsidRPr="003A5947">
        <w:rPr>
          <w:b/>
          <w:bCs/>
          <w:sz w:val="22"/>
          <w:szCs w:val="22"/>
        </w:rPr>
        <w:t xml:space="preserve"> - Loans and Borrowings (cont'd)</w:t>
      </w:r>
    </w:p>
    <w:p w14:paraId="56BBA324" w14:textId="77777777" w:rsidR="000970FC" w:rsidRPr="003A5947" w:rsidRDefault="000970FC" w:rsidP="000970FC">
      <w:pPr>
        <w:jc w:val="both"/>
        <w:rPr>
          <w:b/>
          <w:bCs/>
          <w:sz w:val="14"/>
          <w:szCs w:val="14"/>
        </w:rPr>
      </w:pPr>
    </w:p>
    <w:p w14:paraId="776E6EA5" w14:textId="4274BD43" w:rsidR="000970FC" w:rsidRPr="003A5947" w:rsidRDefault="000970FC" w:rsidP="00C5462B">
      <w:pPr>
        <w:numPr>
          <w:ilvl w:val="0"/>
          <w:numId w:val="9"/>
        </w:numPr>
        <w:jc w:val="both"/>
        <w:rPr>
          <w:sz w:val="22"/>
          <w:szCs w:val="18"/>
        </w:rPr>
      </w:pPr>
      <w:r w:rsidRPr="003A5947">
        <w:rPr>
          <w:sz w:val="22"/>
          <w:szCs w:val="18"/>
        </w:rPr>
        <w:t xml:space="preserve">The Company and </w:t>
      </w:r>
      <w:r w:rsidR="0012167B" w:rsidRPr="003A5947">
        <w:rPr>
          <w:sz w:val="22"/>
          <w:szCs w:val="18"/>
        </w:rPr>
        <w:t xml:space="preserve">AFI </w:t>
      </w:r>
      <w:r w:rsidRPr="003A5947">
        <w:rPr>
          <w:sz w:val="22"/>
          <w:szCs w:val="18"/>
        </w:rPr>
        <w:t xml:space="preserve">Properties are parties </w:t>
      </w:r>
      <w:r w:rsidR="009D7F71" w:rsidRPr="003A5947">
        <w:rPr>
          <w:sz w:val="22"/>
          <w:szCs w:val="18"/>
        </w:rPr>
        <w:t>to</w:t>
      </w:r>
      <w:r w:rsidRPr="003A5947">
        <w:rPr>
          <w:sz w:val="22"/>
          <w:szCs w:val="18"/>
        </w:rPr>
        <w:t xml:space="preserve"> a Loan Agreement dated </w:t>
      </w:r>
      <w:r w:rsidR="00364689" w:rsidRPr="003A5947">
        <w:rPr>
          <w:sz w:val="22"/>
          <w:szCs w:val="18"/>
        </w:rPr>
        <w:t>January 1</w:t>
      </w:r>
      <w:r w:rsidRPr="003A5947">
        <w:rPr>
          <w:sz w:val="22"/>
          <w:szCs w:val="18"/>
        </w:rPr>
        <w:t xml:space="preserve">, </w:t>
      </w:r>
      <w:r w:rsidR="00364689" w:rsidRPr="003A5947">
        <w:rPr>
          <w:sz w:val="22"/>
          <w:szCs w:val="18"/>
        </w:rPr>
        <w:t xml:space="preserve">2023 </w:t>
      </w:r>
      <w:r w:rsidRPr="003A5947">
        <w:rPr>
          <w:sz w:val="22"/>
          <w:szCs w:val="18"/>
        </w:rPr>
        <w:t>(the “</w:t>
      </w:r>
      <w:r w:rsidR="00E76B3A" w:rsidRPr="003A5947">
        <w:rPr>
          <w:b/>
          <w:bCs/>
          <w:sz w:val="22"/>
          <w:szCs w:val="18"/>
        </w:rPr>
        <w:t xml:space="preserve">2023 </w:t>
      </w:r>
      <w:r w:rsidRPr="003A5947">
        <w:rPr>
          <w:b/>
          <w:bCs/>
          <w:sz w:val="22"/>
          <w:szCs w:val="18"/>
        </w:rPr>
        <w:t>Loan Agreement</w:t>
      </w:r>
      <w:r w:rsidRPr="003A5947">
        <w:rPr>
          <w:sz w:val="22"/>
          <w:szCs w:val="18"/>
        </w:rPr>
        <w:t xml:space="preserve">”) which governs the terms of an intercompany debt owed by the Company to </w:t>
      </w:r>
      <w:r w:rsidR="0012167B" w:rsidRPr="003A5947">
        <w:rPr>
          <w:sz w:val="22"/>
          <w:szCs w:val="18"/>
        </w:rPr>
        <w:t xml:space="preserve">AFI </w:t>
      </w:r>
      <w:r w:rsidRPr="003A5947">
        <w:rPr>
          <w:sz w:val="22"/>
          <w:szCs w:val="18"/>
        </w:rPr>
        <w:t xml:space="preserve">Properties </w:t>
      </w:r>
      <w:proofErr w:type="gramStart"/>
      <w:r w:rsidRPr="003A5947">
        <w:rPr>
          <w:sz w:val="22"/>
          <w:szCs w:val="18"/>
        </w:rPr>
        <w:t>as a result of</w:t>
      </w:r>
      <w:proofErr w:type="gramEnd"/>
      <w:r w:rsidRPr="003A5947">
        <w:rPr>
          <w:sz w:val="22"/>
          <w:szCs w:val="18"/>
        </w:rPr>
        <w:t xml:space="preserve"> intercompany loans provided by the latter to the Company. </w:t>
      </w:r>
    </w:p>
    <w:p w14:paraId="6297B696" w14:textId="77777777" w:rsidR="00ED0D8C" w:rsidRPr="003A5947" w:rsidRDefault="00ED0D8C" w:rsidP="00ED0D8C">
      <w:pPr>
        <w:ind w:left="1080"/>
        <w:jc w:val="both"/>
        <w:rPr>
          <w:sz w:val="16"/>
          <w:szCs w:val="16"/>
        </w:rPr>
      </w:pPr>
    </w:p>
    <w:p w14:paraId="71448210" w14:textId="39ED6BDC" w:rsidR="000970FC" w:rsidRPr="005C7D15" w:rsidRDefault="004043E5" w:rsidP="00C54377">
      <w:pPr>
        <w:ind w:left="1080"/>
        <w:jc w:val="both"/>
        <w:rPr>
          <w:sz w:val="22"/>
          <w:szCs w:val="18"/>
          <w:rtl/>
          <w:lang w:bidi="he-IL"/>
        </w:rPr>
      </w:pPr>
      <w:r w:rsidRPr="003A5947">
        <w:rPr>
          <w:rFonts w:hint="cs"/>
          <w:sz w:val="22"/>
          <w:szCs w:val="18"/>
        </w:rPr>
        <w:t>T</w:t>
      </w:r>
      <w:r w:rsidR="000970FC" w:rsidRPr="003A5947">
        <w:rPr>
          <w:sz w:val="22"/>
          <w:szCs w:val="18"/>
        </w:rPr>
        <w:t xml:space="preserve">he outstanding balance of the Company’s debt to </w:t>
      </w:r>
      <w:r w:rsidR="0012167B" w:rsidRPr="003A5947">
        <w:rPr>
          <w:sz w:val="22"/>
          <w:szCs w:val="18"/>
        </w:rPr>
        <w:t>AFI </w:t>
      </w:r>
      <w:r w:rsidR="000970FC" w:rsidRPr="003A5947">
        <w:rPr>
          <w:sz w:val="22"/>
          <w:szCs w:val="18"/>
        </w:rPr>
        <w:t xml:space="preserve">Properties under the </w:t>
      </w:r>
      <w:r w:rsidR="00E76B3A" w:rsidRPr="003A5947">
        <w:rPr>
          <w:sz w:val="22"/>
          <w:szCs w:val="18"/>
        </w:rPr>
        <w:t xml:space="preserve">2023 </w:t>
      </w:r>
      <w:r w:rsidR="000970FC" w:rsidRPr="003A5947">
        <w:rPr>
          <w:sz w:val="22"/>
          <w:szCs w:val="18"/>
        </w:rPr>
        <w:t xml:space="preserve">Loan </w:t>
      </w:r>
      <w:r w:rsidR="001473AD" w:rsidRPr="003A5947">
        <w:rPr>
          <w:sz w:val="22"/>
          <w:szCs w:val="18"/>
        </w:rPr>
        <w:t>A</w:t>
      </w:r>
      <w:r w:rsidR="000970FC" w:rsidRPr="003A5947">
        <w:rPr>
          <w:sz w:val="22"/>
          <w:szCs w:val="18"/>
        </w:rPr>
        <w:t>greement</w:t>
      </w:r>
      <w:r w:rsidR="009D7F71" w:rsidRPr="003A5947">
        <w:rPr>
          <w:sz w:val="22"/>
          <w:szCs w:val="18"/>
        </w:rPr>
        <w:t xml:space="preserve"> as </w:t>
      </w:r>
      <w:proofErr w:type="gramStart"/>
      <w:r w:rsidR="009D7F71" w:rsidRPr="003A5947">
        <w:rPr>
          <w:sz w:val="22"/>
          <w:szCs w:val="18"/>
        </w:rPr>
        <w:t>at</w:t>
      </w:r>
      <w:proofErr w:type="gramEnd"/>
      <w:r w:rsidR="009D7F71" w:rsidRPr="003A5947">
        <w:rPr>
          <w:sz w:val="22"/>
          <w:szCs w:val="18"/>
        </w:rPr>
        <w:t xml:space="preserve"> </w:t>
      </w:r>
      <w:r w:rsidR="003A6E1E" w:rsidRPr="003A5947">
        <w:rPr>
          <w:sz w:val="22"/>
          <w:szCs w:val="18"/>
        </w:rPr>
        <w:t>December 31, 20</w:t>
      </w:r>
      <w:r w:rsidR="009B70CE" w:rsidRPr="003A5947">
        <w:rPr>
          <w:sz w:val="22"/>
          <w:szCs w:val="18"/>
        </w:rPr>
        <w:t>24</w:t>
      </w:r>
      <w:r w:rsidR="000970FC" w:rsidRPr="003A5947">
        <w:rPr>
          <w:sz w:val="22"/>
          <w:szCs w:val="18"/>
        </w:rPr>
        <w:t xml:space="preserve"> </w:t>
      </w:r>
      <w:r w:rsidRPr="003A5947">
        <w:rPr>
          <w:sz w:val="22"/>
          <w:szCs w:val="18"/>
          <w:lang w:bidi="he-IL"/>
        </w:rPr>
        <w:t>wa</w:t>
      </w:r>
      <w:r w:rsidR="000970FC" w:rsidRPr="003A5947">
        <w:rPr>
          <w:sz w:val="22"/>
          <w:szCs w:val="18"/>
        </w:rPr>
        <w:t>s EUR </w:t>
      </w:r>
      <w:r w:rsidR="00F64D81" w:rsidRPr="003A5947">
        <w:rPr>
          <w:sz w:val="22"/>
          <w:szCs w:val="18"/>
        </w:rPr>
        <w:t>1,050</w:t>
      </w:r>
      <w:r w:rsidR="00522BD6" w:rsidRPr="003A5947">
        <w:rPr>
          <w:sz w:val="22"/>
          <w:szCs w:val="18"/>
        </w:rPr>
        <w:t>,</w:t>
      </w:r>
      <w:r w:rsidR="00F64D81" w:rsidRPr="003A5947">
        <w:rPr>
          <w:sz w:val="22"/>
          <w:szCs w:val="18"/>
        </w:rPr>
        <w:t>571</w:t>
      </w:r>
      <w:r w:rsidR="00364689" w:rsidRPr="003A5947">
        <w:rPr>
          <w:sz w:val="22"/>
          <w:szCs w:val="18"/>
        </w:rPr>
        <w:t xml:space="preserve"> </w:t>
      </w:r>
      <w:r w:rsidR="000970FC" w:rsidRPr="003A5947">
        <w:rPr>
          <w:sz w:val="22"/>
          <w:szCs w:val="18"/>
        </w:rPr>
        <w:t>thousand (as at December</w:t>
      </w:r>
      <w:r w:rsidR="003A6E1E" w:rsidRPr="003A5947">
        <w:rPr>
          <w:sz w:val="22"/>
          <w:szCs w:val="18"/>
        </w:rPr>
        <w:t xml:space="preserve"> 31,</w:t>
      </w:r>
      <w:r w:rsidR="000970FC" w:rsidRPr="003A5947">
        <w:rPr>
          <w:sz w:val="22"/>
          <w:szCs w:val="18"/>
        </w:rPr>
        <w:t xml:space="preserve"> </w:t>
      </w:r>
      <w:r w:rsidR="00364689" w:rsidRPr="003A5947">
        <w:rPr>
          <w:sz w:val="22"/>
          <w:szCs w:val="18"/>
        </w:rPr>
        <w:t>20</w:t>
      </w:r>
      <w:r w:rsidR="009B70CE" w:rsidRPr="003A5947">
        <w:rPr>
          <w:sz w:val="22"/>
          <w:szCs w:val="18"/>
        </w:rPr>
        <w:t>23</w:t>
      </w:r>
      <w:r w:rsidR="000970FC" w:rsidRPr="003A5947">
        <w:rPr>
          <w:sz w:val="22"/>
          <w:szCs w:val="18"/>
        </w:rPr>
        <w:t xml:space="preserve">: EUR </w:t>
      </w:r>
      <w:r w:rsidR="009B70CE" w:rsidRPr="003A5947">
        <w:rPr>
          <w:sz w:val="22"/>
          <w:szCs w:val="18"/>
        </w:rPr>
        <w:t>837,019</w:t>
      </w:r>
      <w:r w:rsidR="00364689" w:rsidRPr="003A5947">
        <w:rPr>
          <w:sz w:val="22"/>
          <w:szCs w:val="18"/>
        </w:rPr>
        <w:t xml:space="preserve"> </w:t>
      </w:r>
      <w:r w:rsidR="000970FC" w:rsidRPr="003A5947">
        <w:rPr>
          <w:sz w:val="22"/>
          <w:szCs w:val="18"/>
        </w:rPr>
        <w:t>thousand).</w:t>
      </w:r>
      <w:r w:rsidR="00C54377" w:rsidRPr="003A5947">
        <w:rPr>
          <w:sz w:val="22"/>
          <w:szCs w:val="18"/>
        </w:rPr>
        <w:t xml:space="preserve"> The </w:t>
      </w:r>
      <w:r w:rsidR="00FC6D3B" w:rsidRPr="003A5947">
        <w:rPr>
          <w:sz w:val="22"/>
          <w:szCs w:val="18"/>
        </w:rPr>
        <w:t>l</w:t>
      </w:r>
      <w:r w:rsidR="00C54377" w:rsidRPr="003A5947">
        <w:rPr>
          <w:sz w:val="22"/>
          <w:szCs w:val="18"/>
        </w:rPr>
        <w:t>oan</w:t>
      </w:r>
      <w:r w:rsidR="00C54377" w:rsidRPr="003A5947">
        <w:rPr>
          <w:rFonts w:hint="cs"/>
          <w:sz w:val="22"/>
          <w:szCs w:val="18"/>
          <w:rtl/>
          <w:lang w:bidi="he-IL"/>
        </w:rPr>
        <w:t>'</w:t>
      </w:r>
      <w:r w:rsidR="00C54377" w:rsidRPr="003A5947">
        <w:rPr>
          <w:sz w:val="22"/>
          <w:szCs w:val="18"/>
        </w:rPr>
        <w:t xml:space="preserve">s maturity date </w:t>
      </w:r>
      <w:r w:rsidR="00C54377" w:rsidRPr="003A5947">
        <w:rPr>
          <w:sz w:val="22"/>
          <w:szCs w:val="18"/>
          <w:lang w:bidi="he-IL"/>
        </w:rPr>
        <w:t>is</w:t>
      </w:r>
      <w:r w:rsidR="00C54377" w:rsidRPr="003A5947">
        <w:rPr>
          <w:sz w:val="22"/>
          <w:szCs w:val="18"/>
        </w:rPr>
        <w:t xml:space="preserve"> December 31, </w:t>
      </w:r>
      <w:r w:rsidR="001C318B" w:rsidRPr="003A5947">
        <w:rPr>
          <w:sz w:val="22"/>
          <w:szCs w:val="18"/>
        </w:rPr>
        <w:t>2030</w:t>
      </w:r>
      <w:r w:rsidR="00C54377" w:rsidRPr="003A5947">
        <w:rPr>
          <w:sz w:val="22"/>
          <w:szCs w:val="18"/>
        </w:rPr>
        <w:t>.</w:t>
      </w:r>
    </w:p>
    <w:p w14:paraId="15785B4D" w14:textId="4553591C" w:rsidR="00B15FAE" w:rsidRPr="005C7D15" w:rsidRDefault="00B15FAE">
      <w:pPr>
        <w:ind w:left="1080"/>
        <w:jc w:val="both"/>
        <w:rPr>
          <w:sz w:val="16"/>
          <w:szCs w:val="16"/>
        </w:rPr>
      </w:pPr>
    </w:p>
    <w:p w14:paraId="75442811" w14:textId="788DFDE4" w:rsidR="00AD4744" w:rsidRPr="00B87CDE" w:rsidRDefault="00364689" w:rsidP="0020502A">
      <w:pPr>
        <w:pStyle w:val="af2"/>
        <w:numPr>
          <w:ilvl w:val="0"/>
          <w:numId w:val="9"/>
        </w:numPr>
        <w:jc w:val="both"/>
        <w:rPr>
          <w:szCs w:val="18"/>
        </w:rPr>
      </w:pPr>
      <w:r w:rsidRPr="00B87CDE">
        <w:rPr>
          <w:sz w:val="22"/>
          <w:szCs w:val="18"/>
        </w:rPr>
        <w:t>The Company</w:t>
      </w:r>
      <w:r w:rsidR="008B7613" w:rsidRPr="00B87CDE">
        <w:rPr>
          <w:sz w:val="22"/>
          <w:szCs w:val="18"/>
        </w:rPr>
        <w:t xml:space="preserve"> as borrower</w:t>
      </w:r>
      <w:r w:rsidRPr="00B87CDE">
        <w:rPr>
          <w:sz w:val="22"/>
          <w:szCs w:val="18"/>
        </w:rPr>
        <w:t xml:space="preserve"> and AFI Properties </w:t>
      </w:r>
      <w:r w:rsidR="008B7613" w:rsidRPr="00B87CDE">
        <w:rPr>
          <w:sz w:val="22"/>
          <w:szCs w:val="18"/>
        </w:rPr>
        <w:t xml:space="preserve">as lender </w:t>
      </w:r>
      <w:r w:rsidRPr="00B87CDE">
        <w:rPr>
          <w:sz w:val="22"/>
          <w:szCs w:val="18"/>
        </w:rPr>
        <w:t xml:space="preserve">are parties </w:t>
      </w:r>
      <w:r w:rsidR="00F72C28" w:rsidRPr="00B87CDE">
        <w:rPr>
          <w:sz w:val="22"/>
          <w:szCs w:val="18"/>
        </w:rPr>
        <w:t xml:space="preserve">to </w:t>
      </w:r>
      <w:r w:rsidRPr="00B87CDE">
        <w:rPr>
          <w:sz w:val="22"/>
          <w:szCs w:val="18"/>
        </w:rPr>
        <w:t xml:space="preserve">a Loan Agreement dated March 16, </w:t>
      </w:r>
      <w:r w:rsidR="005230A2" w:rsidRPr="00B87CDE">
        <w:rPr>
          <w:sz w:val="22"/>
          <w:szCs w:val="18"/>
        </w:rPr>
        <w:t>2021,</w:t>
      </w:r>
      <w:r w:rsidR="008B7613" w:rsidRPr="00B87CDE">
        <w:rPr>
          <w:sz w:val="22"/>
          <w:szCs w:val="18"/>
        </w:rPr>
        <w:t xml:space="preserve"> following the transfer to the Company by AFI Corporate Financing B.V. of all of the latter’s rights and obligations under that agreement effective as of December 31, 2023</w:t>
      </w:r>
      <w:r w:rsidR="00AD4744" w:rsidRPr="00B87CDE">
        <w:rPr>
          <w:sz w:val="22"/>
          <w:szCs w:val="18"/>
        </w:rPr>
        <w:t xml:space="preserve"> (the “</w:t>
      </w:r>
      <w:r w:rsidR="00E76B3A" w:rsidRPr="00B87CDE">
        <w:rPr>
          <w:b/>
          <w:bCs/>
          <w:sz w:val="22"/>
          <w:szCs w:val="18"/>
        </w:rPr>
        <w:t xml:space="preserve">2021 </w:t>
      </w:r>
      <w:r w:rsidR="00AD4744" w:rsidRPr="00B87CDE">
        <w:rPr>
          <w:b/>
          <w:bCs/>
          <w:sz w:val="22"/>
          <w:szCs w:val="18"/>
        </w:rPr>
        <w:t>Loan Agreement</w:t>
      </w:r>
      <w:r w:rsidR="00AD4744" w:rsidRPr="00B87CDE">
        <w:rPr>
          <w:sz w:val="22"/>
          <w:szCs w:val="18"/>
        </w:rPr>
        <w:t>”)</w:t>
      </w:r>
      <w:r w:rsidR="00407078" w:rsidRPr="00B87CDE">
        <w:rPr>
          <w:sz w:val="22"/>
          <w:szCs w:val="18"/>
        </w:rPr>
        <w:t>, in relation to a</w:t>
      </w:r>
      <w:r w:rsidR="009B3FDE" w:rsidRPr="00B87CDE">
        <w:rPr>
          <w:sz w:val="22"/>
          <w:szCs w:val="18"/>
        </w:rPr>
        <w:t>n intercompany</w:t>
      </w:r>
      <w:r w:rsidR="00407078" w:rsidRPr="00B87CDE">
        <w:rPr>
          <w:sz w:val="22"/>
          <w:szCs w:val="18"/>
        </w:rPr>
        <w:t xml:space="preserve"> loan </w:t>
      </w:r>
      <w:r w:rsidR="009B3FDE" w:rsidRPr="00B87CDE">
        <w:rPr>
          <w:sz w:val="22"/>
          <w:szCs w:val="18"/>
        </w:rPr>
        <w:t>made available by AFI Properties (the “</w:t>
      </w:r>
      <w:r w:rsidR="00FC6D3B" w:rsidRPr="00B87CDE">
        <w:rPr>
          <w:b/>
          <w:bCs/>
          <w:sz w:val="22"/>
          <w:szCs w:val="18"/>
        </w:rPr>
        <w:t xml:space="preserve">2021 </w:t>
      </w:r>
      <w:r w:rsidR="009B3FDE" w:rsidRPr="00B87CDE">
        <w:rPr>
          <w:b/>
          <w:bCs/>
          <w:sz w:val="22"/>
          <w:szCs w:val="18"/>
        </w:rPr>
        <w:t>Loan</w:t>
      </w:r>
      <w:r w:rsidR="009B3FDE" w:rsidRPr="00B87CDE">
        <w:rPr>
          <w:sz w:val="22"/>
          <w:szCs w:val="18"/>
        </w:rPr>
        <w:t>”)</w:t>
      </w:r>
      <w:r w:rsidR="00AD4744" w:rsidRPr="00B87CDE">
        <w:rPr>
          <w:sz w:val="22"/>
          <w:szCs w:val="18"/>
        </w:rPr>
        <w:t>.</w:t>
      </w:r>
    </w:p>
    <w:p w14:paraId="57BA0967" w14:textId="77777777" w:rsidR="009A05CC" w:rsidRPr="009973B8" w:rsidRDefault="009A05CC" w:rsidP="00AD4744">
      <w:pPr>
        <w:ind w:left="1080"/>
        <w:jc w:val="both"/>
        <w:rPr>
          <w:sz w:val="16"/>
          <w:szCs w:val="16"/>
          <w:highlight w:val="yellow"/>
        </w:rPr>
      </w:pPr>
    </w:p>
    <w:p w14:paraId="17078F75" w14:textId="130E21AA" w:rsidR="009A05CC" w:rsidRPr="009B70CE" w:rsidRDefault="00124A6F" w:rsidP="00C54377">
      <w:pPr>
        <w:ind w:left="1080"/>
        <w:jc w:val="both"/>
        <w:rPr>
          <w:sz w:val="22"/>
          <w:szCs w:val="18"/>
        </w:rPr>
      </w:pPr>
      <w:r w:rsidRPr="009B70CE">
        <w:rPr>
          <w:sz w:val="22"/>
          <w:szCs w:val="18"/>
        </w:rPr>
        <w:t>T</w:t>
      </w:r>
      <w:r w:rsidR="00C54377" w:rsidRPr="009B70CE">
        <w:rPr>
          <w:sz w:val="22"/>
          <w:szCs w:val="18"/>
        </w:rPr>
        <w:t xml:space="preserve">he outstanding balance of the </w:t>
      </w:r>
      <w:r w:rsidR="00FC6D3B" w:rsidRPr="009B70CE">
        <w:rPr>
          <w:sz w:val="22"/>
          <w:szCs w:val="18"/>
        </w:rPr>
        <w:t xml:space="preserve">2021 </w:t>
      </w:r>
      <w:r w:rsidR="009B3FDE" w:rsidRPr="009B70CE">
        <w:rPr>
          <w:sz w:val="22"/>
          <w:szCs w:val="18"/>
        </w:rPr>
        <w:t xml:space="preserve">Loan </w:t>
      </w:r>
      <w:r w:rsidR="00C0254A" w:rsidRPr="009B70CE">
        <w:rPr>
          <w:sz w:val="22"/>
          <w:szCs w:val="18"/>
        </w:rPr>
        <w:t xml:space="preserve">as </w:t>
      </w:r>
      <w:proofErr w:type="gramStart"/>
      <w:r w:rsidR="00C0254A" w:rsidRPr="009B70CE">
        <w:rPr>
          <w:sz w:val="22"/>
          <w:szCs w:val="18"/>
        </w:rPr>
        <w:t>at</w:t>
      </w:r>
      <w:proofErr w:type="gramEnd"/>
      <w:r w:rsidR="005401CA" w:rsidRPr="009B70CE">
        <w:rPr>
          <w:sz w:val="22"/>
          <w:szCs w:val="18"/>
        </w:rPr>
        <w:t xml:space="preserve"> December </w:t>
      </w:r>
      <w:r w:rsidR="00C41F9F" w:rsidRPr="009B70CE">
        <w:rPr>
          <w:sz w:val="22"/>
          <w:szCs w:val="18"/>
        </w:rPr>
        <w:t xml:space="preserve">31, </w:t>
      </w:r>
      <w:r w:rsidR="005401CA" w:rsidRPr="009B70CE">
        <w:rPr>
          <w:sz w:val="22"/>
          <w:szCs w:val="18"/>
        </w:rPr>
        <w:t>202</w:t>
      </w:r>
      <w:r w:rsidR="009B70CE" w:rsidRPr="009B70CE">
        <w:rPr>
          <w:sz w:val="22"/>
          <w:szCs w:val="18"/>
        </w:rPr>
        <w:t>4</w:t>
      </w:r>
      <w:r w:rsidR="005401CA" w:rsidRPr="009B70CE">
        <w:rPr>
          <w:sz w:val="22"/>
          <w:szCs w:val="18"/>
        </w:rPr>
        <w:t xml:space="preserve"> </w:t>
      </w:r>
      <w:r w:rsidR="005401CA" w:rsidRPr="001C318B">
        <w:rPr>
          <w:sz w:val="22"/>
          <w:szCs w:val="18"/>
        </w:rPr>
        <w:t>was</w:t>
      </w:r>
      <w:r w:rsidR="00C54377" w:rsidRPr="001C318B">
        <w:rPr>
          <w:sz w:val="22"/>
          <w:szCs w:val="18"/>
        </w:rPr>
        <w:t xml:space="preserve"> EUR </w:t>
      </w:r>
      <w:r w:rsidR="001C318B" w:rsidRPr="001C318B">
        <w:rPr>
          <w:sz w:val="22"/>
          <w:szCs w:val="18"/>
        </w:rPr>
        <w:t>112</w:t>
      </w:r>
      <w:r w:rsidR="00C54377" w:rsidRPr="001C318B">
        <w:rPr>
          <w:sz w:val="22"/>
          <w:szCs w:val="18"/>
        </w:rPr>
        <w:t>,</w:t>
      </w:r>
      <w:r w:rsidR="001C318B" w:rsidRPr="001C318B">
        <w:rPr>
          <w:sz w:val="22"/>
          <w:szCs w:val="18"/>
        </w:rPr>
        <w:t>163</w:t>
      </w:r>
      <w:r w:rsidR="00C54377" w:rsidRPr="001C318B">
        <w:rPr>
          <w:sz w:val="22"/>
          <w:szCs w:val="18"/>
        </w:rPr>
        <w:t xml:space="preserve"> thousand</w:t>
      </w:r>
      <w:r w:rsidR="00C54377" w:rsidRPr="009B70CE">
        <w:rPr>
          <w:sz w:val="22"/>
          <w:szCs w:val="18"/>
        </w:rPr>
        <w:t xml:space="preserve"> (as at December </w:t>
      </w:r>
      <w:r w:rsidR="00AF097F" w:rsidRPr="009B70CE">
        <w:rPr>
          <w:sz w:val="22"/>
          <w:szCs w:val="18"/>
        </w:rPr>
        <w:t xml:space="preserve">31, </w:t>
      </w:r>
      <w:r w:rsidR="00C54377" w:rsidRPr="009B70CE">
        <w:rPr>
          <w:sz w:val="22"/>
          <w:szCs w:val="18"/>
        </w:rPr>
        <w:t>202</w:t>
      </w:r>
      <w:r w:rsidR="009B70CE">
        <w:rPr>
          <w:sz w:val="22"/>
          <w:szCs w:val="18"/>
        </w:rPr>
        <w:t>3</w:t>
      </w:r>
      <w:r w:rsidR="00C54377" w:rsidRPr="009B70CE">
        <w:rPr>
          <w:sz w:val="22"/>
          <w:szCs w:val="18"/>
        </w:rPr>
        <w:t>: EUR 1</w:t>
      </w:r>
      <w:r w:rsidR="009B70CE">
        <w:rPr>
          <w:sz w:val="22"/>
          <w:szCs w:val="18"/>
        </w:rPr>
        <w:t>17</w:t>
      </w:r>
      <w:r w:rsidR="00C54377" w:rsidRPr="009B70CE">
        <w:rPr>
          <w:sz w:val="22"/>
          <w:szCs w:val="18"/>
        </w:rPr>
        <w:t>,</w:t>
      </w:r>
      <w:r w:rsidR="009B70CE">
        <w:rPr>
          <w:sz w:val="22"/>
          <w:szCs w:val="18"/>
        </w:rPr>
        <w:t>393</w:t>
      </w:r>
      <w:r w:rsidR="00C54377" w:rsidRPr="009B70CE">
        <w:rPr>
          <w:sz w:val="22"/>
          <w:szCs w:val="18"/>
        </w:rPr>
        <w:t xml:space="preserve"> thousand)</w:t>
      </w:r>
      <w:r w:rsidR="009A05CC" w:rsidRPr="009B70CE">
        <w:rPr>
          <w:sz w:val="22"/>
          <w:szCs w:val="18"/>
        </w:rPr>
        <w:t xml:space="preserve">. The </w:t>
      </w:r>
      <w:r w:rsidR="00FC6D3B" w:rsidRPr="009B70CE">
        <w:rPr>
          <w:sz w:val="22"/>
          <w:szCs w:val="18"/>
        </w:rPr>
        <w:t xml:space="preserve">2021 </w:t>
      </w:r>
      <w:r w:rsidR="009A05CC" w:rsidRPr="009B70CE">
        <w:rPr>
          <w:sz w:val="22"/>
          <w:szCs w:val="18"/>
        </w:rPr>
        <w:t>Loan</w:t>
      </w:r>
      <w:r w:rsidR="00C54377" w:rsidRPr="009B70CE">
        <w:rPr>
          <w:sz w:val="22"/>
          <w:szCs w:val="18"/>
        </w:rPr>
        <w:t>’</w:t>
      </w:r>
      <w:r w:rsidR="009A05CC" w:rsidRPr="009B70CE">
        <w:rPr>
          <w:sz w:val="22"/>
          <w:szCs w:val="18"/>
        </w:rPr>
        <w:t xml:space="preserve">s maturity date </w:t>
      </w:r>
      <w:r w:rsidR="00C54377" w:rsidRPr="009B70CE">
        <w:rPr>
          <w:sz w:val="22"/>
          <w:szCs w:val="18"/>
        </w:rPr>
        <w:t>is</w:t>
      </w:r>
      <w:r w:rsidR="009A05CC" w:rsidRPr="009B70CE">
        <w:rPr>
          <w:sz w:val="22"/>
          <w:szCs w:val="18"/>
        </w:rPr>
        <w:t xml:space="preserve"> September 15, 2027</w:t>
      </w:r>
      <w:r w:rsidR="00C54377" w:rsidRPr="009B70CE">
        <w:rPr>
          <w:sz w:val="22"/>
          <w:szCs w:val="18"/>
        </w:rPr>
        <w:t>.</w:t>
      </w:r>
    </w:p>
    <w:p w14:paraId="18174995" w14:textId="77777777" w:rsidR="009A05CC" w:rsidRPr="001C318B" w:rsidRDefault="009A05CC" w:rsidP="009A05CC">
      <w:pPr>
        <w:ind w:left="1080"/>
        <w:jc w:val="both"/>
        <w:rPr>
          <w:sz w:val="16"/>
          <w:szCs w:val="16"/>
        </w:rPr>
      </w:pPr>
    </w:p>
    <w:p w14:paraId="506E96F2" w14:textId="53BB8580" w:rsidR="009A05CC" w:rsidRPr="001C318B" w:rsidRDefault="009A05CC" w:rsidP="009A05CC">
      <w:pPr>
        <w:ind w:left="1080"/>
        <w:jc w:val="both"/>
        <w:rPr>
          <w:sz w:val="22"/>
          <w:szCs w:val="22"/>
        </w:rPr>
      </w:pPr>
      <w:r w:rsidRPr="001C318B">
        <w:rPr>
          <w:sz w:val="22"/>
          <w:szCs w:val="18"/>
        </w:rPr>
        <w:t xml:space="preserve">The </w:t>
      </w:r>
      <w:r w:rsidR="00FC6D3B" w:rsidRPr="001C318B">
        <w:rPr>
          <w:sz w:val="22"/>
          <w:szCs w:val="18"/>
        </w:rPr>
        <w:t xml:space="preserve">2021 </w:t>
      </w:r>
      <w:r w:rsidRPr="001C318B">
        <w:rPr>
          <w:sz w:val="22"/>
          <w:szCs w:val="18"/>
        </w:rPr>
        <w:t xml:space="preserve">Loan </w:t>
      </w:r>
      <w:r w:rsidR="00C54377" w:rsidRPr="001C318B">
        <w:rPr>
          <w:sz w:val="22"/>
          <w:szCs w:val="18"/>
        </w:rPr>
        <w:t xml:space="preserve">was </w:t>
      </w:r>
      <w:r w:rsidRPr="001C318B">
        <w:rPr>
          <w:sz w:val="22"/>
          <w:szCs w:val="18"/>
        </w:rPr>
        <w:t xml:space="preserve">provided in connection with debt raised by AFI Properties by way of a bond offering and </w:t>
      </w:r>
      <w:r w:rsidRPr="001C318B">
        <w:rPr>
          <w:sz w:val="22"/>
          <w:szCs w:val="22"/>
        </w:rPr>
        <w:t xml:space="preserve">then on-lent to </w:t>
      </w:r>
      <w:r w:rsidR="00C54377" w:rsidRPr="001C318B">
        <w:rPr>
          <w:sz w:val="22"/>
          <w:szCs w:val="22"/>
        </w:rPr>
        <w:t>the Company</w:t>
      </w:r>
      <w:r w:rsidRPr="001C318B">
        <w:rPr>
          <w:sz w:val="22"/>
          <w:szCs w:val="22"/>
        </w:rPr>
        <w:t xml:space="preserve">, which further lent the </w:t>
      </w:r>
      <w:r w:rsidR="00FC6D3B" w:rsidRPr="001C318B">
        <w:rPr>
          <w:sz w:val="22"/>
          <w:szCs w:val="18"/>
        </w:rPr>
        <w:t xml:space="preserve">2021 </w:t>
      </w:r>
      <w:r w:rsidRPr="001C318B">
        <w:rPr>
          <w:sz w:val="22"/>
          <w:szCs w:val="22"/>
        </w:rPr>
        <w:t>Loans’ proceeds to wholly owned subsidiaries of the Company that own and operate the business park known as Airport City in Belgrade, Serbia (the “</w:t>
      </w:r>
      <w:r w:rsidRPr="001C318B">
        <w:rPr>
          <w:b/>
          <w:bCs/>
          <w:sz w:val="22"/>
          <w:szCs w:val="22"/>
        </w:rPr>
        <w:t>Property Compan</w:t>
      </w:r>
      <w:r w:rsidR="00C54377" w:rsidRPr="001C318B">
        <w:rPr>
          <w:b/>
          <w:bCs/>
          <w:sz w:val="22"/>
          <w:szCs w:val="22"/>
        </w:rPr>
        <w:t>y</w:t>
      </w:r>
      <w:r w:rsidRPr="001C318B">
        <w:rPr>
          <w:sz w:val="22"/>
          <w:szCs w:val="22"/>
        </w:rPr>
        <w:t>”).</w:t>
      </w:r>
    </w:p>
    <w:p w14:paraId="3DA19622" w14:textId="77777777" w:rsidR="009A05CC" w:rsidRPr="001C318B" w:rsidRDefault="009A05CC" w:rsidP="009A05CC">
      <w:pPr>
        <w:ind w:left="1080"/>
        <w:jc w:val="both"/>
        <w:rPr>
          <w:sz w:val="22"/>
          <w:szCs w:val="22"/>
        </w:rPr>
      </w:pPr>
    </w:p>
    <w:p w14:paraId="1929E3E7" w14:textId="56EC7DC1" w:rsidR="007B389F" w:rsidRPr="001C318B" w:rsidRDefault="009A05CC" w:rsidP="007B389F">
      <w:pPr>
        <w:pStyle w:val="af2"/>
        <w:ind w:left="1080"/>
        <w:jc w:val="both"/>
        <w:rPr>
          <w:sz w:val="22"/>
          <w:szCs w:val="22"/>
        </w:rPr>
      </w:pPr>
      <w:r w:rsidRPr="001C318B">
        <w:rPr>
          <w:sz w:val="22"/>
          <w:szCs w:val="22"/>
        </w:rPr>
        <w:t xml:space="preserve">In connection with the </w:t>
      </w:r>
      <w:proofErr w:type="gramStart"/>
      <w:r w:rsidRPr="001C318B">
        <w:rPr>
          <w:sz w:val="22"/>
          <w:szCs w:val="22"/>
        </w:rPr>
        <w:t>aforementioned transactions</w:t>
      </w:r>
      <w:proofErr w:type="gramEnd"/>
      <w:r w:rsidRPr="001C318B">
        <w:rPr>
          <w:sz w:val="22"/>
          <w:szCs w:val="22"/>
        </w:rPr>
        <w:t>, the Company</w:t>
      </w:r>
      <w:r w:rsidR="00C54377" w:rsidRPr="001C318B">
        <w:rPr>
          <w:sz w:val="22"/>
          <w:szCs w:val="22"/>
        </w:rPr>
        <w:t xml:space="preserve"> and </w:t>
      </w:r>
      <w:r w:rsidRPr="001C318B">
        <w:rPr>
          <w:sz w:val="22"/>
          <w:szCs w:val="22"/>
        </w:rPr>
        <w:t>the Property Compan</w:t>
      </w:r>
      <w:r w:rsidR="00C54377" w:rsidRPr="001C318B">
        <w:rPr>
          <w:sz w:val="22"/>
          <w:szCs w:val="22"/>
        </w:rPr>
        <w:t>y</w:t>
      </w:r>
      <w:r w:rsidRPr="001C318B">
        <w:rPr>
          <w:sz w:val="22"/>
          <w:szCs w:val="22"/>
        </w:rPr>
        <w:t>, provided various securities to the trustee of the holders of AFI Properties’ Series 12 Bonds (the “</w:t>
      </w:r>
      <w:r w:rsidRPr="001C318B">
        <w:rPr>
          <w:b/>
          <w:bCs/>
          <w:sz w:val="22"/>
          <w:szCs w:val="22"/>
        </w:rPr>
        <w:t>Trustee</w:t>
      </w:r>
      <w:r w:rsidRPr="001C318B">
        <w:rPr>
          <w:sz w:val="22"/>
          <w:szCs w:val="22"/>
        </w:rPr>
        <w:t>”, the “</w:t>
      </w:r>
      <w:r w:rsidRPr="001C318B">
        <w:rPr>
          <w:b/>
          <w:bCs/>
          <w:sz w:val="22"/>
          <w:szCs w:val="22"/>
        </w:rPr>
        <w:t>Bondholders</w:t>
      </w:r>
      <w:r w:rsidRPr="001C318B">
        <w:rPr>
          <w:sz w:val="22"/>
          <w:szCs w:val="22"/>
        </w:rPr>
        <w:t>”, respectively) to secure the payment and discharge of AFI Properties’ liabilities towards the Trustee and the Bondholders</w:t>
      </w:r>
      <w:r w:rsidR="007B389F" w:rsidRPr="001C318B">
        <w:rPr>
          <w:sz w:val="22"/>
          <w:szCs w:val="22"/>
        </w:rPr>
        <w:t>.</w:t>
      </w:r>
    </w:p>
    <w:p w14:paraId="50CB136B" w14:textId="77777777" w:rsidR="007B389F" w:rsidRPr="009973B8" w:rsidRDefault="007B389F" w:rsidP="007B389F">
      <w:pPr>
        <w:pStyle w:val="af2"/>
        <w:ind w:left="1080"/>
        <w:jc w:val="both"/>
        <w:rPr>
          <w:sz w:val="22"/>
          <w:szCs w:val="22"/>
          <w:highlight w:val="yellow"/>
        </w:rPr>
      </w:pPr>
    </w:p>
    <w:p w14:paraId="5EA3D404" w14:textId="570CC853" w:rsidR="00DA4FC8" w:rsidRPr="0020502A" w:rsidRDefault="00DA4FC8" w:rsidP="00DA4FC8">
      <w:pPr>
        <w:pStyle w:val="af2"/>
        <w:numPr>
          <w:ilvl w:val="0"/>
          <w:numId w:val="9"/>
        </w:numPr>
        <w:jc w:val="both"/>
        <w:rPr>
          <w:sz w:val="22"/>
          <w:szCs w:val="22"/>
          <w:rtl/>
        </w:rPr>
      </w:pPr>
      <w:r>
        <w:rPr>
          <w:sz w:val="22"/>
          <w:szCs w:val="22"/>
        </w:rPr>
        <w:t xml:space="preserve">On </w:t>
      </w:r>
      <w:r w:rsidR="0031320C">
        <w:rPr>
          <w:sz w:val="22"/>
          <w:szCs w:val="22"/>
        </w:rPr>
        <w:t>September 5</w:t>
      </w:r>
      <w:r w:rsidRPr="0020502A">
        <w:rPr>
          <w:sz w:val="22"/>
          <w:szCs w:val="22"/>
        </w:rPr>
        <w:t>, 202</w:t>
      </w:r>
      <w:r w:rsidR="0031320C">
        <w:rPr>
          <w:sz w:val="22"/>
          <w:szCs w:val="22"/>
        </w:rPr>
        <w:t>4</w:t>
      </w:r>
      <w:r w:rsidRPr="0020502A">
        <w:rPr>
          <w:sz w:val="22"/>
          <w:szCs w:val="22"/>
        </w:rPr>
        <w:t xml:space="preserve"> a financing agreement (the “</w:t>
      </w:r>
      <w:r w:rsidRPr="0020502A">
        <w:rPr>
          <w:b/>
          <w:bCs/>
          <w:sz w:val="22"/>
          <w:szCs w:val="22"/>
        </w:rPr>
        <w:t>Agreement</w:t>
      </w:r>
      <w:r w:rsidRPr="0020502A">
        <w:rPr>
          <w:sz w:val="22"/>
          <w:szCs w:val="22"/>
        </w:rPr>
        <w:t xml:space="preserve">”) was signed by a fully owned </w:t>
      </w:r>
      <w:r w:rsidR="0031320C">
        <w:rPr>
          <w:sz w:val="22"/>
          <w:szCs w:val="22"/>
        </w:rPr>
        <w:t xml:space="preserve">Polish </w:t>
      </w:r>
      <w:r w:rsidRPr="0020502A">
        <w:rPr>
          <w:sz w:val="22"/>
          <w:szCs w:val="22"/>
        </w:rPr>
        <w:t>subsidiary of the Company (</w:t>
      </w:r>
      <w:r w:rsidR="004F24F1">
        <w:rPr>
          <w:sz w:val="22"/>
          <w:szCs w:val="22"/>
        </w:rPr>
        <w:t xml:space="preserve">the </w:t>
      </w:r>
      <w:r w:rsidRPr="0020502A">
        <w:rPr>
          <w:sz w:val="22"/>
          <w:szCs w:val="22"/>
        </w:rPr>
        <w:t>“</w:t>
      </w:r>
      <w:r w:rsidR="004F24F1">
        <w:rPr>
          <w:b/>
          <w:bCs/>
          <w:sz w:val="22"/>
          <w:szCs w:val="22"/>
        </w:rPr>
        <w:t>Subsidiary</w:t>
      </w:r>
      <w:r w:rsidRPr="0020502A">
        <w:rPr>
          <w:sz w:val="22"/>
          <w:szCs w:val="22"/>
        </w:rPr>
        <w:t xml:space="preserve">”), in relation to a loan in the amount of EUR </w:t>
      </w:r>
      <w:r w:rsidR="00E47ECD">
        <w:rPr>
          <w:sz w:val="22"/>
          <w:szCs w:val="22"/>
        </w:rPr>
        <w:t>31</w:t>
      </w:r>
      <w:r w:rsidRPr="0020502A">
        <w:rPr>
          <w:sz w:val="22"/>
          <w:szCs w:val="22"/>
        </w:rPr>
        <w:t xml:space="preserve"> million, </w:t>
      </w:r>
      <w:r w:rsidR="00F95B87">
        <w:rPr>
          <w:sz w:val="22"/>
          <w:szCs w:val="22"/>
        </w:rPr>
        <w:t xml:space="preserve">of which an amount of EUR 25.1 million refinanced a previous loan from the same lender, </w:t>
      </w:r>
      <w:r w:rsidRPr="0020502A">
        <w:rPr>
          <w:sz w:val="22"/>
          <w:szCs w:val="22"/>
        </w:rPr>
        <w:t xml:space="preserve">secured by, </w:t>
      </w:r>
      <w:r w:rsidRPr="0020502A">
        <w:rPr>
          <w:i/>
          <w:iCs/>
          <w:sz w:val="22"/>
          <w:szCs w:val="22"/>
        </w:rPr>
        <w:t>inter alia</w:t>
      </w:r>
      <w:r w:rsidRPr="0020502A">
        <w:rPr>
          <w:sz w:val="22"/>
          <w:szCs w:val="22"/>
        </w:rPr>
        <w:t xml:space="preserve">, mortgages and pledges on </w:t>
      </w:r>
      <w:r w:rsidR="00A63DDC">
        <w:rPr>
          <w:sz w:val="22"/>
          <w:szCs w:val="22"/>
        </w:rPr>
        <w:t>an</w:t>
      </w:r>
      <w:r w:rsidRPr="0020502A">
        <w:rPr>
          <w:sz w:val="22"/>
          <w:szCs w:val="22"/>
        </w:rPr>
        <w:t xml:space="preserve"> </w:t>
      </w:r>
      <w:r w:rsidR="004F24F1">
        <w:rPr>
          <w:sz w:val="22"/>
          <w:szCs w:val="22"/>
        </w:rPr>
        <w:t>office building owned and operated by the Subsidiary in Krakow, Poland</w:t>
      </w:r>
      <w:r w:rsidR="00607074" w:rsidRPr="0020502A">
        <w:rPr>
          <w:sz w:val="22"/>
          <w:szCs w:val="22"/>
        </w:rPr>
        <w:t xml:space="preserve"> (the “</w:t>
      </w:r>
      <w:r w:rsidR="00607074" w:rsidRPr="0020502A">
        <w:rPr>
          <w:b/>
          <w:bCs/>
          <w:sz w:val="22"/>
          <w:szCs w:val="22"/>
        </w:rPr>
        <w:t>Loan</w:t>
      </w:r>
      <w:r w:rsidR="00607074" w:rsidRPr="0020502A">
        <w:rPr>
          <w:sz w:val="22"/>
          <w:szCs w:val="22"/>
        </w:rPr>
        <w:t>”)</w:t>
      </w:r>
      <w:r>
        <w:rPr>
          <w:sz w:val="22"/>
          <w:szCs w:val="22"/>
        </w:rPr>
        <w:t xml:space="preserve">. </w:t>
      </w:r>
    </w:p>
    <w:p w14:paraId="4E0997F6" w14:textId="77777777" w:rsidR="00DA4FC8" w:rsidRDefault="00DA4FC8" w:rsidP="00DA4FC8">
      <w:pPr>
        <w:pStyle w:val="af2"/>
        <w:ind w:left="360"/>
        <w:jc w:val="both"/>
        <w:rPr>
          <w:sz w:val="22"/>
          <w:szCs w:val="22"/>
          <w:rtl/>
        </w:rPr>
      </w:pPr>
    </w:p>
    <w:p w14:paraId="61179188" w14:textId="4AA7F827" w:rsidR="00DA4FC8" w:rsidRDefault="00DA4FC8" w:rsidP="00DA4FC8">
      <w:pPr>
        <w:pStyle w:val="af2"/>
        <w:ind w:left="1080"/>
        <w:jc w:val="both"/>
        <w:rPr>
          <w:sz w:val="22"/>
          <w:szCs w:val="22"/>
        </w:rPr>
      </w:pPr>
      <w:r>
        <w:rPr>
          <w:sz w:val="22"/>
          <w:szCs w:val="22"/>
        </w:rPr>
        <w:t xml:space="preserve">The Loan bears interest at an annual rate of 3-month EURIBOR </w:t>
      </w:r>
      <w:r w:rsidR="00B3462C">
        <w:rPr>
          <w:sz w:val="22"/>
          <w:szCs w:val="22"/>
        </w:rPr>
        <w:t>plus</w:t>
      </w:r>
      <w:r>
        <w:rPr>
          <w:sz w:val="22"/>
          <w:szCs w:val="22"/>
        </w:rPr>
        <w:t xml:space="preserve"> </w:t>
      </w:r>
      <w:r w:rsidR="00B3462C">
        <w:rPr>
          <w:sz w:val="22"/>
          <w:szCs w:val="22"/>
        </w:rPr>
        <w:t>an acceptable margin in the market</w:t>
      </w:r>
      <w:r>
        <w:rPr>
          <w:sz w:val="22"/>
          <w:szCs w:val="22"/>
        </w:rPr>
        <w:t xml:space="preserve"> (and the Borrower undertook to hedge the interest rate in relation to </w:t>
      </w:r>
      <w:r w:rsidR="00D748B5">
        <w:rPr>
          <w:sz w:val="22"/>
          <w:szCs w:val="22"/>
        </w:rPr>
        <w:t>the entire</w:t>
      </w:r>
      <w:r>
        <w:rPr>
          <w:sz w:val="22"/>
          <w:szCs w:val="22"/>
        </w:rPr>
        <w:t xml:space="preserve"> Loan throughout the duration of the Loan). The Loan’s final maturity date is </w:t>
      </w:r>
      <w:r w:rsidR="00B03201">
        <w:rPr>
          <w:sz w:val="22"/>
          <w:szCs w:val="22"/>
        </w:rPr>
        <w:t>September 30, 2029</w:t>
      </w:r>
      <w:r>
        <w:rPr>
          <w:sz w:val="22"/>
          <w:szCs w:val="22"/>
        </w:rPr>
        <w:t>.</w:t>
      </w:r>
    </w:p>
    <w:p w14:paraId="7FA0787E" w14:textId="77777777" w:rsidR="00DA4FC8" w:rsidRPr="003A5947" w:rsidRDefault="00DA4FC8" w:rsidP="003A5947">
      <w:pPr>
        <w:jc w:val="both"/>
        <w:rPr>
          <w:sz w:val="22"/>
          <w:szCs w:val="18"/>
          <w:highlight w:val="yellow"/>
        </w:rPr>
      </w:pPr>
    </w:p>
    <w:p w14:paraId="3B864722" w14:textId="31D20DAC" w:rsidR="00EF1C46" w:rsidRPr="0020502A" w:rsidRDefault="00EF1C46" w:rsidP="00EF1C46">
      <w:pPr>
        <w:pStyle w:val="af2"/>
        <w:numPr>
          <w:ilvl w:val="0"/>
          <w:numId w:val="9"/>
        </w:numPr>
        <w:jc w:val="both"/>
        <w:rPr>
          <w:sz w:val="22"/>
          <w:szCs w:val="22"/>
          <w:rtl/>
        </w:rPr>
      </w:pPr>
      <w:r>
        <w:rPr>
          <w:sz w:val="22"/>
          <w:szCs w:val="22"/>
        </w:rPr>
        <w:t xml:space="preserve">On </w:t>
      </w:r>
      <w:r w:rsidR="00624B4F">
        <w:rPr>
          <w:sz w:val="22"/>
          <w:szCs w:val="22"/>
        </w:rPr>
        <w:t>October 23,</w:t>
      </w:r>
      <w:r w:rsidRPr="0020502A">
        <w:rPr>
          <w:sz w:val="22"/>
          <w:szCs w:val="22"/>
        </w:rPr>
        <w:t xml:space="preserve"> </w:t>
      </w:r>
      <w:proofErr w:type="gramStart"/>
      <w:r w:rsidRPr="0020502A">
        <w:rPr>
          <w:sz w:val="22"/>
          <w:szCs w:val="22"/>
        </w:rPr>
        <w:t>202</w:t>
      </w:r>
      <w:r>
        <w:rPr>
          <w:sz w:val="22"/>
          <w:szCs w:val="22"/>
        </w:rPr>
        <w:t>4</w:t>
      </w:r>
      <w:proofErr w:type="gramEnd"/>
      <w:r w:rsidRPr="0020502A">
        <w:rPr>
          <w:sz w:val="22"/>
          <w:szCs w:val="22"/>
        </w:rPr>
        <w:t xml:space="preserve"> a financing agreement (the “</w:t>
      </w:r>
      <w:r w:rsidRPr="0020502A">
        <w:rPr>
          <w:b/>
          <w:bCs/>
          <w:sz w:val="22"/>
          <w:szCs w:val="22"/>
        </w:rPr>
        <w:t>Agreement</w:t>
      </w:r>
      <w:r w:rsidRPr="0020502A">
        <w:rPr>
          <w:sz w:val="22"/>
          <w:szCs w:val="22"/>
        </w:rPr>
        <w:t xml:space="preserve">”) was signed by a fully owned </w:t>
      </w:r>
      <w:r w:rsidR="00196442">
        <w:rPr>
          <w:sz w:val="22"/>
          <w:szCs w:val="22"/>
        </w:rPr>
        <w:t>Romanian</w:t>
      </w:r>
      <w:r>
        <w:rPr>
          <w:sz w:val="22"/>
          <w:szCs w:val="22"/>
        </w:rPr>
        <w:t xml:space="preserve"> </w:t>
      </w:r>
      <w:r w:rsidRPr="0020502A">
        <w:rPr>
          <w:sz w:val="22"/>
          <w:szCs w:val="22"/>
        </w:rPr>
        <w:t>subsidiary of the Company (</w:t>
      </w:r>
      <w:r>
        <w:rPr>
          <w:sz w:val="22"/>
          <w:szCs w:val="22"/>
        </w:rPr>
        <w:t xml:space="preserve">the </w:t>
      </w:r>
      <w:r w:rsidRPr="0020502A">
        <w:rPr>
          <w:sz w:val="22"/>
          <w:szCs w:val="22"/>
        </w:rPr>
        <w:t>“</w:t>
      </w:r>
      <w:r>
        <w:rPr>
          <w:b/>
          <w:bCs/>
          <w:sz w:val="22"/>
          <w:szCs w:val="22"/>
        </w:rPr>
        <w:t>Subsidiary</w:t>
      </w:r>
      <w:r w:rsidRPr="0020502A">
        <w:rPr>
          <w:sz w:val="22"/>
          <w:szCs w:val="22"/>
        </w:rPr>
        <w:t xml:space="preserve">”), in relation to a loan in the amount of EUR </w:t>
      </w:r>
      <w:r w:rsidR="0026209B">
        <w:rPr>
          <w:sz w:val="22"/>
          <w:szCs w:val="22"/>
        </w:rPr>
        <w:t>29.5</w:t>
      </w:r>
      <w:r w:rsidRPr="0020502A">
        <w:rPr>
          <w:sz w:val="22"/>
          <w:szCs w:val="22"/>
        </w:rPr>
        <w:t xml:space="preserve"> million, secured by, </w:t>
      </w:r>
      <w:r w:rsidRPr="0020502A">
        <w:rPr>
          <w:i/>
          <w:iCs/>
          <w:sz w:val="22"/>
          <w:szCs w:val="22"/>
        </w:rPr>
        <w:t>inter alia</w:t>
      </w:r>
      <w:r w:rsidRPr="0020502A">
        <w:rPr>
          <w:sz w:val="22"/>
          <w:szCs w:val="22"/>
        </w:rPr>
        <w:t xml:space="preserve">, mortgages and pledges on </w:t>
      </w:r>
      <w:r w:rsidR="00A63DDC">
        <w:rPr>
          <w:sz w:val="22"/>
          <w:szCs w:val="22"/>
        </w:rPr>
        <w:t>a</w:t>
      </w:r>
      <w:r w:rsidRPr="0020502A">
        <w:rPr>
          <w:sz w:val="22"/>
          <w:szCs w:val="22"/>
        </w:rPr>
        <w:t xml:space="preserve"> </w:t>
      </w:r>
      <w:r w:rsidR="00196442">
        <w:rPr>
          <w:sz w:val="22"/>
          <w:szCs w:val="22"/>
        </w:rPr>
        <w:t>retail park</w:t>
      </w:r>
      <w:r>
        <w:rPr>
          <w:sz w:val="22"/>
          <w:szCs w:val="22"/>
        </w:rPr>
        <w:t xml:space="preserve"> owned and operated by the Subsidiary in </w:t>
      </w:r>
      <w:r w:rsidR="00196442">
        <w:rPr>
          <w:sz w:val="22"/>
          <w:szCs w:val="22"/>
        </w:rPr>
        <w:t>Arad</w:t>
      </w:r>
      <w:r>
        <w:rPr>
          <w:sz w:val="22"/>
          <w:szCs w:val="22"/>
        </w:rPr>
        <w:t xml:space="preserve">, </w:t>
      </w:r>
      <w:r w:rsidR="00196442">
        <w:rPr>
          <w:sz w:val="22"/>
          <w:szCs w:val="22"/>
        </w:rPr>
        <w:t>Romania</w:t>
      </w:r>
      <w:r w:rsidRPr="0020502A">
        <w:rPr>
          <w:sz w:val="22"/>
          <w:szCs w:val="22"/>
        </w:rPr>
        <w:t xml:space="preserve"> (the “</w:t>
      </w:r>
      <w:r w:rsidRPr="0020502A">
        <w:rPr>
          <w:b/>
          <w:bCs/>
          <w:sz w:val="22"/>
          <w:szCs w:val="22"/>
        </w:rPr>
        <w:t>Loan</w:t>
      </w:r>
      <w:r w:rsidRPr="0020502A">
        <w:rPr>
          <w:sz w:val="22"/>
          <w:szCs w:val="22"/>
        </w:rPr>
        <w:t>”)</w:t>
      </w:r>
      <w:r>
        <w:rPr>
          <w:sz w:val="22"/>
          <w:szCs w:val="22"/>
        </w:rPr>
        <w:t xml:space="preserve">. </w:t>
      </w:r>
    </w:p>
    <w:p w14:paraId="2963C1C3" w14:textId="77777777" w:rsidR="00EF1C46" w:rsidRDefault="00EF1C46" w:rsidP="00EF1C46">
      <w:pPr>
        <w:pStyle w:val="af2"/>
        <w:ind w:left="360"/>
        <w:jc w:val="both"/>
        <w:rPr>
          <w:sz w:val="22"/>
          <w:szCs w:val="22"/>
          <w:rtl/>
        </w:rPr>
      </w:pPr>
    </w:p>
    <w:p w14:paraId="730D2A95" w14:textId="3DCD84E7" w:rsidR="00EF1C46" w:rsidRDefault="00EF1C46" w:rsidP="00EF1C46">
      <w:pPr>
        <w:pStyle w:val="af2"/>
        <w:ind w:left="1080"/>
        <w:jc w:val="both"/>
        <w:rPr>
          <w:sz w:val="22"/>
          <w:szCs w:val="22"/>
        </w:rPr>
      </w:pPr>
      <w:r>
        <w:rPr>
          <w:sz w:val="22"/>
          <w:szCs w:val="22"/>
        </w:rPr>
        <w:t xml:space="preserve">The Loan bears interest at an annual rate of 3-month EURIBOR </w:t>
      </w:r>
      <w:r w:rsidR="00B3462C">
        <w:rPr>
          <w:sz w:val="22"/>
          <w:szCs w:val="22"/>
        </w:rPr>
        <w:t xml:space="preserve">plus an acceptable margin in the market </w:t>
      </w:r>
      <w:r>
        <w:rPr>
          <w:sz w:val="22"/>
          <w:szCs w:val="22"/>
        </w:rPr>
        <w:t xml:space="preserve">(and the Borrower undertook to hedge the interest rate in relation to </w:t>
      </w:r>
      <w:r w:rsidR="00D748B5">
        <w:rPr>
          <w:sz w:val="22"/>
          <w:szCs w:val="22"/>
        </w:rPr>
        <w:t xml:space="preserve">the entire </w:t>
      </w:r>
      <w:r>
        <w:rPr>
          <w:sz w:val="22"/>
          <w:szCs w:val="22"/>
        </w:rPr>
        <w:t xml:space="preserve">Loan throughout the duration of the Loan). The Loan’s final maturity date is </w:t>
      </w:r>
      <w:r w:rsidR="00346DC5">
        <w:rPr>
          <w:sz w:val="22"/>
          <w:szCs w:val="22"/>
        </w:rPr>
        <w:t>October 25</w:t>
      </w:r>
      <w:r>
        <w:rPr>
          <w:sz w:val="22"/>
          <w:szCs w:val="22"/>
        </w:rPr>
        <w:t>, 2029.</w:t>
      </w:r>
    </w:p>
    <w:p w14:paraId="0C20C816" w14:textId="77777777" w:rsidR="00EF1C46" w:rsidRDefault="00EF1C46" w:rsidP="00EF1C46">
      <w:pPr>
        <w:jc w:val="both"/>
        <w:rPr>
          <w:sz w:val="22"/>
          <w:szCs w:val="18"/>
          <w:lang w:bidi="he-IL"/>
        </w:rPr>
      </w:pPr>
    </w:p>
    <w:p w14:paraId="08B75F2E" w14:textId="77777777" w:rsidR="00B3462C" w:rsidRPr="0020502A" w:rsidRDefault="00B3462C" w:rsidP="00B3462C">
      <w:pPr>
        <w:pStyle w:val="af2"/>
        <w:numPr>
          <w:ilvl w:val="0"/>
          <w:numId w:val="9"/>
        </w:numPr>
        <w:jc w:val="both"/>
        <w:rPr>
          <w:sz w:val="22"/>
          <w:szCs w:val="22"/>
          <w:rtl/>
        </w:rPr>
      </w:pPr>
      <w:r>
        <w:rPr>
          <w:sz w:val="22"/>
          <w:szCs w:val="22"/>
        </w:rPr>
        <w:t>On December 4,</w:t>
      </w:r>
      <w:r w:rsidRPr="0020502A">
        <w:rPr>
          <w:sz w:val="22"/>
          <w:szCs w:val="22"/>
        </w:rPr>
        <w:t xml:space="preserve"> 202</w:t>
      </w:r>
      <w:r>
        <w:rPr>
          <w:sz w:val="22"/>
          <w:szCs w:val="22"/>
        </w:rPr>
        <w:t>4</w:t>
      </w:r>
      <w:r w:rsidRPr="0020502A">
        <w:rPr>
          <w:sz w:val="22"/>
          <w:szCs w:val="22"/>
        </w:rPr>
        <w:t xml:space="preserve"> a financing agreement (the “</w:t>
      </w:r>
      <w:r w:rsidRPr="0020502A">
        <w:rPr>
          <w:b/>
          <w:bCs/>
          <w:sz w:val="22"/>
          <w:szCs w:val="22"/>
        </w:rPr>
        <w:t>Agreement</w:t>
      </w:r>
      <w:r w:rsidRPr="0020502A">
        <w:rPr>
          <w:sz w:val="22"/>
          <w:szCs w:val="22"/>
        </w:rPr>
        <w:t xml:space="preserve">”) was signed by a fully owned </w:t>
      </w:r>
      <w:r>
        <w:rPr>
          <w:sz w:val="22"/>
          <w:szCs w:val="22"/>
        </w:rPr>
        <w:t xml:space="preserve">Romanian </w:t>
      </w:r>
      <w:r w:rsidRPr="0020502A">
        <w:rPr>
          <w:sz w:val="22"/>
          <w:szCs w:val="22"/>
        </w:rPr>
        <w:t>subsidiary of the Company (</w:t>
      </w:r>
      <w:r>
        <w:rPr>
          <w:sz w:val="22"/>
          <w:szCs w:val="22"/>
        </w:rPr>
        <w:t xml:space="preserve">the </w:t>
      </w:r>
      <w:r w:rsidRPr="0020502A">
        <w:rPr>
          <w:sz w:val="22"/>
          <w:szCs w:val="22"/>
        </w:rPr>
        <w:t>“</w:t>
      </w:r>
      <w:r>
        <w:rPr>
          <w:b/>
          <w:bCs/>
          <w:sz w:val="22"/>
          <w:szCs w:val="22"/>
        </w:rPr>
        <w:t>Subsidiary</w:t>
      </w:r>
      <w:r w:rsidRPr="0020502A">
        <w:rPr>
          <w:sz w:val="22"/>
          <w:szCs w:val="22"/>
        </w:rPr>
        <w:t xml:space="preserve">”), in relation to a loan in the amount of EUR </w:t>
      </w:r>
      <w:r>
        <w:rPr>
          <w:sz w:val="22"/>
          <w:szCs w:val="22"/>
        </w:rPr>
        <w:t>44.77</w:t>
      </w:r>
      <w:r w:rsidRPr="0020502A">
        <w:rPr>
          <w:sz w:val="22"/>
          <w:szCs w:val="22"/>
        </w:rPr>
        <w:t xml:space="preserve"> million, secured by, </w:t>
      </w:r>
      <w:r w:rsidRPr="0020502A">
        <w:rPr>
          <w:i/>
          <w:iCs/>
          <w:sz w:val="22"/>
          <w:szCs w:val="22"/>
        </w:rPr>
        <w:t>inter alia</w:t>
      </w:r>
      <w:r w:rsidRPr="0020502A">
        <w:rPr>
          <w:sz w:val="22"/>
          <w:szCs w:val="22"/>
        </w:rPr>
        <w:t xml:space="preserve">, mortgages and pledges on </w:t>
      </w:r>
      <w:r>
        <w:rPr>
          <w:sz w:val="22"/>
          <w:szCs w:val="22"/>
        </w:rPr>
        <w:t>two office buildings owned and operated by the Subsidiary in Bucharest, Romania and known as AFI Tech Park</w:t>
      </w:r>
      <w:r w:rsidRPr="0020502A">
        <w:rPr>
          <w:sz w:val="22"/>
          <w:szCs w:val="22"/>
        </w:rPr>
        <w:t xml:space="preserve"> (the “</w:t>
      </w:r>
      <w:r w:rsidRPr="0020502A">
        <w:rPr>
          <w:b/>
          <w:bCs/>
          <w:sz w:val="22"/>
          <w:szCs w:val="22"/>
        </w:rPr>
        <w:t>Loan</w:t>
      </w:r>
      <w:r w:rsidRPr="0020502A">
        <w:rPr>
          <w:sz w:val="22"/>
          <w:szCs w:val="22"/>
        </w:rPr>
        <w:t>”)</w:t>
      </w:r>
      <w:r>
        <w:rPr>
          <w:sz w:val="22"/>
          <w:szCs w:val="22"/>
        </w:rPr>
        <w:t xml:space="preserve">. </w:t>
      </w:r>
    </w:p>
    <w:p w14:paraId="71552F56" w14:textId="77777777" w:rsidR="00B3462C" w:rsidRDefault="00B3462C" w:rsidP="00B3462C">
      <w:pPr>
        <w:pStyle w:val="af2"/>
        <w:ind w:left="1080"/>
        <w:jc w:val="both"/>
        <w:rPr>
          <w:sz w:val="22"/>
          <w:szCs w:val="22"/>
        </w:rPr>
      </w:pPr>
      <w:r>
        <w:rPr>
          <w:sz w:val="22"/>
          <w:szCs w:val="22"/>
        </w:rPr>
        <w:t xml:space="preserve">The Loan bears interest at an annual rate of 3-month EURIBOR plus an acceptable margin in the market (and the Borrower undertook to hedge the interest rate in relation to 50% of the Loan throughout the duration of the Loan). The Loan’s </w:t>
      </w:r>
      <w:proofErr w:type="gramStart"/>
      <w:r>
        <w:rPr>
          <w:sz w:val="22"/>
          <w:szCs w:val="22"/>
        </w:rPr>
        <w:t>final maturity</w:t>
      </w:r>
      <w:proofErr w:type="gramEnd"/>
      <w:r>
        <w:rPr>
          <w:sz w:val="22"/>
          <w:szCs w:val="22"/>
        </w:rPr>
        <w:t xml:space="preserve"> date is December 4, 2029.</w:t>
      </w:r>
    </w:p>
    <w:p w14:paraId="0E3FEF89" w14:textId="77777777" w:rsidR="007B00E4" w:rsidRPr="0033136A" w:rsidRDefault="007B00E4" w:rsidP="004D2121">
      <w:pPr>
        <w:pStyle w:val="af2"/>
        <w:ind w:left="1080"/>
        <w:jc w:val="both"/>
        <w:rPr>
          <w:sz w:val="22"/>
          <w:szCs w:val="22"/>
        </w:rPr>
      </w:pPr>
    </w:p>
    <w:p w14:paraId="00496475" w14:textId="32DC4838" w:rsidR="00C35D07" w:rsidRPr="0033136A" w:rsidRDefault="00C35D07" w:rsidP="00C01E5D">
      <w:pPr>
        <w:outlineLvl w:val="2"/>
        <w:rPr>
          <w:b/>
          <w:bCs/>
          <w:sz w:val="22"/>
          <w:szCs w:val="22"/>
        </w:rPr>
      </w:pPr>
      <w:bookmarkStart w:id="167" w:name="H3_Note_13__Other_NonCurrent_Liabilities"/>
      <w:r w:rsidRPr="0033136A">
        <w:rPr>
          <w:b/>
          <w:bCs/>
          <w:sz w:val="22"/>
          <w:szCs w:val="22"/>
        </w:rPr>
        <w:t>Note 1</w:t>
      </w:r>
      <w:r w:rsidR="00BF2911" w:rsidRPr="0033136A">
        <w:rPr>
          <w:b/>
          <w:bCs/>
          <w:sz w:val="22"/>
          <w:szCs w:val="22"/>
        </w:rPr>
        <w:t>3</w:t>
      </w:r>
      <w:r w:rsidRPr="0033136A">
        <w:rPr>
          <w:b/>
          <w:bCs/>
          <w:sz w:val="22"/>
          <w:szCs w:val="22"/>
        </w:rPr>
        <w:t xml:space="preserve"> - Other Non-Current Liabilities </w:t>
      </w:r>
    </w:p>
    <w:bookmarkEnd w:id="167"/>
    <w:p w14:paraId="1A9F8617" w14:textId="77777777" w:rsidR="00C35D07" w:rsidRPr="005862F2" w:rsidRDefault="00C35D07" w:rsidP="004A3C21">
      <w:pPr>
        <w:ind w:left="720"/>
        <w:rPr>
          <w:sz w:val="12"/>
          <w:szCs w:val="12"/>
          <w:rtl/>
          <w:lang w:bidi="he-IL"/>
        </w:rPr>
      </w:pPr>
    </w:p>
    <w:p w14:paraId="74E7F2ED" w14:textId="77777777" w:rsidR="00C35D07" w:rsidRPr="00F02921" w:rsidRDefault="00C35D07" w:rsidP="004A3C21">
      <w:pPr>
        <w:ind w:left="720"/>
        <w:rPr>
          <w:rStyle w:val="Koteret"/>
          <w:b w:val="0"/>
          <w:bCs/>
          <w:i/>
          <w:iCs/>
        </w:rPr>
      </w:pPr>
      <w:r w:rsidRPr="00F02921">
        <w:rPr>
          <w:rStyle w:val="Koteret"/>
          <w:b w:val="0"/>
          <w:bCs/>
          <w:i/>
          <w:iCs/>
        </w:rPr>
        <w:t>In thousands of Euros</w:t>
      </w:r>
    </w:p>
    <w:tbl>
      <w:tblPr>
        <w:tblW w:w="0" w:type="auto"/>
        <w:tblInd w:w="720" w:type="dxa"/>
        <w:tblLook w:val="06A0" w:firstRow="1" w:lastRow="0" w:firstColumn="1" w:lastColumn="0" w:noHBand="1" w:noVBand="1"/>
        <w:tblCaption w:val="AHR01"/>
        <w:tblDescription w:val="Other Non-Current Liabilities "/>
      </w:tblPr>
      <w:tblGrid>
        <w:gridCol w:w="5838"/>
        <w:gridCol w:w="1540"/>
        <w:gridCol w:w="1540"/>
      </w:tblGrid>
      <w:tr w:rsidR="00AF7251" w14:paraId="67AACD8A" w14:textId="77777777" w:rsidTr="005101BC">
        <w:trPr>
          <w:cantSplit/>
          <w:trHeight w:val="566"/>
          <w:tblHeader/>
        </w:trPr>
        <w:tc>
          <w:tcPr>
            <w:tcW w:w="5838" w:type="dxa"/>
            <w:shd w:val="clear" w:color="auto" w:fill="auto"/>
            <w:noWrap/>
            <w:vAlign w:val="bottom"/>
            <w:hideMark/>
          </w:tcPr>
          <w:p w14:paraId="015F5CC1" w14:textId="77777777" w:rsidR="00AF7251" w:rsidRPr="00866299" w:rsidRDefault="00AF7251">
            <w:pPr>
              <w:spacing w:before="40"/>
              <w:rPr>
                <w:rFonts w:ascii="Arial" w:eastAsia="Arial" w:hAnsi="Arial" w:cs="Arial"/>
                <w:sz w:val="20"/>
              </w:rPr>
            </w:pPr>
            <w:bookmarkStart w:id="168" w:name="Title_36" w:colFirst="0" w:colLast="0"/>
          </w:p>
        </w:tc>
        <w:tc>
          <w:tcPr>
            <w:tcW w:w="1540" w:type="dxa"/>
            <w:shd w:val="clear" w:color="auto" w:fill="auto"/>
            <w:vAlign w:val="bottom"/>
            <w:hideMark/>
          </w:tcPr>
          <w:p w14:paraId="3A4148ED" w14:textId="77777777" w:rsidR="00AF7251" w:rsidRPr="00866299" w:rsidRDefault="00AF7251" w:rsidP="0033136A">
            <w:pPr>
              <w:spacing w:before="40"/>
              <w:jc w:val="center"/>
              <w:rPr>
                <w:b/>
                <w:bCs/>
                <w:sz w:val="20"/>
              </w:rPr>
            </w:pPr>
            <w:r w:rsidRPr="00866299">
              <w:rPr>
                <w:b/>
                <w:bCs/>
                <w:color w:val="000000"/>
                <w:sz w:val="20"/>
              </w:rPr>
              <w:t>December 31,</w:t>
            </w:r>
          </w:p>
          <w:p w14:paraId="4275F7F5" w14:textId="3419F2C0" w:rsidR="00AF7251" w:rsidRPr="00866299" w:rsidRDefault="00AD1E41" w:rsidP="0033136A">
            <w:pPr>
              <w:pBdr>
                <w:bottom w:val="single" w:sz="4" w:space="0" w:color="000000"/>
              </w:pBdr>
              <w:spacing w:before="40"/>
              <w:ind w:left="57"/>
              <w:jc w:val="center"/>
              <w:rPr>
                <w:b/>
                <w:bCs/>
                <w:sz w:val="20"/>
              </w:rPr>
            </w:pPr>
            <w:r>
              <w:rPr>
                <w:b/>
                <w:bCs/>
                <w:color w:val="000000"/>
                <w:sz w:val="20"/>
                <w:lang w:bidi="he-IL"/>
              </w:rPr>
              <w:t>202</w:t>
            </w:r>
            <w:r w:rsidR="00C52BA0">
              <w:rPr>
                <w:b/>
                <w:bCs/>
                <w:color w:val="000000"/>
                <w:sz w:val="20"/>
                <w:lang w:bidi="he-IL"/>
              </w:rPr>
              <w:t>4</w:t>
            </w:r>
          </w:p>
        </w:tc>
        <w:tc>
          <w:tcPr>
            <w:tcW w:w="1540" w:type="dxa"/>
            <w:shd w:val="clear" w:color="auto" w:fill="auto"/>
            <w:vAlign w:val="bottom"/>
            <w:hideMark/>
          </w:tcPr>
          <w:p w14:paraId="412E965A" w14:textId="77777777" w:rsidR="00AF7251" w:rsidRPr="00866299" w:rsidRDefault="00AF7251" w:rsidP="0033136A">
            <w:pPr>
              <w:spacing w:before="40"/>
              <w:jc w:val="center"/>
              <w:rPr>
                <w:b/>
                <w:bCs/>
                <w:sz w:val="20"/>
              </w:rPr>
            </w:pPr>
            <w:r w:rsidRPr="00866299">
              <w:rPr>
                <w:b/>
                <w:bCs/>
                <w:color w:val="000000"/>
                <w:sz w:val="20"/>
              </w:rPr>
              <w:t>December 31,</w:t>
            </w:r>
          </w:p>
          <w:p w14:paraId="42B65369" w14:textId="43A905C1" w:rsidR="00AF7251" w:rsidRPr="00866299" w:rsidRDefault="00AD1E41" w:rsidP="0033136A">
            <w:pPr>
              <w:pBdr>
                <w:bottom w:val="single" w:sz="4" w:space="0" w:color="000000"/>
              </w:pBdr>
              <w:spacing w:before="40"/>
              <w:ind w:left="57"/>
              <w:jc w:val="center"/>
              <w:rPr>
                <w:b/>
                <w:bCs/>
                <w:sz w:val="20"/>
              </w:rPr>
            </w:pPr>
            <w:r>
              <w:rPr>
                <w:b/>
                <w:bCs/>
                <w:color w:val="000000"/>
                <w:sz w:val="20"/>
                <w:lang w:bidi="he-IL"/>
              </w:rPr>
              <w:t>202</w:t>
            </w:r>
            <w:r w:rsidR="00C52BA0">
              <w:rPr>
                <w:b/>
                <w:bCs/>
                <w:color w:val="000000"/>
                <w:sz w:val="20"/>
                <w:lang w:bidi="he-IL"/>
              </w:rPr>
              <w:t>3</w:t>
            </w:r>
          </w:p>
        </w:tc>
      </w:tr>
      <w:bookmarkEnd w:id="168"/>
      <w:tr w:rsidR="00A60FD7" w14:paraId="5DF50A1E" w14:textId="77777777" w:rsidTr="005101BC">
        <w:trPr>
          <w:trHeight w:val="283"/>
        </w:trPr>
        <w:tc>
          <w:tcPr>
            <w:tcW w:w="5838" w:type="dxa"/>
            <w:shd w:val="clear" w:color="auto" w:fill="auto"/>
            <w:noWrap/>
            <w:vAlign w:val="bottom"/>
            <w:hideMark/>
          </w:tcPr>
          <w:p w14:paraId="28C5BCA0" w14:textId="77777777" w:rsidR="00A60FD7" w:rsidRPr="000D55A4" w:rsidRDefault="00A60FD7" w:rsidP="00A60FD7">
            <w:pPr>
              <w:spacing w:before="40"/>
              <w:rPr>
                <w:sz w:val="22"/>
                <w:szCs w:val="22"/>
              </w:rPr>
            </w:pPr>
            <w:r w:rsidRPr="000D55A4">
              <w:rPr>
                <w:color w:val="000000"/>
                <w:sz w:val="22"/>
                <w:szCs w:val="22"/>
              </w:rPr>
              <w:t>Deposits from tenants</w:t>
            </w:r>
          </w:p>
        </w:tc>
        <w:tc>
          <w:tcPr>
            <w:tcW w:w="1540" w:type="dxa"/>
            <w:shd w:val="clear" w:color="auto" w:fill="auto"/>
            <w:noWrap/>
            <w:vAlign w:val="bottom"/>
          </w:tcPr>
          <w:p w14:paraId="44E21F11" w14:textId="28354E16" w:rsidR="00A60FD7" w:rsidRPr="00A60FD7" w:rsidRDefault="00A60FD7" w:rsidP="00A60FD7">
            <w:pPr>
              <w:spacing w:before="40"/>
              <w:jc w:val="right"/>
              <w:rPr>
                <w:b/>
                <w:bCs/>
                <w:sz w:val="22"/>
                <w:szCs w:val="22"/>
                <w:highlight w:val="yellow"/>
              </w:rPr>
            </w:pPr>
            <w:r w:rsidRPr="00A60FD7">
              <w:rPr>
                <w:sz w:val="22"/>
                <w:szCs w:val="22"/>
              </w:rPr>
              <w:t>20,858</w:t>
            </w:r>
          </w:p>
        </w:tc>
        <w:tc>
          <w:tcPr>
            <w:tcW w:w="1540" w:type="dxa"/>
            <w:shd w:val="clear" w:color="auto" w:fill="auto"/>
            <w:noWrap/>
            <w:vAlign w:val="bottom"/>
          </w:tcPr>
          <w:p w14:paraId="31CE99F5" w14:textId="56213826" w:rsidR="00A60FD7" w:rsidRPr="0033136A" w:rsidRDefault="00A60FD7" w:rsidP="00A60FD7">
            <w:pPr>
              <w:spacing w:before="40"/>
              <w:jc w:val="right"/>
              <w:rPr>
                <w:sz w:val="22"/>
                <w:szCs w:val="22"/>
              </w:rPr>
            </w:pPr>
            <w:r>
              <w:rPr>
                <w:sz w:val="22"/>
                <w:szCs w:val="22"/>
              </w:rPr>
              <w:t>19,103</w:t>
            </w:r>
          </w:p>
        </w:tc>
      </w:tr>
      <w:tr w:rsidR="00A60FD7" w14:paraId="3BFC614A" w14:textId="77777777" w:rsidTr="005101BC">
        <w:trPr>
          <w:trHeight w:val="283"/>
        </w:trPr>
        <w:tc>
          <w:tcPr>
            <w:tcW w:w="5838" w:type="dxa"/>
            <w:shd w:val="clear" w:color="auto" w:fill="auto"/>
            <w:noWrap/>
            <w:vAlign w:val="bottom"/>
          </w:tcPr>
          <w:p w14:paraId="619EAF73" w14:textId="38452051" w:rsidR="00A60FD7" w:rsidRPr="000D55A4" w:rsidRDefault="00A60FD7" w:rsidP="00A60FD7">
            <w:pPr>
              <w:spacing w:before="40"/>
              <w:rPr>
                <w:color w:val="000000"/>
                <w:sz w:val="22"/>
                <w:szCs w:val="22"/>
              </w:rPr>
            </w:pPr>
            <w:r w:rsidRPr="007B00E4">
              <w:rPr>
                <w:color w:val="000000"/>
                <w:sz w:val="22"/>
                <w:szCs w:val="22"/>
              </w:rPr>
              <w:t>Payables for derivatives instruments</w:t>
            </w:r>
          </w:p>
        </w:tc>
        <w:tc>
          <w:tcPr>
            <w:tcW w:w="1540" w:type="dxa"/>
            <w:shd w:val="clear" w:color="auto" w:fill="auto"/>
            <w:noWrap/>
            <w:vAlign w:val="bottom"/>
          </w:tcPr>
          <w:p w14:paraId="1FBDCAA3" w14:textId="710D0DAC" w:rsidR="00A60FD7" w:rsidRPr="00A60FD7" w:rsidRDefault="00A60FD7" w:rsidP="00A60FD7">
            <w:pPr>
              <w:spacing w:before="40"/>
              <w:jc w:val="right"/>
              <w:rPr>
                <w:b/>
                <w:bCs/>
                <w:sz w:val="22"/>
                <w:szCs w:val="22"/>
                <w:highlight w:val="yellow"/>
              </w:rPr>
            </w:pPr>
            <w:r w:rsidRPr="00A60FD7">
              <w:rPr>
                <w:sz w:val="22"/>
                <w:szCs w:val="22"/>
              </w:rPr>
              <w:t>4,272</w:t>
            </w:r>
          </w:p>
        </w:tc>
        <w:tc>
          <w:tcPr>
            <w:tcW w:w="1540" w:type="dxa"/>
            <w:shd w:val="clear" w:color="auto" w:fill="auto"/>
            <w:noWrap/>
            <w:vAlign w:val="bottom"/>
          </w:tcPr>
          <w:p w14:paraId="4F138C5B" w14:textId="211BF52A" w:rsidR="00A60FD7" w:rsidRPr="0033136A" w:rsidRDefault="00A60FD7" w:rsidP="00A60FD7">
            <w:pPr>
              <w:spacing w:before="40"/>
              <w:jc w:val="right"/>
              <w:rPr>
                <w:sz w:val="22"/>
                <w:szCs w:val="22"/>
              </w:rPr>
            </w:pPr>
            <w:r>
              <w:rPr>
                <w:sz w:val="22"/>
                <w:szCs w:val="22"/>
              </w:rPr>
              <w:t>7,887</w:t>
            </w:r>
          </w:p>
        </w:tc>
      </w:tr>
      <w:tr w:rsidR="00A60FD7" w:rsidRPr="002528A8" w14:paraId="76F9B038" w14:textId="77777777" w:rsidTr="005101BC">
        <w:trPr>
          <w:trHeight w:val="283"/>
        </w:trPr>
        <w:tc>
          <w:tcPr>
            <w:tcW w:w="5838" w:type="dxa"/>
            <w:shd w:val="clear" w:color="auto" w:fill="auto"/>
            <w:noWrap/>
            <w:vAlign w:val="bottom"/>
            <w:hideMark/>
          </w:tcPr>
          <w:p w14:paraId="4E1DEA97" w14:textId="77777777" w:rsidR="00A60FD7" w:rsidRPr="002528A8" w:rsidRDefault="00A60FD7" w:rsidP="00A60FD7">
            <w:pPr>
              <w:spacing w:before="40"/>
              <w:rPr>
                <w:sz w:val="22"/>
                <w:szCs w:val="22"/>
              </w:rPr>
            </w:pPr>
            <w:r w:rsidRPr="002528A8">
              <w:rPr>
                <w:color w:val="000000"/>
                <w:sz w:val="22"/>
                <w:szCs w:val="22"/>
              </w:rPr>
              <w:t>Other payables</w:t>
            </w:r>
          </w:p>
        </w:tc>
        <w:tc>
          <w:tcPr>
            <w:tcW w:w="1540" w:type="dxa"/>
            <w:shd w:val="clear" w:color="auto" w:fill="auto"/>
            <w:noWrap/>
            <w:vAlign w:val="bottom"/>
          </w:tcPr>
          <w:p w14:paraId="6CBD8130" w14:textId="4BF329C2" w:rsidR="00A60FD7" w:rsidRPr="00A60FD7" w:rsidRDefault="00C06A32" w:rsidP="00A60FD7">
            <w:pPr>
              <w:pBdr>
                <w:bottom w:val="single" w:sz="4" w:space="0" w:color="000000"/>
              </w:pBdr>
              <w:spacing w:before="40"/>
              <w:jc w:val="right"/>
              <w:rPr>
                <w:b/>
                <w:bCs/>
                <w:sz w:val="22"/>
                <w:szCs w:val="22"/>
                <w:highlight w:val="yellow"/>
                <w:lang w:bidi="he-IL"/>
              </w:rPr>
            </w:pPr>
            <w:r>
              <w:rPr>
                <w:rFonts w:hint="cs"/>
                <w:sz w:val="22"/>
                <w:szCs w:val="22"/>
                <w:rtl/>
                <w:lang w:bidi="he-IL"/>
              </w:rPr>
              <w:t>907</w:t>
            </w:r>
          </w:p>
        </w:tc>
        <w:tc>
          <w:tcPr>
            <w:tcW w:w="1540" w:type="dxa"/>
            <w:shd w:val="clear" w:color="auto" w:fill="auto"/>
            <w:noWrap/>
            <w:vAlign w:val="bottom"/>
          </w:tcPr>
          <w:p w14:paraId="3D120294" w14:textId="35492AE9" w:rsidR="00A60FD7" w:rsidRPr="0033136A" w:rsidRDefault="00A60FD7" w:rsidP="00A60FD7">
            <w:pPr>
              <w:pBdr>
                <w:bottom w:val="single" w:sz="4" w:space="0" w:color="000000"/>
              </w:pBdr>
              <w:spacing w:before="40"/>
              <w:jc w:val="right"/>
              <w:rPr>
                <w:sz w:val="22"/>
                <w:szCs w:val="22"/>
              </w:rPr>
            </w:pPr>
            <w:r>
              <w:rPr>
                <w:sz w:val="22"/>
                <w:szCs w:val="22"/>
              </w:rPr>
              <w:t>1,901</w:t>
            </w:r>
          </w:p>
        </w:tc>
      </w:tr>
      <w:tr w:rsidR="00A60FD7" w:rsidRPr="002528A8" w14:paraId="22CA616B" w14:textId="77777777" w:rsidTr="005101BC">
        <w:trPr>
          <w:trHeight w:val="283"/>
        </w:trPr>
        <w:tc>
          <w:tcPr>
            <w:tcW w:w="5838" w:type="dxa"/>
            <w:shd w:val="clear" w:color="auto" w:fill="auto"/>
            <w:noWrap/>
            <w:vAlign w:val="bottom"/>
            <w:hideMark/>
          </w:tcPr>
          <w:p w14:paraId="63EA46FB" w14:textId="77777777" w:rsidR="00A60FD7" w:rsidRPr="002528A8" w:rsidRDefault="00A60FD7" w:rsidP="00A60FD7">
            <w:pPr>
              <w:spacing w:before="40"/>
              <w:rPr>
                <w:rFonts w:ascii="Arial" w:eastAsia="Arial" w:hAnsi="Arial" w:cs="Arial"/>
                <w:sz w:val="22"/>
                <w:szCs w:val="22"/>
              </w:rPr>
            </w:pPr>
          </w:p>
        </w:tc>
        <w:tc>
          <w:tcPr>
            <w:tcW w:w="1540" w:type="dxa"/>
            <w:shd w:val="clear" w:color="auto" w:fill="auto"/>
            <w:noWrap/>
            <w:vAlign w:val="bottom"/>
          </w:tcPr>
          <w:p w14:paraId="2DB20817" w14:textId="1A442852" w:rsidR="00A60FD7" w:rsidRPr="00A60FD7" w:rsidRDefault="00C06A32" w:rsidP="00A60FD7">
            <w:pPr>
              <w:pBdr>
                <w:bottom w:val="double" w:sz="4" w:space="0" w:color="000000"/>
              </w:pBdr>
              <w:spacing w:before="40"/>
              <w:jc w:val="right"/>
              <w:rPr>
                <w:b/>
                <w:bCs/>
                <w:sz w:val="22"/>
                <w:szCs w:val="22"/>
                <w:highlight w:val="yellow"/>
              </w:rPr>
            </w:pPr>
            <w:r w:rsidRPr="00C06A32">
              <w:rPr>
                <w:sz w:val="22"/>
                <w:szCs w:val="22"/>
              </w:rPr>
              <w:t>26,037</w:t>
            </w:r>
          </w:p>
        </w:tc>
        <w:tc>
          <w:tcPr>
            <w:tcW w:w="1540" w:type="dxa"/>
            <w:shd w:val="clear" w:color="auto" w:fill="auto"/>
            <w:noWrap/>
            <w:vAlign w:val="bottom"/>
          </w:tcPr>
          <w:p w14:paraId="21ED2C54" w14:textId="43840F07" w:rsidR="00A60FD7" w:rsidRPr="0033136A" w:rsidRDefault="00A60FD7" w:rsidP="00A60FD7">
            <w:pPr>
              <w:pBdr>
                <w:bottom w:val="double" w:sz="4" w:space="0" w:color="000000"/>
              </w:pBdr>
              <w:spacing w:before="40"/>
              <w:jc w:val="right"/>
              <w:rPr>
                <w:sz w:val="22"/>
                <w:szCs w:val="22"/>
              </w:rPr>
            </w:pPr>
            <w:r>
              <w:rPr>
                <w:sz w:val="22"/>
                <w:szCs w:val="22"/>
              </w:rPr>
              <w:t>28,891</w:t>
            </w:r>
          </w:p>
        </w:tc>
      </w:tr>
    </w:tbl>
    <w:p w14:paraId="7C72C198" w14:textId="77777777" w:rsidR="0033136A" w:rsidRDefault="0033136A" w:rsidP="00C52BA0"/>
    <w:p w14:paraId="537F6B49" w14:textId="14D13771" w:rsidR="00C35D07" w:rsidRPr="00B44120" w:rsidRDefault="00C35D07" w:rsidP="00C01E5D">
      <w:pPr>
        <w:outlineLvl w:val="2"/>
        <w:rPr>
          <w:b/>
          <w:bCs/>
          <w:sz w:val="22"/>
          <w:szCs w:val="22"/>
        </w:rPr>
      </w:pPr>
      <w:bookmarkStart w:id="169" w:name="H3_Note_14__Trade_and_Other_Payables_"/>
      <w:r w:rsidRPr="00B44120">
        <w:rPr>
          <w:b/>
          <w:bCs/>
          <w:sz w:val="22"/>
          <w:szCs w:val="22"/>
        </w:rPr>
        <w:t>Note 1</w:t>
      </w:r>
      <w:r w:rsidR="00BF2911" w:rsidRPr="00B44120">
        <w:rPr>
          <w:b/>
          <w:bCs/>
          <w:sz w:val="22"/>
          <w:szCs w:val="22"/>
        </w:rPr>
        <w:t>4</w:t>
      </w:r>
      <w:r w:rsidRPr="00B44120">
        <w:rPr>
          <w:b/>
          <w:bCs/>
          <w:sz w:val="22"/>
          <w:szCs w:val="22"/>
        </w:rPr>
        <w:t xml:space="preserve"> - Trade and Other Payables </w:t>
      </w:r>
    </w:p>
    <w:bookmarkEnd w:id="169"/>
    <w:p w14:paraId="5A43B3C6" w14:textId="77777777" w:rsidR="00C35D07" w:rsidRPr="00F02921" w:rsidRDefault="00C35D07" w:rsidP="004A3C21">
      <w:pPr>
        <w:ind w:left="720"/>
        <w:rPr>
          <w:sz w:val="22"/>
          <w:szCs w:val="22"/>
          <w:rtl/>
          <w:lang w:bidi="he-IL"/>
        </w:rPr>
      </w:pPr>
    </w:p>
    <w:p w14:paraId="72548E1D" w14:textId="77777777" w:rsidR="00C35D07" w:rsidRPr="00F02921" w:rsidRDefault="00C35D07" w:rsidP="004A3C21">
      <w:pPr>
        <w:ind w:left="720"/>
        <w:rPr>
          <w:rStyle w:val="Koteret"/>
          <w:b w:val="0"/>
          <w:bCs/>
          <w:i/>
          <w:iCs/>
        </w:rPr>
      </w:pPr>
      <w:r w:rsidRPr="00F02921">
        <w:rPr>
          <w:rStyle w:val="Koteret"/>
          <w:b w:val="0"/>
          <w:bCs/>
          <w:i/>
          <w:iCs/>
        </w:rPr>
        <w:t>In thousands of Euros</w:t>
      </w:r>
    </w:p>
    <w:tbl>
      <w:tblPr>
        <w:tblW w:w="0" w:type="auto"/>
        <w:tblInd w:w="720" w:type="dxa"/>
        <w:tblLook w:val="06A0" w:firstRow="1" w:lastRow="0" w:firstColumn="1" w:lastColumn="0" w:noHBand="1" w:noVBand="1"/>
        <w:tblCaption w:val="AHR01"/>
        <w:tblDescription w:val="Trade and Other Payables "/>
      </w:tblPr>
      <w:tblGrid>
        <w:gridCol w:w="5838"/>
        <w:gridCol w:w="1540"/>
        <w:gridCol w:w="1540"/>
      </w:tblGrid>
      <w:tr w:rsidR="00C52BA0" w14:paraId="666DA32B" w14:textId="77777777" w:rsidTr="005101BC">
        <w:trPr>
          <w:cantSplit/>
          <w:trHeight w:val="566"/>
          <w:tblHeader/>
        </w:trPr>
        <w:tc>
          <w:tcPr>
            <w:tcW w:w="5838" w:type="dxa"/>
            <w:shd w:val="clear" w:color="auto" w:fill="auto"/>
            <w:noWrap/>
            <w:vAlign w:val="bottom"/>
            <w:hideMark/>
          </w:tcPr>
          <w:p w14:paraId="30DCF0E9" w14:textId="77777777" w:rsidR="00C52BA0" w:rsidRPr="00866299" w:rsidRDefault="00C52BA0" w:rsidP="00C52BA0">
            <w:pPr>
              <w:spacing w:before="40"/>
              <w:rPr>
                <w:rFonts w:ascii="Arial" w:eastAsia="Arial" w:hAnsi="Arial" w:cs="Arial"/>
                <w:sz w:val="20"/>
              </w:rPr>
            </w:pPr>
            <w:bookmarkStart w:id="170" w:name="Title_37" w:colFirst="0" w:colLast="0"/>
          </w:p>
        </w:tc>
        <w:tc>
          <w:tcPr>
            <w:tcW w:w="1540" w:type="dxa"/>
            <w:shd w:val="clear" w:color="auto" w:fill="auto"/>
            <w:vAlign w:val="bottom"/>
            <w:hideMark/>
          </w:tcPr>
          <w:p w14:paraId="7901865D" w14:textId="77777777" w:rsidR="00C52BA0" w:rsidRPr="00866299" w:rsidRDefault="00C52BA0" w:rsidP="00C52BA0">
            <w:pPr>
              <w:spacing w:before="40"/>
              <w:jc w:val="center"/>
              <w:rPr>
                <w:b/>
                <w:bCs/>
                <w:sz w:val="20"/>
              </w:rPr>
            </w:pPr>
            <w:r w:rsidRPr="00866299">
              <w:rPr>
                <w:b/>
                <w:bCs/>
                <w:color w:val="000000"/>
                <w:sz w:val="20"/>
              </w:rPr>
              <w:t>December 31,</w:t>
            </w:r>
          </w:p>
          <w:p w14:paraId="2712F695" w14:textId="4A8C86FC" w:rsidR="00C52BA0" w:rsidRPr="00866299" w:rsidRDefault="00C52BA0" w:rsidP="00C52BA0">
            <w:pPr>
              <w:pBdr>
                <w:bottom w:val="single" w:sz="4" w:space="0" w:color="000000"/>
              </w:pBdr>
              <w:spacing w:before="40"/>
              <w:ind w:left="57"/>
              <w:jc w:val="center"/>
              <w:rPr>
                <w:b/>
                <w:bCs/>
                <w:sz w:val="20"/>
              </w:rPr>
            </w:pPr>
            <w:r>
              <w:rPr>
                <w:b/>
                <w:bCs/>
                <w:color w:val="000000"/>
                <w:sz w:val="20"/>
                <w:lang w:bidi="he-IL"/>
              </w:rPr>
              <w:t>2024</w:t>
            </w:r>
          </w:p>
        </w:tc>
        <w:tc>
          <w:tcPr>
            <w:tcW w:w="1540" w:type="dxa"/>
            <w:shd w:val="clear" w:color="auto" w:fill="auto"/>
            <w:vAlign w:val="bottom"/>
            <w:hideMark/>
          </w:tcPr>
          <w:p w14:paraId="41326516" w14:textId="77777777" w:rsidR="00C52BA0" w:rsidRPr="00866299" w:rsidRDefault="00C52BA0" w:rsidP="00C52BA0">
            <w:pPr>
              <w:spacing w:before="40"/>
              <w:jc w:val="center"/>
              <w:rPr>
                <w:b/>
                <w:bCs/>
                <w:sz w:val="20"/>
              </w:rPr>
            </w:pPr>
            <w:r w:rsidRPr="00866299">
              <w:rPr>
                <w:b/>
                <w:bCs/>
                <w:color w:val="000000"/>
                <w:sz w:val="20"/>
              </w:rPr>
              <w:t>December 31,</w:t>
            </w:r>
          </w:p>
          <w:p w14:paraId="1D8A871A" w14:textId="455CCB4B" w:rsidR="00C52BA0" w:rsidRPr="00866299" w:rsidRDefault="00C52BA0" w:rsidP="00C52BA0">
            <w:pPr>
              <w:pBdr>
                <w:bottom w:val="single" w:sz="4" w:space="0" w:color="000000"/>
              </w:pBdr>
              <w:spacing w:before="40"/>
              <w:ind w:left="57"/>
              <w:jc w:val="center"/>
              <w:rPr>
                <w:b/>
                <w:bCs/>
                <w:sz w:val="20"/>
              </w:rPr>
            </w:pPr>
            <w:r>
              <w:rPr>
                <w:b/>
                <w:bCs/>
                <w:color w:val="000000"/>
                <w:sz w:val="20"/>
                <w:lang w:bidi="he-IL"/>
              </w:rPr>
              <w:t>2023</w:t>
            </w:r>
          </w:p>
        </w:tc>
      </w:tr>
      <w:bookmarkEnd w:id="170"/>
      <w:tr w:rsidR="001A6B2D" w14:paraId="470607DA" w14:textId="77777777" w:rsidTr="005101BC">
        <w:trPr>
          <w:trHeight w:val="283"/>
        </w:trPr>
        <w:tc>
          <w:tcPr>
            <w:tcW w:w="5838" w:type="dxa"/>
            <w:shd w:val="clear" w:color="auto" w:fill="auto"/>
            <w:vAlign w:val="bottom"/>
            <w:hideMark/>
          </w:tcPr>
          <w:p w14:paraId="048FA47A" w14:textId="77777777" w:rsidR="001A6B2D" w:rsidRPr="000D55A4" w:rsidRDefault="001A6B2D" w:rsidP="001A6B2D">
            <w:pPr>
              <w:spacing w:before="40"/>
              <w:rPr>
                <w:sz w:val="22"/>
                <w:szCs w:val="22"/>
              </w:rPr>
            </w:pPr>
            <w:r w:rsidRPr="000D55A4">
              <w:rPr>
                <w:color w:val="000000"/>
                <w:sz w:val="22"/>
                <w:szCs w:val="22"/>
              </w:rPr>
              <w:t>Suppliers and other trade payables</w:t>
            </w:r>
          </w:p>
        </w:tc>
        <w:tc>
          <w:tcPr>
            <w:tcW w:w="1540" w:type="dxa"/>
            <w:shd w:val="clear" w:color="auto" w:fill="auto"/>
            <w:noWrap/>
            <w:vAlign w:val="bottom"/>
          </w:tcPr>
          <w:p w14:paraId="15A59F02" w14:textId="33148473" w:rsidR="001A6B2D" w:rsidRPr="001A6B2D" w:rsidRDefault="001A6B2D" w:rsidP="001A6B2D">
            <w:pPr>
              <w:spacing w:before="40"/>
              <w:jc w:val="right"/>
              <w:rPr>
                <w:b/>
                <w:bCs/>
                <w:sz w:val="22"/>
                <w:szCs w:val="22"/>
                <w:highlight w:val="yellow"/>
              </w:rPr>
            </w:pPr>
            <w:r w:rsidRPr="001A6B2D">
              <w:rPr>
                <w:sz w:val="22"/>
                <w:szCs w:val="22"/>
              </w:rPr>
              <w:t>20,902</w:t>
            </w:r>
          </w:p>
        </w:tc>
        <w:tc>
          <w:tcPr>
            <w:tcW w:w="1540" w:type="dxa"/>
            <w:shd w:val="clear" w:color="auto" w:fill="auto"/>
            <w:noWrap/>
            <w:vAlign w:val="bottom"/>
          </w:tcPr>
          <w:p w14:paraId="0DD1DC88" w14:textId="56A6DD52" w:rsidR="001A6B2D" w:rsidRPr="0033136A" w:rsidRDefault="001A6B2D" w:rsidP="001A6B2D">
            <w:pPr>
              <w:spacing w:before="40"/>
              <w:jc w:val="right"/>
              <w:rPr>
                <w:sz w:val="22"/>
                <w:szCs w:val="22"/>
              </w:rPr>
            </w:pPr>
            <w:r>
              <w:rPr>
                <w:sz w:val="22"/>
                <w:szCs w:val="22"/>
              </w:rPr>
              <w:t>30,729</w:t>
            </w:r>
          </w:p>
        </w:tc>
      </w:tr>
      <w:tr w:rsidR="001A6B2D" w14:paraId="2C443286" w14:textId="77777777" w:rsidTr="005101BC">
        <w:trPr>
          <w:trHeight w:val="283"/>
        </w:trPr>
        <w:tc>
          <w:tcPr>
            <w:tcW w:w="5838" w:type="dxa"/>
            <w:shd w:val="clear" w:color="auto" w:fill="auto"/>
            <w:vAlign w:val="bottom"/>
            <w:hideMark/>
          </w:tcPr>
          <w:p w14:paraId="4D6803BF" w14:textId="77777777" w:rsidR="001A6B2D" w:rsidRPr="000D55A4" w:rsidRDefault="001A6B2D" w:rsidP="001A6B2D">
            <w:pPr>
              <w:spacing w:before="40"/>
              <w:rPr>
                <w:sz w:val="22"/>
                <w:szCs w:val="22"/>
              </w:rPr>
            </w:pPr>
            <w:r w:rsidRPr="000D55A4">
              <w:rPr>
                <w:color w:val="000000"/>
                <w:sz w:val="22"/>
                <w:szCs w:val="22"/>
              </w:rPr>
              <w:t xml:space="preserve">Provision, </w:t>
            </w:r>
            <w:r>
              <w:rPr>
                <w:color w:val="000000"/>
                <w:sz w:val="22"/>
                <w:szCs w:val="22"/>
              </w:rPr>
              <w:t>a</w:t>
            </w:r>
            <w:r w:rsidRPr="000D55A4">
              <w:rPr>
                <w:color w:val="000000"/>
                <w:sz w:val="22"/>
                <w:szCs w:val="22"/>
              </w:rPr>
              <w:t>ccruals expenses and deferred income</w:t>
            </w:r>
          </w:p>
        </w:tc>
        <w:tc>
          <w:tcPr>
            <w:tcW w:w="1540" w:type="dxa"/>
            <w:shd w:val="clear" w:color="auto" w:fill="auto"/>
            <w:noWrap/>
            <w:vAlign w:val="bottom"/>
          </w:tcPr>
          <w:p w14:paraId="2A649027" w14:textId="28470981" w:rsidR="001A6B2D" w:rsidRPr="001A6B2D" w:rsidRDefault="001A6B2D" w:rsidP="001A6B2D">
            <w:pPr>
              <w:spacing w:before="40"/>
              <w:jc w:val="right"/>
              <w:rPr>
                <w:b/>
                <w:bCs/>
                <w:sz w:val="22"/>
                <w:szCs w:val="22"/>
                <w:highlight w:val="yellow"/>
              </w:rPr>
            </w:pPr>
            <w:r w:rsidRPr="001A6B2D">
              <w:rPr>
                <w:sz w:val="22"/>
                <w:szCs w:val="22"/>
              </w:rPr>
              <w:t>48,441</w:t>
            </w:r>
          </w:p>
        </w:tc>
        <w:tc>
          <w:tcPr>
            <w:tcW w:w="1540" w:type="dxa"/>
            <w:shd w:val="clear" w:color="auto" w:fill="auto"/>
            <w:noWrap/>
            <w:vAlign w:val="bottom"/>
          </w:tcPr>
          <w:p w14:paraId="6EFAF2DE" w14:textId="4FE3BD46" w:rsidR="001A6B2D" w:rsidRPr="0033136A" w:rsidRDefault="001A6B2D" w:rsidP="001A6B2D">
            <w:pPr>
              <w:spacing w:before="40"/>
              <w:jc w:val="right"/>
              <w:rPr>
                <w:sz w:val="22"/>
                <w:szCs w:val="22"/>
              </w:rPr>
            </w:pPr>
            <w:r>
              <w:rPr>
                <w:sz w:val="22"/>
                <w:szCs w:val="22"/>
              </w:rPr>
              <w:t>27,586</w:t>
            </w:r>
          </w:p>
        </w:tc>
      </w:tr>
      <w:tr w:rsidR="001A6B2D" w14:paraId="1FB25633" w14:textId="77777777" w:rsidTr="005101BC">
        <w:trPr>
          <w:trHeight w:val="283"/>
        </w:trPr>
        <w:tc>
          <w:tcPr>
            <w:tcW w:w="5838" w:type="dxa"/>
            <w:shd w:val="clear" w:color="auto" w:fill="auto"/>
            <w:vAlign w:val="bottom"/>
          </w:tcPr>
          <w:p w14:paraId="7C55A9AC" w14:textId="2813A789" w:rsidR="001A6B2D" w:rsidRPr="007B00E4" w:rsidRDefault="001A6B2D" w:rsidP="001A6B2D">
            <w:pPr>
              <w:spacing w:before="40"/>
              <w:rPr>
                <w:color w:val="000000"/>
                <w:sz w:val="22"/>
                <w:szCs w:val="22"/>
              </w:rPr>
            </w:pPr>
            <w:r w:rsidRPr="001A6B2D">
              <w:rPr>
                <w:color w:val="000000"/>
                <w:sz w:val="22"/>
                <w:szCs w:val="22"/>
              </w:rPr>
              <w:t>Trade payables due to related parties</w:t>
            </w:r>
          </w:p>
        </w:tc>
        <w:tc>
          <w:tcPr>
            <w:tcW w:w="1540" w:type="dxa"/>
            <w:shd w:val="clear" w:color="auto" w:fill="auto"/>
            <w:noWrap/>
            <w:vAlign w:val="bottom"/>
          </w:tcPr>
          <w:p w14:paraId="7D5B33C7" w14:textId="0237B32D" w:rsidR="001A6B2D" w:rsidRPr="001A6B2D" w:rsidRDefault="001A6B2D" w:rsidP="001A6B2D">
            <w:pPr>
              <w:spacing w:before="40"/>
              <w:jc w:val="right"/>
              <w:rPr>
                <w:sz w:val="22"/>
                <w:szCs w:val="22"/>
              </w:rPr>
            </w:pPr>
            <w:r w:rsidRPr="001A6B2D">
              <w:rPr>
                <w:sz w:val="22"/>
                <w:szCs w:val="22"/>
              </w:rPr>
              <w:t>1,848</w:t>
            </w:r>
          </w:p>
        </w:tc>
        <w:tc>
          <w:tcPr>
            <w:tcW w:w="1540" w:type="dxa"/>
            <w:shd w:val="clear" w:color="auto" w:fill="auto"/>
            <w:noWrap/>
            <w:vAlign w:val="bottom"/>
          </w:tcPr>
          <w:p w14:paraId="2EDE42B8" w14:textId="1E7886E5" w:rsidR="001A6B2D" w:rsidRDefault="00445302" w:rsidP="001A6B2D">
            <w:pPr>
              <w:spacing w:before="40"/>
              <w:jc w:val="right"/>
              <w:rPr>
                <w:sz w:val="22"/>
                <w:szCs w:val="22"/>
                <w:lang w:bidi="he-IL"/>
              </w:rPr>
            </w:pPr>
            <w:r>
              <w:rPr>
                <w:rFonts w:hint="cs"/>
                <w:sz w:val="22"/>
                <w:szCs w:val="22"/>
                <w:rtl/>
                <w:lang w:bidi="he-IL"/>
              </w:rPr>
              <w:t>-</w:t>
            </w:r>
          </w:p>
        </w:tc>
      </w:tr>
      <w:tr w:rsidR="001A6B2D" w14:paraId="65BAA1B2" w14:textId="77777777" w:rsidTr="005101BC">
        <w:trPr>
          <w:trHeight w:val="283"/>
        </w:trPr>
        <w:tc>
          <w:tcPr>
            <w:tcW w:w="5838" w:type="dxa"/>
            <w:shd w:val="clear" w:color="auto" w:fill="auto"/>
            <w:vAlign w:val="bottom"/>
          </w:tcPr>
          <w:p w14:paraId="77362C68" w14:textId="0404DE79" w:rsidR="001A6B2D" w:rsidRPr="000D55A4" w:rsidRDefault="001A6B2D" w:rsidP="001A6B2D">
            <w:pPr>
              <w:spacing w:before="40"/>
              <w:rPr>
                <w:color w:val="000000"/>
                <w:sz w:val="22"/>
                <w:szCs w:val="22"/>
              </w:rPr>
            </w:pPr>
            <w:r w:rsidRPr="007B00E4">
              <w:rPr>
                <w:color w:val="000000"/>
                <w:sz w:val="22"/>
                <w:szCs w:val="22"/>
              </w:rPr>
              <w:t>Payables for derivatives instruments</w:t>
            </w:r>
          </w:p>
        </w:tc>
        <w:tc>
          <w:tcPr>
            <w:tcW w:w="1540" w:type="dxa"/>
            <w:shd w:val="clear" w:color="auto" w:fill="auto"/>
            <w:noWrap/>
            <w:vAlign w:val="bottom"/>
          </w:tcPr>
          <w:p w14:paraId="7452920E" w14:textId="3AF3EA36" w:rsidR="001A6B2D" w:rsidRPr="001A6B2D" w:rsidRDefault="001A6B2D" w:rsidP="001A6B2D">
            <w:pPr>
              <w:spacing w:before="40"/>
              <w:jc w:val="right"/>
              <w:rPr>
                <w:b/>
                <w:bCs/>
                <w:sz w:val="22"/>
                <w:szCs w:val="22"/>
                <w:highlight w:val="yellow"/>
              </w:rPr>
            </w:pPr>
            <w:r w:rsidRPr="001A6B2D">
              <w:rPr>
                <w:sz w:val="22"/>
                <w:szCs w:val="22"/>
              </w:rPr>
              <w:t>1,182</w:t>
            </w:r>
          </w:p>
        </w:tc>
        <w:tc>
          <w:tcPr>
            <w:tcW w:w="1540" w:type="dxa"/>
            <w:shd w:val="clear" w:color="auto" w:fill="auto"/>
            <w:noWrap/>
            <w:vAlign w:val="bottom"/>
          </w:tcPr>
          <w:p w14:paraId="1EBA2217" w14:textId="4B078F64" w:rsidR="001A6B2D" w:rsidRPr="0033136A" w:rsidRDefault="001A6B2D" w:rsidP="001A6B2D">
            <w:pPr>
              <w:spacing w:before="40"/>
              <w:jc w:val="right"/>
              <w:rPr>
                <w:sz w:val="22"/>
                <w:szCs w:val="22"/>
              </w:rPr>
            </w:pPr>
            <w:r>
              <w:rPr>
                <w:sz w:val="22"/>
                <w:szCs w:val="22"/>
              </w:rPr>
              <w:t>746</w:t>
            </w:r>
          </w:p>
        </w:tc>
      </w:tr>
      <w:tr w:rsidR="001A6B2D" w14:paraId="2FE17DC2" w14:textId="77777777" w:rsidTr="005101BC">
        <w:trPr>
          <w:trHeight w:val="283"/>
        </w:trPr>
        <w:tc>
          <w:tcPr>
            <w:tcW w:w="5838" w:type="dxa"/>
            <w:shd w:val="clear" w:color="auto" w:fill="auto"/>
            <w:vAlign w:val="bottom"/>
          </w:tcPr>
          <w:p w14:paraId="4F530C88" w14:textId="77777777" w:rsidR="001A6B2D" w:rsidRPr="000D55A4" w:rsidRDefault="001A6B2D" w:rsidP="001A6B2D">
            <w:pPr>
              <w:spacing w:before="40"/>
              <w:rPr>
                <w:color w:val="000000"/>
                <w:sz w:val="22"/>
                <w:szCs w:val="22"/>
              </w:rPr>
            </w:pPr>
            <w:r w:rsidRPr="000D55A4">
              <w:rPr>
                <w:color w:val="000000"/>
                <w:sz w:val="22"/>
                <w:szCs w:val="22"/>
              </w:rPr>
              <w:t>Interest payables</w:t>
            </w:r>
          </w:p>
        </w:tc>
        <w:tc>
          <w:tcPr>
            <w:tcW w:w="1540" w:type="dxa"/>
            <w:shd w:val="clear" w:color="auto" w:fill="auto"/>
            <w:noWrap/>
            <w:vAlign w:val="bottom"/>
          </w:tcPr>
          <w:p w14:paraId="40148CAE" w14:textId="7F3AD2E4" w:rsidR="001A6B2D" w:rsidRPr="001A6B2D" w:rsidRDefault="001A6B2D" w:rsidP="001A6B2D">
            <w:pPr>
              <w:spacing w:before="40"/>
              <w:jc w:val="right"/>
              <w:rPr>
                <w:b/>
                <w:bCs/>
                <w:sz w:val="22"/>
                <w:szCs w:val="22"/>
                <w:highlight w:val="yellow"/>
              </w:rPr>
            </w:pPr>
            <w:r w:rsidRPr="001A6B2D">
              <w:rPr>
                <w:sz w:val="22"/>
                <w:szCs w:val="22"/>
              </w:rPr>
              <w:t>11,614</w:t>
            </w:r>
          </w:p>
        </w:tc>
        <w:tc>
          <w:tcPr>
            <w:tcW w:w="1540" w:type="dxa"/>
            <w:shd w:val="clear" w:color="auto" w:fill="auto"/>
            <w:noWrap/>
            <w:vAlign w:val="bottom"/>
          </w:tcPr>
          <w:p w14:paraId="6F65CFCA" w14:textId="441A4C6E" w:rsidR="001A6B2D" w:rsidRPr="0033136A" w:rsidRDefault="001A6B2D" w:rsidP="001A6B2D">
            <w:pPr>
              <w:spacing w:before="40"/>
              <w:jc w:val="right"/>
              <w:rPr>
                <w:color w:val="000000"/>
                <w:sz w:val="22"/>
                <w:szCs w:val="22"/>
              </w:rPr>
            </w:pPr>
            <w:r>
              <w:rPr>
                <w:color w:val="000000"/>
                <w:sz w:val="22"/>
                <w:szCs w:val="22"/>
              </w:rPr>
              <w:t>11,383</w:t>
            </w:r>
          </w:p>
        </w:tc>
      </w:tr>
      <w:tr w:rsidR="001A6B2D" w14:paraId="260BE75D" w14:textId="77777777" w:rsidTr="005101BC">
        <w:trPr>
          <w:trHeight w:val="283"/>
        </w:trPr>
        <w:tc>
          <w:tcPr>
            <w:tcW w:w="5838" w:type="dxa"/>
            <w:shd w:val="clear" w:color="auto" w:fill="auto"/>
            <w:vAlign w:val="bottom"/>
            <w:hideMark/>
          </w:tcPr>
          <w:p w14:paraId="78A23B3D" w14:textId="151ABDC9" w:rsidR="001A6B2D" w:rsidRPr="000D55A4" w:rsidRDefault="001A6B2D" w:rsidP="001A6B2D">
            <w:pPr>
              <w:spacing w:before="40"/>
              <w:rPr>
                <w:sz w:val="22"/>
                <w:szCs w:val="22"/>
              </w:rPr>
            </w:pPr>
            <w:r w:rsidRPr="000D55A4">
              <w:rPr>
                <w:color w:val="000000"/>
                <w:sz w:val="22"/>
                <w:szCs w:val="22"/>
              </w:rPr>
              <w:t xml:space="preserve">Advances from </w:t>
            </w:r>
            <w:r>
              <w:rPr>
                <w:color w:val="000000"/>
                <w:sz w:val="22"/>
                <w:szCs w:val="22"/>
              </w:rPr>
              <w:t>tenants</w:t>
            </w:r>
          </w:p>
        </w:tc>
        <w:tc>
          <w:tcPr>
            <w:tcW w:w="1540" w:type="dxa"/>
            <w:shd w:val="clear" w:color="auto" w:fill="auto"/>
            <w:noWrap/>
            <w:vAlign w:val="bottom"/>
          </w:tcPr>
          <w:p w14:paraId="02C7831B" w14:textId="7A19791A" w:rsidR="001A6B2D" w:rsidRPr="001A6B2D" w:rsidRDefault="001A6B2D" w:rsidP="001A6B2D">
            <w:pPr>
              <w:spacing w:before="40"/>
              <w:jc w:val="right"/>
              <w:rPr>
                <w:b/>
                <w:bCs/>
                <w:sz w:val="22"/>
                <w:szCs w:val="22"/>
                <w:highlight w:val="yellow"/>
              </w:rPr>
            </w:pPr>
            <w:r w:rsidRPr="001A6B2D">
              <w:rPr>
                <w:sz w:val="22"/>
                <w:szCs w:val="22"/>
              </w:rPr>
              <w:t>4,449</w:t>
            </w:r>
          </w:p>
        </w:tc>
        <w:tc>
          <w:tcPr>
            <w:tcW w:w="1540" w:type="dxa"/>
            <w:shd w:val="clear" w:color="auto" w:fill="auto"/>
            <w:noWrap/>
            <w:vAlign w:val="bottom"/>
          </w:tcPr>
          <w:p w14:paraId="3AFD64AC" w14:textId="68AB7AB1" w:rsidR="001A6B2D" w:rsidRPr="0033136A" w:rsidRDefault="001A6B2D" w:rsidP="001A6B2D">
            <w:pPr>
              <w:spacing w:before="40"/>
              <w:jc w:val="right"/>
              <w:rPr>
                <w:sz w:val="22"/>
                <w:szCs w:val="22"/>
              </w:rPr>
            </w:pPr>
            <w:r>
              <w:rPr>
                <w:sz w:val="22"/>
                <w:szCs w:val="22"/>
              </w:rPr>
              <w:t>5,277</w:t>
            </w:r>
          </w:p>
        </w:tc>
      </w:tr>
      <w:tr w:rsidR="001A6B2D" w14:paraId="0D2DA0B4" w14:textId="77777777" w:rsidTr="005101BC">
        <w:trPr>
          <w:trHeight w:val="283"/>
        </w:trPr>
        <w:tc>
          <w:tcPr>
            <w:tcW w:w="5838" w:type="dxa"/>
            <w:shd w:val="clear" w:color="auto" w:fill="auto"/>
            <w:vAlign w:val="bottom"/>
          </w:tcPr>
          <w:p w14:paraId="78E54032" w14:textId="6DB90DA6" w:rsidR="001A6B2D" w:rsidRPr="00582A93" w:rsidRDefault="001A6B2D" w:rsidP="001A6B2D">
            <w:pPr>
              <w:spacing w:before="40"/>
              <w:rPr>
                <w:color w:val="000000"/>
                <w:sz w:val="22"/>
                <w:szCs w:val="22"/>
              </w:rPr>
            </w:pPr>
            <w:r w:rsidRPr="00250238">
              <w:rPr>
                <w:color w:val="000000"/>
                <w:sz w:val="22"/>
                <w:szCs w:val="22"/>
              </w:rPr>
              <w:t xml:space="preserve">Share purchase </w:t>
            </w:r>
            <w:r w:rsidRPr="00DE2B73">
              <w:rPr>
                <w:color w:val="000000"/>
                <w:sz w:val="22"/>
                <w:szCs w:val="22"/>
              </w:rPr>
              <w:t>payables</w:t>
            </w:r>
            <w:r>
              <w:rPr>
                <w:color w:val="000000"/>
                <w:sz w:val="22"/>
                <w:szCs w:val="22"/>
              </w:rPr>
              <w:t xml:space="preserve"> (1) </w:t>
            </w:r>
          </w:p>
        </w:tc>
        <w:tc>
          <w:tcPr>
            <w:tcW w:w="1540" w:type="dxa"/>
            <w:shd w:val="clear" w:color="auto" w:fill="auto"/>
            <w:noWrap/>
            <w:vAlign w:val="bottom"/>
          </w:tcPr>
          <w:p w14:paraId="0DDCB1EF" w14:textId="66CF7649" w:rsidR="001A6B2D" w:rsidRPr="001A6B2D" w:rsidRDefault="001A6B2D" w:rsidP="001A6B2D">
            <w:pPr>
              <w:spacing w:before="40"/>
              <w:jc w:val="right"/>
              <w:rPr>
                <w:b/>
                <w:bCs/>
                <w:sz w:val="22"/>
                <w:szCs w:val="22"/>
                <w:highlight w:val="yellow"/>
              </w:rPr>
            </w:pPr>
            <w:r w:rsidRPr="001A6B2D">
              <w:rPr>
                <w:sz w:val="22"/>
                <w:szCs w:val="22"/>
              </w:rPr>
              <w:t>3,562</w:t>
            </w:r>
          </w:p>
        </w:tc>
        <w:tc>
          <w:tcPr>
            <w:tcW w:w="1540" w:type="dxa"/>
            <w:shd w:val="clear" w:color="auto" w:fill="auto"/>
            <w:noWrap/>
            <w:vAlign w:val="bottom"/>
          </w:tcPr>
          <w:p w14:paraId="66A2C35C" w14:textId="20600937" w:rsidR="001A6B2D" w:rsidRPr="0033136A" w:rsidRDefault="001A6B2D" w:rsidP="001A6B2D">
            <w:pPr>
              <w:spacing w:before="40"/>
              <w:jc w:val="right"/>
              <w:rPr>
                <w:sz w:val="22"/>
                <w:szCs w:val="22"/>
              </w:rPr>
            </w:pPr>
            <w:r>
              <w:rPr>
                <w:sz w:val="22"/>
                <w:szCs w:val="22"/>
              </w:rPr>
              <w:t>53,621</w:t>
            </w:r>
          </w:p>
        </w:tc>
      </w:tr>
      <w:tr w:rsidR="001A6B2D" w14:paraId="7516CF05" w14:textId="77777777" w:rsidTr="005101BC">
        <w:trPr>
          <w:trHeight w:val="283"/>
        </w:trPr>
        <w:tc>
          <w:tcPr>
            <w:tcW w:w="5838" w:type="dxa"/>
            <w:shd w:val="clear" w:color="auto" w:fill="auto"/>
            <w:noWrap/>
            <w:vAlign w:val="bottom"/>
            <w:hideMark/>
          </w:tcPr>
          <w:p w14:paraId="31B7B334" w14:textId="77777777" w:rsidR="001A6B2D" w:rsidRPr="000D55A4" w:rsidRDefault="001A6B2D" w:rsidP="001A6B2D">
            <w:pPr>
              <w:spacing w:before="40"/>
              <w:rPr>
                <w:sz w:val="22"/>
                <w:szCs w:val="22"/>
              </w:rPr>
            </w:pPr>
            <w:r w:rsidRPr="000D55A4">
              <w:rPr>
                <w:color w:val="000000"/>
                <w:sz w:val="22"/>
                <w:szCs w:val="22"/>
              </w:rPr>
              <w:t>Others</w:t>
            </w:r>
          </w:p>
        </w:tc>
        <w:tc>
          <w:tcPr>
            <w:tcW w:w="1540" w:type="dxa"/>
            <w:shd w:val="clear" w:color="auto" w:fill="auto"/>
            <w:noWrap/>
            <w:vAlign w:val="bottom"/>
          </w:tcPr>
          <w:p w14:paraId="6F629240" w14:textId="00EE906F" w:rsidR="001A6B2D" w:rsidRPr="001A6B2D" w:rsidRDefault="001A6B2D" w:rsidP="001A6B2D">
            <w:pPr>
              <w:pBdr>
                <w:bottom w:val="single" w:sz="4" w:space="0" w:color="000000"/>
              </w:pBdr>
              <w:spacing w:before="40"/>
              <w:jc w:val="right"/>
              <w:rPr>
                <w:b/>
                <w:bCs/>
                <w:sz w:val="22"/>
                <w:szCs w:val="22"/>
                <w:highlight w:val="yellow"/>
                <w:lang w:bidi="he-IL"/>
              </w:rPr>
            </w:pPr>
            <w:r w:rsidRPr="001A6B2D">
              <w:rPr>
                <w:sz w:val="22"/>
                <w:szCs w:val="22"/>
              </w:rPr>
              <w:t>11,30</w:t>
            </w:r>
            <w:r w:rsidR="0084085E">
              <w:rPr>
                <w:rFonts w:hint="cs"/>
                <w:sz w:val="22"/>
                <w:szCs w:val="22"/>
                <w:rtl/>
                <w:lang w:bidi="he-IL"/>
              </w:rPr>
              <w:t>1</w:t>
            </w:r>
          </w:p>
        </w:tc>
        <w:tc>
          <w:tcPr>
            <w:tcW w:w="1540" w:type="dxa"/>
            <w:shd w:val="clear" w:color="auto" w:fill="auto"/>
            <w:noWrap/>
            <w:vAlign w:val="bottom"/>
          </w:tcPr>
          <w:p w14:paraId="3391A294" w14:textId="190FDB36" w:rsidR="001A6B2D" w:rsidRPr="0033136A" w:rsidRDefault="001A6B2D" w:rsidP="001A6B2D">
            <w:pPr>
              <w:pBdr>
                <w:bottom w:val="single" w:sz="4" w:space="0" w:color="000000"/>
              </w:pBdr>
              <w:spacing w:before="40"/>
              <w:jc w:val="right"/>
              <w:rPr>
                <w:sz w:val="22"/>
                <w:szCs w:val="22"/>
              </w:rPr>
            </w:pPr>
            <w:r>
              <w:rPr>
                <w:sz w:val="22"/>
                <w:szCs w:val="22"/>
              </w:rPr>
              <w:t>13,235</w:t>
            </w:r>
          </w:p>
        </w:tc>
      </w:tr>
      <w:tr w:rsidR="001A6B2D" w14:paraId="66640B82" w14:textId="77777777" w:rsidTr="005101BC">
        <w:trPr>
          <w:trHeight w:val="283"/>
        </w:trPr>
        <w:tc>
          <w:tcPr>
            <w:tcW w:w="5838" w:type="dxa"/>
            <w:shd w:val="clear" w:color="auto" w:fill="auto"/>
            <w:noWrap/>
            <w:vAlign w:val="bottom"/>
            <w:hideMark/>
          </w:tcPr>
          <w:p w14:paraId="0710E90F" w14:textId="77777777" w:rsidR="001A6B2D" w:rsidRPr="000D55A4" w:rsidRDefault="001A6B2D" w:rsidP="001A6B2D">
            <w:pPr>
              <w:spacing w:before="40"/>
              <w:rPr>
                <w:rFonts w:ascii="Arial" w:eastAsia="Arial" w:hAnsi="Arial" w:cs="Arial"/>
                <w:sz w:val="22"/>
                <w:szCs w:val="22"/>
              </w:rPr>
            </w:pPr>
          </w:p>
        </w:tc>
        <w:tc>
          <w:tcPr>
            <w:tcW w:w="1540" w:type="dxa"/>
            <w:shd w:val="clear" w:color="auto" w:fill="auto"/>
            <w:noWrap/>
            <w:vAlign w:val="bottom"/>
          </w:tcPr>
          <w:p w14:paraId="2EC989D7" w14:textId="5D46EE69" w:rsidR="001A6B2D" w:rsidRPr="001A6B2D" w:rsidRDefault="001A6B2D" w:rsidP="001A6B2D">
            <w:pPr>
              <w:pBdr>
                <w:bottom w:val="double" w:sz="4" w:space="0" w:color="000000"/>
              </w:pBdr>
              <w:spacing w:before="40"/>
              <w:jc w:val="right"/>
              <w:rPr>
                <w:b/>
                <w:bCs/>
                <w:sz w:val="22"/>
                <w:szCs w:val="22"/>
                <w:highlight w:val="yellow"/>
              </w:rPr>
            </w:pPr>
            <w:r w:rsidRPr="001A6B2D">
              <w:rPr>
                <w:sz w:val="22"/>
                <w:szCs w:val="22"/>
              </w:rPr>
              <w:t>103,299</w:t>
            </w:r>
          </w:p>
        </w:tc>
        <w:tc>
          <w:tcPr>
            <w:tcW w:w="1540" w:type="dxa"/>
            <w:shd w:val="clear" w:color="auto" w:fill="auto"/>
            <w:noWrap/>
            <w:vAlign w:val="bottom"/>
          </w:tcPr>
          <w:p w14:paraId="04B9C916" w14:textId="4E74E14E" w:rsidR="001A6B2D" w:rsidRPr="0033136A" w:rsidRDefault="001A6B2D" w:rsidP="001A6B2D">
            <w:pPr>
              <w:pBdr>
                <w:bottom w:val="double" w:sz="4" w:space="0" w:color="000000"/>
              </w:pBdr>
              <w:spacing w:before="40"/>
              <w:jc w:val="right"/>
              <w:rPr>
                <w:sz w:val="22"/>
                <w:szCs w:val="22"/>
              </w:rPr>
            </w:pPr>
            <w:r>
              <w:rPr>
                <w:sz w:val="22"/>
                <w:szCs w:val="22"/>
              </w:rPr>
              <w:t>142,577</w:t>
            </w:r>
          </w:p>
        </w:tc>
      </w:tr>
    </w:tbl>
    <w:p w14:paraId="164A63F6" w14:textId="3EE99A94" w:rsidR="00862EC6" w:rsidRDefault="00862EC6" w:rsidP="00BE673C">
      <w:pPr>
        <w:jc w:val="both"/>
        <w:rPr>
          <w:b/>
          <w:bCs/>
          <w:sz w:val="26"/>
          <w:szCs w:val="26"/>
        </w:rPr>
      </w:pPr>
    </w:p>
    <w:p w14:paraId="68B9EA60" w14:textId="64A45989" w:rsidR="000C6776" w:rsidRPr="00B9335F" w:rsidRDefault="00862EC6" w:rsidP="00C5462B">
      <w:pPr>
        <w:numPr>
          <w:ilvl w:val="0"/>
          <w:numId w:val="30"/>
        </w:numPr>
        <w:jc w:val="both"/>
        <w:rPr>
          <w:b/>
          <w:bCs/>
          <w:sz w:val="26"/>
          <w:szCs w:val="26"/>
        </w:rPr>
      </w:pPr>
      <w:r w:rsidRPr="00B9335F">
        <w:rPr>
          <w:sz w:val="22"/>
          <w:szCs w:val="18"/>
        </w:rPr>
        <w:t xml:space="preserve">Share purchase payables </w:t>
      </w:r>
      <w:r w:rsidR="00CE0F26">
        <w:rPr>
          <w:sz w:val="22"/>
          <w:szCs w:val="18"/>
        </w:rPr>
        <w:t xml:space="preserve">in 2023 </w:t>
      </w:r>
      <w:r w:rsidRPr="00B9335F">
        <w:rPr>
          <w:sz w:val="22"/>
          <w:szCs w:val="18"/>
        </w:rPr>
        <w:t xml:space="preserve">include approx. EUR </w:t>
      </w:r>
      <w:r w:rsidR="00C242AE" w:rsidRPr="00B9335F">
        <w:rPr>
          <w:sz w:val="22"/>
          <w:szCs w:val="18"/>
        </w:rPr>
        <w:t xml:space="preserve">50.5 </w:t>
      </w:r>
      <w:r w:rsidRPr="00B9335F">
        <w:rPr>
          <w:sz w:val="22"/>
          <w:szCs w:val="18"/>
        </w:rPr>
        <w:t xml:space="preserve">million related to the acquisition by the Company of 70% in a partnership that holds leasehold rights in respect of </w:t>
      </w:r>
      <w:proofErr w:type="spellStart"/>
      <w:r w:rsidRPr="00B9335F">
        <w:rPr>
          <w:sz w:val="22"/>
          <w:szCs w:val="18"/>
        </w:rPr>
        <w:t>of</w:t>
      </w:r>
      <w:proofErr w:type="spellEnd"/>
      <w:r w:rsidRPr="00B9335F">
        <w:rPr>
          <w:sz w:val="22"/>
          <w:szCs w:val="18"/>
        </w:rPr>
        <w:t xml:space="preserve"> approx. 65,000 sqm</w:t>
      </w:r>
      <w:r w:rsidR="00B3462C">
        <w:rPr>
          <w:sz w:val="22"/>
          <w:szCs w:val="18"/>
        </w:rPr>
        <w:t xml:space="preserve"> land plots</w:t>
      </w:r>
      <w:r w:rsidRPr="00B9335F">
        <w:rPr>
          <w:sz w:val="22"/>
          <w:szCs w:val="18"/>
        </w:rPr>
        <w:t xml:space="preserve"> in central Warsaw, Poland. </w:t>
      </w:r>
      <w:r w:rsidR="00F64D81">
        <w:rPr>
          <w:sz w:val="22"/>
          <w:szCs w:val="18"/>
        </w:rPr>
        <w:t xml:space="preserve">The </w:t>
      </w:r>
      <w:r w:rsidR="00F64D81">
        <w:rPr>
          <w:sz w:val="22"/>
          <w:szCs w:val="22"/>
        </w:rPr>
        <w:t>Group paid</w:t>
      </w:r>
      <w:r w:rsidR="00F64D81" w:rsidRPr="00A20B61">
        <w:rPr>
          <w:sz w:val="22"/>
          <w:szCs w:val="22"/>
        </w:rPr>
        <w:t xml:space="preserve"> </w:t>
      </w:r>
      <w:r w:rsidR="00F64D81">
        <w:rPr>
          <w:sz w:val="22"/>
          <w:szCs w:val="22"/>
        </w:rPr>
        <w:t xml:space="preserve">in August 2024 the </w:t>
      </w:r>
      <w:r w:rsidR="00F64D81" w:rsidRPr="00A20B61">
        <w:rPr>
          <w:sz w:val="22"/>
          <w:szCs w:val="22"/>
        </w:rPr>
        <w:t xml:space="preserve">remaining part of the consideration according to </w:t>
      </w:r>
      <w:r w:rsidR="00F64D81">
        <w:rPr>
          <w:sz w:val="22"/>
          <w:szCs w:val="22"/>
        </w:rPr>
        <w:t xml:space="preserve">the </w:t>
      </w:r>
      <w:r w:rsidR="00F64D81" w:rsidRPr="00A20B61">
        <w:rPr>
          <w:sz w:val="22"/>
          <w:szCs w:val="22"/>
        </w:rPr>
        <w:t>agreed milestone</w:t>
      </w:r>
      <w:r w:rsidR="00CE0F26">
        <w:rPr>
          <w:sz w:val="22"/>
          <w:szCs w:val="18"/>
        </w:rPr>
        <w:t>.</w:t>
      </w:r>
      <w:r w:rsidR="00B9335F" w:rsidRPr="00B9335F">
        <w:rPr>
          <w:sz w:val="22"/>
          <w:szCs w:val="18"/>
        </w:rPr>
        <w:t xml:space="preserve"> </w:t>
      </w:r>
      <w:r w:rsidR="00CE0F26">
        <w:rPr>
          <w:sz w:val="22"/>
          <w:szCs w:val="18"/>
        </w:rPr>
        <w:t>F</w:t>
      </w:r>
      <w:r w:rsidR="00CE0F26" w:rsidRPr="00B9335F">
        <w:rPr>
          <w:sz w:val="22"/>
          <w:szCs w:val="18"/>
        </w:rPr>
        <w:t>or</w:t>
      </w:r>
      <w:r w:rsidRPr="00B9335F">
        <w:rPr>
          <w:sz w:val="22"/>
          <w:szCs w:val="18"/>
        </w:rPr>
        <w:t xml:space="preserve"> further information see </w:t>
      </w:r>
      <w:r w:rsidRPr="00B9335F">
        <w:rPr>
          <w:color w:val="000000"/>
          <w:sz w:val="22"/>
          <w:szCs w:val="22"/>
        </w:rPr>
        <w:t>Note 4(1)(</w:t>
      </w:r>
      <w:r w:rsidR="00C242AE" w:rsidRPr="00B9335F">
        <w:rPr>
          <w:color w:val="000000"/>
          <w:sz w:val="22"/>
          <w:szCs w:val="22"/>
        </w:rPr>
        <w:t>E</w:t>
      </w:r>
      <w:r w:rsidRPr="00B9335F">
        <w:rPr>
          <w:color w:val="000000"/>
          <w:sz w:val="22"/>
          <w:szCs w:val="22"/>
        </w:rPr>
        <w:t>).</w:t>
      </w:r>
    </w:p>
    <w:p w14:paraId="2A6A4DF6" w14:textId="77777777" w:rsidR="00B44120" w:rsidRDefault="00B44120" w:rsidP="0020502A">
      <w:pPr>
        <w:rPr>
          <w:b/>
          <w:bCs/>
          <w:sz w:val="22"/>
          <w:szCs w:val="22"/>
          <w:rtl/>
          <w:lang w:bidi="he-IL"/>
        </w:rPr>
      </w:pPr>
      <w:bookmarkStart w:id="171" w:name="H3_Note_16__Revenue_from_Contracts_with_"/>
    </w:p>
    <w:p w14:paraId="2F1A8F70" w14:textId="77777777" w:rsidR="00B3462C" w:rsidRDefault="00B3462C" w:rsidP="0020502A">
      <w:pPr>
        <w:rPr>
          <w:b/>
          <w:bCs/>
          <w:sz w:val="22"/>
          <w:szCs w:val="22"/>
          <w:rtl/>
          <w:lang w:bidi="he-IL"/>
        </w:rPr>
      </w:pPr>
    </w:p>
    <w:p w14:paraId="23F0C71F" w14:textId="77777777" w:rsidR="00B3462C" w:rsidRDefault="00B3462C" w:rsidP="0020502A">
      <w:pPr>
        <w:rPr>
          <w:b/>
          <w:bCs/>
          <w:sz w:val="22"/>
          <w:szCs w:val="22"/>
          <w:rtl/>
          <w:lang w:bidi="he-IL"/>
        </w:rPr>
      </w:pPr>
    </w:p>
    <w:p w14:paraId="7E5F5A0B" w14:textId="77777777" w:rsidR="00B3462C" w:rsidRDefault="00B3462C" w:rsidP="0020502A">
      <w:pPr>
        <w:rPr>
          <w:b/>
          <w:bCs/>
          <w:sz w:val="22"/>
          <w:szCs w:val="22"/>
          <w:rtl/>
          <w:lang w:bidi="he-IL"/>
        </w:rPr>
      </w:pPr>
    </w:p>
    <w:p w14:paraId="6353FB7F" w14:textId="77777777" w:rsidR="00B3462C" w:rsidRDefault="00B3462C" w:rsidP="0020502A">
      <w:pPr>
        <w:rPr>
          <w:b/>
          <w:bCs/>
          <w:sz w:val="22"/>
          <w:szCs w:val="22"/>
          <w:rtl/>
          <w:lang w:bidi="he-IL"/>
        </w:rPr>
      </w:pPr>
    </w:p>
    <w:p w14:paraId="6D0AB531" w14:textId="77777777" w:rsidR="00E30981" w:rsidRDefault="00E30981" w:rsidP="0020502A">
      <w:pPr>
        <w:rPr>
          <w:b/>
          <w:bCs/>
          <w:sz w:val="22"/>
          <w:szCs w:val="22"/>
          <w:rtl/>
          <w:lang w:bidi="he-IL"/>
        </w:rPr>
      </w:pPr>
    </w:p>
    <w:p w14:paraId="471AA73F" w14:textId="77777777" w:rsidR="00E30981" w:rsidRDefault="00E30981" w:rsidP="0020502A">
      <w:pPr>
        <w:rPr>
          <w:b/>
          <w:bCs/>
          <w:sz w:val="22"/>
          <w:szCs w:val="22"/>
          <w:rtl/>
          <w:lang w:bidi="he-IL"/>
        </w:rPr>
      </w:pPr>
    </w:p>
    <w:p w14:paraId="1F236A14" w14:textId="77777777" w:rsidR="00E30981" w:rsidRDefault="00E30981" w:rsidP="0020502A">
      <w:pPr>
        <w:rPr>
          <w:b/>
          <w:bCs/>
          <w:sz w:val="22"/>
          <w:szCs w:val="22"/>
          <w:rtl/>
          <w:lang w:bidi="he-IL"/>
        </w:rPr>
      </w:pPr>
    </w:p>
    <w:p w14:paraId="55632ED3" w14:textId="77777777" w:rsidR="00E30981" w:rsidRDefault="00E30981" w:rsidP="0020502A">
      <w:pPr>
        <w:rPr>
          <w:b/>
          <w:bCs/>
          <w:sz w:val="22"/>
          <w:szCs w:val="22"/>
          <w:rtl/>
          <w:lang w:bidi="he-IL"/>
        </w:rPr>
      </w:pPr>
    </w:p>
    <w:p w14:paraId="323861E5" w14:textId="77777777" w:rsidR="00E30981" w:rsidRDefault="00E30981" w:rsidP="0020502A">
      <w:pPr>
        <w:rPr>
          <w:b/>
          <w:bCs/>
          <w:sz w:val="22"/>
          <w:szCs w:val="22"/>
          <w:rtl/>
          <w:lang w:bidi="he-IL"/>
        </w:rPr>
      </w:pPr>
    </w:p>
    <w:p w14:paraId="5465AFBE" w14:textId="77777777" w:rsidR="00E30981" w:rsidRDefault="00E30981" w:rsidP="0020502A">
      <w:pPr>
        <w:rPr>
          <w:b/>
          <w:bCs/>
          <w:sz w:val="22"/>
          <w:szCs w:val="22"/>
          <w:rtl/>
          <w:lang w:bidi="he-IL"/>
        </w:rPr>
      </w:pPr>
    </w:p>
    <w:p w14:paraId="034936BF" w14:textId="77777777" w:rsidR="00E30981" w:rsidRDefault="00E30981" w:rsidP="0020502A">
      <w:pPr>
        <w:rPr>
          <w:b/>
          <w:bCs/>
          <w:sz w:val="22"/>
          <w:szCs w:val="22"/>
          <w:rtl/>
          <w:lang w:bidi="he-IL"/>
        </w:rPr>
      </w:pPr>
    </w:p>
    <w:p w14:paraId="03D920F1" w14:textId="77777777" w:rsidR="00E30981" w:rsidRDefault="00E30981" w:rsidP="0020502A">
      <w:pPr>
        <w:rPr>
          <w:b/>
          <w:bCs/>
          <w:sz w:val="22"/>
          <w:szCs w:val="22"/>
          <w:rtl/>
          <w:lang w:bidi="he-IL"/>
        </w:rPr>
      </w:pPr>
    </w:p>
    <w:p w14:paraId="6CCD2C81" w14:textId="77777777" w:rsidR="00E30981" w:rsidRDefault="00E30981" w:rsidP="0020502A">
      <w:pPr>
        <w:rPr>
          <w:b/>
          <w:bCs/>
          <w:sz w:val="22"/>
          <w:szCs w:val="22"/>
          <w:rtl/>
          <w:lang w:bidi="he-IL"/>
        </w:rPr>
      </w:pPr>
    </w:p>
    <w:p w14:paraId="7D5BC6C8" w14:textId="77777777" w:rsidR="00E30981" w:rsidRDefault="00E30981" w:rsidP="0020502A">
      <w:pPr>
        <w:rPr>
          <w:b/>
          <w:bCs/>
          <w:sz w:val="22"/>
          <w:szCs w:val="22"/>
          <w:rtl/>
          <w:lang w:bidi="he-IL"/>
        </w:rPr>
      </w:pPr>
    </w:p>
    <w:p w14:paraId="414C8976" w14:textId="77777777" w:rsidR="00E30981" w:rsidRDefault="00E30981" w:rsidP="0020502A">
      <w:pPr>
        <w:rPr>
          <w:b/>
          <w:bCs/>
          <w:sz w:val="22"/>
          <w:szCs w:val="22"/>
          <w:rtl/>
          <w:lang w:bidi="he-IL"/>
        </w:rPr>
      </w:pPr>
    </w:p>
    <w:p w14:paraId="7B1085E5" w14:textId="77777777" w:rsidR="00E30981" w:rsidRDefault="00E30981" w:rsidP="0020502A">
      <w:pPr>
        <w:rPr>
          <w:b/>
          <w:bCs/>
          <w:sz w:val="22"/>
          <w:szCs w:val="22"/>
          <w:rtl/>
          <w:lang w:bidi="he-IL"/>
        </w:rPr>
      </w:pPr>
    </w:p>
    <w:p w14:paraId="0FCC1F3C" w14:textId="77777777" w:rsidR="00E30981" w:rsidRDefault="00E30981" w:rsidP="0020502A">
      <w:pPr>
        <w:rPr>
          <w:b/>
          <w:bCs/>
          <w:sz w:val="22"/>
          <w:szCs w:val="22"/>
          <w:rtl/>
          <w:lang w:bidi="he-IL"/>
        </w:rPr>
      </w:pPr>
    </w:p>
    <w:p w14:paraId="67CFF74B" w14:textId="77777777" w:rsidR="00E30981" w:rsidRDefault="00E30981" w:rsidP="0020502A">
      <w:pPr>
        <w:rPr>
          <w:b/>
          <w:bCs/>
          <w:sz w:val="22"/>
          <w:szCs w:val="22"/>
          <w:rtl/>
          <w:lang w:bidi="he-IL"/>
        </w:rPr>
      </w:pPr>
    </w:p>
    <w:p w14:paraId="60000C8F" w14:textId="77777777" w:rsidR="00E30981" w:rsidRDefault="00E30981" w:rsidP="0020502A">
      <w:pPr>
        <w:rPr>
          <w:b/>
          <w:bCs/>
          <w:sz w:val="22"/>
          <w:szCs w:val="22"/>
          <w:rtl/>
          <w:lang w:bidi="he-IL"/>
        </w:rPr>
      </w:pPr>
    </w:p>
    <w:p w14:paraId="6F35B2B1" w14:textId="77777777" w:rsidR="00E30981" w:rsidRDefault="00E30981" w:rsidP="0020502A">
      <w:pPr>
        <w:rPr>
          <w:b/>
          <w:bCs/>
          <w:sz w:val="22"/>
          <w:szCs w:val="22"/>
          <w:rtl/>
          <w:lang w:bidi="he-IL"/>
        </w:rPr>
      </w:pPr>
    </w:p>
    <w:p w14:paraId="60CC0631" w14:textId="77777777" w:rsidR="00E30981" w:rsidRDefault="00E30981" w:rsidP="0020502A">
      <w:pPr>
        <w:rPr>
          <w:b/>
          <w:bCs/>
          <w:sz w:val="22"/>
          <w:szCs w:val="22"/>
          <w:rtl/>
          <w:lang w:bidi="he-IL"/>
        </w:rPr>
      </w:pPr>
    </w:p>
    <w:p w14:paraId="12DC2F7C" w14:textId="77777777" w:rsidR="00E30981" w:rsidRDefault="00E30981" w:rsidP="0020502A">
      <w:pPr>
        <w:rPr>
          <w:b/>
          <w:bCs/>
          <w:sz w:val="22"/>
          <w:szCs w:val="22"/>
          <w:rtl/>
          <w:lang w:bidi="he-IL"/>
        </w:rPr>
      </w:pPr>
    </w:p>
    <w:p w14:paraId="63A13050" w14:textId="77777777" w:rsidR="00E30981" w:rsidRDefault="00E30981" w:rsidP="0020502A">
      <w:pPr>
        <w:rPr>
          <w:b/>
          <w:bCs/>
          <w:sz w:val="22"/>
          <w:szCs w:val="22"/>
          <w:rtl/>
          <w:lang w:bidi="he-IL"/>
        </w:rPr>
      </w:pPr>
    </w:p>
    <w:p w14:paraId="61B91E7F" w14:textId="77777777" w:rsidR="00B3462C" w:rsidRDefault="00B3462C" w:rsidP="0020502A">
      <w:pPr>
        <w:rPr>
          <w:b/>
          <w:bCs/>
          <w:sz w:val="22"/>
          <w:szCs w:val="22"/>
          <w:rtl/>
          <w:lang w:bidi="he-IL"/>
        </w:rPr>
      </w:pPr>
    </w:p>
    <w:p w14:paraId="790A6F39" w14:textId="77777777" w:rsidR="00B3462C" w:rsidRPr="00B44120" w:rsidRDefault="00B3462C" w:rsidP="0020502A">
      <w:pPr>
        <w:rPr>
          <w:b/>
          <w:bCs/>
          <w:sz w:val="22"/>
          <w:szCs w:val="22"/>
          <w:lang w:bidi="he-IL"/>
        </w:rPr>
      </w:pPr>
    </w:p>
    <w:p w14:paraId="6850BCA1" w14:textId="458CB777" w:rsidR="00030CEF" w:rsidRPr="00B44120" w:rsidRDefault="00030CEF" w:rsidP="00C01E5D">
      <w:pPr>
        <w:outlineLvl w:val="2"/>
        <w:rPr>
          <w:b/>
          <w:bCs/>
          <w:sz w:val="22"/>
          <w:szCs w:val="22"/>
        </w:rPr>
      </w:pPr>
      <w:r w:rsidRPr="00B44120">
        <w:rPr>
          <w:b/>
          <w:bCs/>
          <w:sz w:val="22"/>
          <w:szCs w:val="22"/>
        </w:rPr>
        <w:t xml:space="preserve">Note </w:t>
      </w:r>
      <w:r w:rsidR="00EF7A99" w:rsidRPr="00B44120">
        <w:rPr>
          <w:b/>
          <w:bCs/>
          <w:sz w:val="22"/>
          <w:szCs w:val="22"/>
        </w:rPr>
        <w:t>1</w:t>
      </w:r>
      <w:r w:rsidR="00EF7A99">
        <w:rPr>
          <w:b/>
          <w:bCs/>
          <w:sz w:val="22"/>
          <w:szCs w:val="22"/>
        </w:rPr>
        <w:t>5</w:t>
      </w:r>
      <w:r w:rsidR="00EF7A99" w:rsidRPr="00B44120">
        <w:rPr>
          <w:b/>
          <w:bCs/>
          <w:sz w:val="22"/>
          <w:szCs w:val="22"/>
        </w:rPr>
        <w:t xml:space="preserve"> </w:t>
      </w:r>
      <w:r w:rsidRPr="00B44120">
        <w:rPr>
          <w:b/>
          <w:bCs/>
          <w:sz w:val="22"/>
          <w:szCs w:val="22"/>
        </w:rPr>
        <w:t xml:space="preserve">- </w:t>
      </w:r>
      <w:r w:rsidR="00723E2C" w:rsidRPr="00B44120">
        <w:rPr>
          <w:b/>
          <w:bCs/>
          <w:sz w:val="22"/>
          <w:szCs w:val="22"/>
        </w:rPr>
        <w:t xml:space="preserve">Revenue from Contracts </w:t>
      </w:r>
      <w:r w:rsidR="00887B70" w:rsidRPr="00B44120">
        <w:rPr>
          <w:b/>
          <w:bCs/>
          <w:sz w:val="22"/>
          <w:szCs w:val="22"/>
        </w:rPr>
        <w:t>with</w:t>
      </w:r>
      <w:r w:rsidR="00723E2C" w:rsidRPr="00B44120">
        <w:rPr>
          <w:b/>
          <w:bCs/>
          <w:sz w:val="22"/>
          <w:szCs w:val="22"/>
        </w:rPr>
        <w:t xml:space="preserve"> Costumers</w:t>
      </w:r>
    </w:p>
    <w:bookmarkEnd w:id="171"/>
    <w:p w14:paraId="7C615622" w14:textId="77777777" w:rsidR="00030CEF" w:rsidRPr="00B44120" w:rsidRDefault="00030CEF" w:rsidP="00030CEF">
      <w:pPr>
        <w:ind w:left="720"/>
        <w:rPr>
          <w:sz w:val="22"/>
          <w:szCs w:val="22"/>
          <w:lang w:bidi="he-IL"/>
        </w:rPr>
      </w:pPr>
    </w:p>
    <w:p w14:paraId="3D325AE6" w14:textId="77777777" w:rsidR="00723E2C" w:rsidRPr="00B44120" w:rsidRDefault="00723E2C" w:rsidP="00C01E5D">
      <w:pPr>
        <w:ind w:left="567" w:hanging="567"/>
        <w:jc w:val="both"/>
        <w:outlineLvl w:val="3"/>
        <w:rPr>
          <w:b/>
          <w:bCs/>
          <w:sz w:val="22"/>
          <w:szCs w:val="22"/>
        </w:rPr>
      </w:pPr>
      <w:bookmarkStart w:id="172" w:name="H4_AGross_rental_income_breakdown"/>
      <w:r w:rsidRPr="00B44120">
        <w:rPr>
          <w:b/>
          <w:bCs/>
          <w:sz w:val="22"/>
          <w:szCs w:val="22"/>
        </w:rPr>
        <w:t>A.</w:t>
      </w:r>
      <w:r w:rsidRPr="00B44120">
        <w:rPr>
          <w:b/>
          <w:bCs/>
          <w:sz w:val="22"/>
          <w:szCs w:val="22"/>
        </w:rPr>
        <w:tab/>
        <w:t>Gross rental income breakdown</w:t>
      </w:r>
    </w:p>
    <w:bookmarkEnd w:id="172"/>
    <w:p w14:paraId="4FD60FD5" w14:textId="77777777" w:rsidR="00723E2C" w:rsidRPr="000537EF" w:rsidRDefault="00723E2C" w:rsidP="00030CEF">
      <w:pPr>
        <w:ind w:left="720"/>
        <w:rPr>
          <w:sz w:val="10"/>
          <w:szCs w:val="10"/>
          <w:rtl/>
          <w:lang w:bidi="he-IL"/>
        </w:rPr>
      </w:pPr>
    </w:p>
    <w:p w14:paraId="622A35E5" w14:textId="77777777" w:rsidR="00030CEF" w:rsidRPr="00F02921" w:rsidRDefault="00030CEF" w:rsidP="00030CEF">
      <w:pPr>
        <w:ind w:left="720"/>
        <w:rPr>
          <w:rStyle w:val="Koteret"/>
          <w:b w:val="0"/>
          <w:bCs/>
          <w:i/>
          <w:iCs/>
        </w:rPr>
      </w:pPr>
      <w:r w:rsidRPr="00F02921">
        <w:rPr>
          <w:rStyle w:val="Koteret"/>
          <w:b w:val="0"/>
          <w:bCs/>
          <w:i/>
          <w:iCs/>
        </w:rPr>
        <w:t>In thousands of Euros</w:t>
      </w:r>
    </w:p>
    <w:tbl>
      <w:tblPr>
        <w:tblW w:w="0" w:type="auto"/>
        <w:tblInd w:w="720" w:type="dxa"/>
        <w:tblLook w:val="06A0" w:firstRow="1" w:lastRow="0" w:firstColumn="1" w:lastColumn="0" w:noHBand="1" w:noVBand="1"/>
        <w:tblCaption w:val="AHR02"/>
        <w:tblDescription w:val="Gross rental income breakdown"/>
      </w:tblPr>
      <w:tblGrid>
        <w:gridCol w:w="2381"/>
        <w:gridCol w:w="1880"/>
        <w:gridCol w:w="1880"/>
        <w:gridCol w:w="1880"/>
      </w:tblGrid>
      <w:tr w:rsidR="00030CEF" w:rsidRPr="002B51C1" w14:paraId="4CD65E68" w14:textId="77777777" w:rsidTr="005101BC">
        <w:trPr>
          <w:cantSplit/>
          <w:trHeight w:val="283"/>
          <w:tblHeader/>
        </w:trPr>
        <w:tc>
          <w:tcPr>
            <w:tcW w:w="2381" w:type="dxa"/>
            <w:shd w:val="clear" w:color="auto" w:fill="auto"/>
            <w:noWrap/>
            <w:vAlign w:val="bottom"/>
            <w:hideMark/>
          </w:tcPr>
          <w:p w14:paraId="08627207" w14:textId="77777777" w:rsidR="00030CEF" w:rsidRPr="002B51C1" w:rsidRDefault="00030CEF" w:rsidP="00030CEF">
            <w:pPr>
              <w:spacing w:before="40"/>
              <w:rPr>
                <w:rFonts w:ascii="Arial" w:eastAsia="Arial" w:hAnsi="Arial" w:cs="Arial"/>
                <w:sz w:val="20"/>
              </w:rPr>
            </w:pPr>
            <w:bookmarkStart w:id="173" w:name="Title_39" w:colFirst="0" w:colLast="0"/>
          </w:p>
        </w:tc>
        <w:tc>
          <w:tcPr>
            <w:tcW w:w="5640" w:type="dxa"/>
            <w:gridSpan w:val="3"/>
            <w:shd w:val="clear" w:color="auto" w:fill="auto"/>
            <w:vAlign w:val="bottom"/>
            <w:hideMark/>
          </w:tcPr>
          <w:p w14:paraId="43BD363B" w14:textId="77777777" w:rsidR="00030CEF" w:rsidRPr="002B51C1" w:rsidRDefault="00030CEF" w:rsidP="00B44120">
            <w:pPr>
              <w:pBdr>
                <w:bottom w:val="single" w:sz="4" w:space="0" w:color="000000"/>
              </w:pBdr>
              <w:spacing w:before="40"/>
              <w:jc w:val="center"/>
              <w:rPr>
                <w:b/>
                <w:bCs/>
                <w:sz w:val="20"/>
              </w:rPr>
            </w:pPr>
            <w:r w:rsidRPr="002B51C1">
              <w:rPr>
                <w:b/>
                <w:bCs/>
                <w:color w:val="000000"/>
                <w:sz w:val="20"/>
              </w:rPr>
              <w:t>For the year ended December 31</w:t>
            </w:r>
            <w:r w:rsidRPr="002B51C1">
              <w:rPr>
                <w:b/>
                <w:bCs/>
                <w:sz w:val="20"/>
              </w:rPr>
              <w:t>,</w:t>
            </w:r>
          </w:p>
        </w:tc>
      </w:tr>
      <w:bookmarkEnd w:id="173"/>
      <w:tr w:rsidR="00AF1F66" w:rsidRPr="002B51C1" w14:paraId="2A3F8BFD" w14:textId="77777777" w:rsidTr="005101BC">
        <w:trPr>
          <w:cantSplit/>
          <w:trHeight w:val="283"/>
          <w:tblHeader/>
        </w:trPr>
        <w:tc>
          <w:tcPr>
            <w:tcW w:w="2381" w:type="dxa"/>
            <w:shd w:val="clear" w:color="auto" w:fill="auto"/>
            <w:noWrap/>
            <w:vAlign w:val="bottom"/>
            <w:hideMark/>
          </w:tcPr>
          <w:p w14:paraId="56F0A7FA" w14:textId="77777777" w:rsidR="00AF1F66" w:rsidRPr="002B51C1" w:rsidRDefault="00AF1F66" w:rsidP="00AF1F66">
            <w:pPr>
              <w:spacing w:before="40"/>
              <w:rPr>
                <w:rFonts w:ascii="Arial" w:eastAsia="Arial" w:hAnsi="Arial" w:cs="Arial"/>
                <w:sz w:val="20"/>
              </w:rPr>
            </w:pPr>
          </w:p>
        </w:tc>
        <w:tc>
          <w:tcPr>
            <w:tcW w:w="1880" w:type="dxa"/>
            <w:shd w:val="clear" w:color="auto" w:fill="auto"/>
            <w:vAlign w:val="bottom"/>
            <w:hideMark/>
          </w:tcPr>
          <w:p w14:paraId="696906BF" w14:textId="5AC2D65D" w:rsidR="00AF1F66" w:rsidRPr="002B51C1" w:rsidRDefault="00AD1E41" w:rsidP="00B44120">
            <w:pPr>
              <w:pBdr>
                <w:bottom w:val="single" w:sz="4" w:space="0" w:color="000000"/>
              </w:pBdr>
              <w:bidi/>
              <w:spacing w:before="40"/>
              <w:ind w:left="57"/>
              <w:jc w:val="center"/>
              <w:rPr>
                <w:b/>
                <w:bCs/>
                <w:sz w:val="20"/>
              </w:rPr>
            </w:pPr>
            <w:r>
              <w:rPr>
                <w:b/>
                <w:bCs/>
                <w:color w:val="000000"/>
                <w:sz w:val="20"/>
              </w:rPr>
              <w:t>202</w:t>
            </w:r>
            <w:r w:rsidR="00C52BA0">
              <w:rPr>
                <w:b/>
                <w:bCs/>
                <w:color w:val="000000"/>
                <w:sz w:val="20"/>
              </w:rPr>
              <w:t>4</w:t>
            </w:r>
          </w:p>
        </w:tc>
        <w:tc>
          <w:tcPr>
            <w:tcW w:w="1880" w:type="dxa"/>
            <w:shd w:val="clear" w:color="auto" w:fill="auto"/>
            <w:vAlign w:val="bottom"/>
            <w:hideMark/>
          </w:tcPr>
          <w:p w14:paraId="7D34C0EC" w14:textId="209D13B9" w:rsidR="00AF1F66" w:rsidRPr="002B51C1" w:rsidRDefault="00C52BA0" w:rsidP="00B44120">
            <w:pPr>
              <w:pBdr>
                <w:bottom w:val="single" w:sz="4" w:space="0" w:color="000000"/>
              </w:pBdr>
              <w:bidi/>
              <w:spacing w:before="40"/>
              <w:ind w:left="57"/>
              <w:jc w:val="center"/>
              <w:rPr>
                <w:b/>
                <w:bCs/>
                <w:sz w:val="20"/>
              </w:rPr>
            </w:pPr>
            <w:r>
              <w:rPr>
                <w:b/>
                <w:bCs/>
                <w:color w:val="000000"/>
                <w:sz w:val="20"/>
              </w:rPr>
              <w:t>2023</w:t>
            </w:r>
          </w:p>
        </w:tc>
        <w:tc>
          <w:tcPr>
            <w:tcW w:w="1880" w:type="dxa"/>
            <w:shd w:val="clear" w:color="auto" w:fill="auto"/>
            <w:vAlign w:val="bottom"/>
            <w:hideMark/>
          </w:tcPr>
          <w:p w14:paraId="6BDA2162" w14:textId="1BE80627" w:rsidR="00AF1F66" w:rsidRPr="002B51C1" w:rsidRDefault="00C52BA0" w:rsidP="00B44120">
            <w:pPr>
              <w:pBdr>
                <w:bottom w:val="single" w:sz="4" w:space="0" w:color="000000"/>
              </w:pBdr>
              <w:bidi/>
              <w:spacing w:before="40"/>
              <w:ind w:left="57"/>
              <w:jc w:val="center"/>
              <w:rPr>
                <w:b/>
                <w:bCs/>
                <w:sz w:val="20"/>
              </w:rPr>
            </w:pPr>
            <w:r>
              <w:rPr>
                <w:b/>
                <w:bCs/>
                <w:color w:val="000000"/>
                <w:sz w:val="20"/>
              </w:rPr>
              <w:t>2022</w:t>
            </w:r>
          </w:p>
        </w:tc>
      </w:tr>
      <w:tr w:rsidR="0084085E" w:rsidRPr="002B51C1" w14:paraId="1D2D1677" w14:textId="77777777" w:rsidTr="005101BC">
        <w:trPr>
          <w:trHeight w:val="283"/>
        </w:trPr>
        <w:tc>
          <w:tcPr>
            <w:tcW w:w="2381" w:type="dxa"/>
            <w:shd w:val="clear" w:color="auto" w:fill="auto"/>
            <w:noWrap/>
            <w:vAlign w:val="bottom"/>
          </w:tcPr>
          <w:p w14:paraId="578AE6A9" w14:textId="471FB704" w:rsidR="0084085E" w:rsidRPr="002B51C1" w:rsidRDefault="0084085E" w:rsidP="0084085E">
            <w:pPr>
              <w:spacing w:before="40"/>
              <w:rPr>
                <w:color w:val="000000"/>
                <w:sz w:val="22"/>
                <w:szCs w:val="22"/>
              </w:rPr>
            </w:pPr>
            <w:r w:rsidRPr="002B51C1">
              <w:rPr>
                <w:color w:val="000000"/>
                <w:sz w:val="22"/>
                <w:szCs w:val="22"/>
              </w:rPr>
              <w:t>Romania</w:t>
            </w:r>
          </w:p>
        </w:tc>
        <w:tc>
          <w:tcPr>
            <w:tcW w:w="1880" w:type="dxa"/>
            <w:shd w:val="clear" w:color="auto" w:fill="auto"/>
            <w:noWrap/>
            <w:vAlign w:val="bottom"/>
          </w:tcPr>
          <w:p w14:paraId="06BFCDF8" w14:textId="39E75401" w:rsidR="0084085E" w:rsidRPr="0084085E" w:rsidRDefault="0084085E" w:rsidP="0084085E">
            <w:pPr>
              <w:spacing w:before="40"/>
              <w:jc w:val="right"/>
              <w:rPr>
                <w:color w:val="000000"/>
                <w:sz w:val="22"/>
                <w:szCs w:val="22"/>
              </w:rPr>
            </w:pPr>
            <w:r w:rsidRPr="0084085E">
              <w:rPr>
                <w:sz w:val="22"/>
                <w:szCs w:val="22"/>
              </w:rPr>
              <w:t>112,568</w:t>
            </w:r>
          </w:p>
        </w:tc>
        <w:tc>
          <w:tcPr>
            <w:tcW w:w="1880" w:type="dxa"/>
            <w:shd w:val="clear" w:color="auto" w:fill="auto"/>
            <w:noWrap/>
            <w:vAlign w:val="bottom"/>
          </w:tcPr>
          <w:p w14:paraId="074D5E24" w14:textId="7E34B8E3" w:rsidR="0084085E" w:rsidRPr="00B44120" w:rsidRDefault="0084085E" w:rsidP="0084085E">
            <w:pPr>
              <w:spacing w:before="40"/>
              <w:jc w:val="right"/>
              <w:rPr>
                <w:color w:val="000000"/>
                <w:sz w:val="22"/>
                <w:szCs w:val="22"/>
              </w:rPr>
            </w:pPr>
            <w:r>
              <w:rPr>
                <w:color w:val="000000"/>
                <w:sz w:val="22"/>
                <w:szCs w:val="22"/>
              </w:rPr>
              <w:t>101,885</w:t>
            </w:r>
          </w:p>
        </w:tc>
        <w:tc>
          <w:tcPr>
            <w:tcW w:w="1880" w:type="dxa"/>
            <w:shd w:val="clear" w:color="auto" w:fill="auto"/>
            <w:noWrap/>
            <w:vAlign w:val="bottom"/>
          </w:tcPr>
          <w:p w14:paraId="3E2143A6" w14:textId="42542F2E" w:rsidR="0084085E" w:rsidRPr="00CF7CAA" w:rsidRDefault="0084085E" w:rsidP="0084085E">
            <w:pPr>
              <w:spacing w:before="40"/>
              <w:jc w:val="right"/>
              <w:rPr>
                <w:color w:val="000000"/>
                <w:sz w:val="22"/>
                <w:szCs w:val="22"/>
              </w:rPr>
            </w:pPr>
            <w:r w:rsidRPr="00B44120">
              <w:rPr>
                <w:color w:val="000000"/>
                <w:sz w:val="22"/>
                <w:szCs w:val="22"/>
              </w:rPr>
              <w:t>90,280</w:t>
            </w:r>
          </w:p>
        </w:tc>
      </w:tr>
      <w:tr w:rsidR="0084085E" w:rsidRPr="002B51C1" w14:paraId="26E49611" w14:textId="77777777" w:rsidTr="005101BC">
        <w:trPr>
          <w:trHeight w:val="283"/>
        </w:trPr>
        <w:tc>
          <w:tcPr>
            <w:tcW w:w="2381" w:type="dxa"/>
            <w:shd w:val="clear" w:color="auto" w:fill="auto"/>
            <w:noWrap/>
            <w:vAlign w:val="bottom"/>
          </w:tcPr>
          <w:p w14:paraId="62EA253A" w14:textId="426728CC" w:rsidR="0084085E" w:rsidRPr="002B51C1" w:rsidRDefault="0084085E" w:rsidP="0084085E">
            <w:pPr>
              <w:spacing w:before="40"/>
              <w:rPr>
                <w:sz w:val="22"/>
                <w:szCs w:val="22"/>
              </w:rPr>
            </w:pPr>
            <w:r w:rsidRPr="002B51C1">
              <w:rPr>
                <w:color w:val="000000"/>
                <w:sz w:val="22"/>
                <w:szCs w:val="22"/>
              </w:rPr>
              <w:t>Serbia</w:t>
            </w:r>
          </w:p>
        </w:tc>
        <w:tc>
          <w:tcPr>
            <w:tcW w:w="1880" w:type="dxa"/>
            <w:shd w:val="clear" w:color="auto" w:fill="auto"/>
            <w:noWrap/>
            <w:vAlign w:val="bottom"/>
          </w:tcPr>
          <w:p w14:paraId="4BA30460" w14:textId="464209C8" w:rsidR="0084085E" w:rsidRPr="0084085E" w:rsidRDefault="0084085E" w:rsidP="0084085E">
            <w:pPr>
              <w:spacing w:before="40"/>
              <w:jc w:val="right"/>
              <w:rPr>
                <w:color w:val="000000"/>
                <w:sz w:val="22"/>
                <w:szCs w:val="22"/>
              </w:rPr>
            </w:pPr>
            <w:r w:rsidRPr="0084085E">
              <w:rPr>
                <w:sz w:val="22"/>
                <w:szCs w:val="22"/>
              </w:rPr>
              <w:t>40,845</w:t>
            </w:r>
          </w:p>
        </w:tc>
        <w:tc>
          <w:tcPr>
            <w:tcW w:w="1880" w:type="dxa"/>
            <w:shd w:val="clear" w:color="auto" w:fill="auto"/>
            <w:noWrap/>
            <w:vAlign w:val="bottom"/>
          </w:tcPr>
          <w:p w14:paraId="47EBBCB4" w14:textId="32A2CBC8" w:rsidR="0084085E" w:rsidRPr="00B44120" w:rsidRDefault="0084085E" w:rsidP="0084085E">
            <w:pPr>
              <w:spacing w:before="40"/>
              <w:jc w:val="right"/>
              <w:rPr>
                <w:sz w:val="22"/>
                <w:szCs w:val="22"/>
              </w:rPr>
            </w:pPr>
            <w:r>
              <w:rPr>
                <w:color w:val="000000"/>
                <w:sz w:val="22"/>
                <w:szCs w:val="22"/>
              </w:rPr>
              <w:t>31,963</w:t>
            </w:r>
          </w:p>
        </w:tc>
        <w:tc>
          <w:tcPr>
            <w:tcW w:w="1880" w:type="dxa"/>
            <w:shd w:val="clear" w:color="auto" w:fill="auto"/>
            <w:noWrap/>
            <w:vAlign w:val="bottom"/>
          </w:tcPr>
          <w:p w14:paraId="39B31976" w14:textId="3A655400" w:rsidR="0084085E" w:rsidRPr="002B51C1" w:rsidRDefault="0084085E" w:rsidP="0084085E">
            <w:pPr>
              <w:spacing w:before="40"/>
              <w:jc w:val="right"/>
              <w:rPr>
                <w:sz w:val="22"/>
                <w:szCs w:val="22"/>
              </w:rPr>
            </w:pPr>
            <w:r w:rsidRPr="00B44120">
              <w:rPr>
                <w:color w:val="000000"/>
                <w:sz w:val="22"/>
                <w:szCs w:val="22"/>
              </w:rPr>
              <w:t>22,477</w:t>
            </w:r>
          </w:p>
        </w:tc>
      </w:tr>
      <w:tr w:rsidR="0084085E" w:rsidRPr="002B51C1" w14:paraId="101A391E" w14:textId="77777777" w:rsidTr="005101BC">
        <w:trPr>
          <w:trHeight w:val="283"/>
        </w:trPr>
        <w:tc>
          <w:tcPr>
            <w:tcW w:w="2381" w:type="dxa"/>
            <w:shd w:val="clear" w:color="auto" w:fill="auto"/>
            <w:noWrap/>
            <w:vAlign w:val="bottom"/>
          </w:tcPr>
          <w:p w14:paraId="2A5DC79E" w14:textId="07D3CA82" w:rsidR="0084085E" w:rsidRPr="002B51C1" w:rsidRDefault="0084085E" w:rsidP="0084085E">
            <w:pPr>
              <w:spacing w:before="40"/>
              <w:rPr>
                <w:sz w:val="22"/>
                <w:szCs w:val="22"/>
              </w:rPr>
            </w:pPr>
            <w:r w:rsidRPr="002B51C1">
              <w:rPr>
                <w:color w:val="000000"/>
                <w:sz w:val="22"/>
                <w:szCs w:val="22"/>
              </w:rPr>
              <w:t>Czech</w:t>
            </w:r>
          </w:p>
        </w:tc>
        <w:tc>
          <w:tcPr>
            <w:tcW w:w="1880" w:type="dxa"/>
            <w:shd w:val="clear" w:color="auto" w:fill="auto"/>
            <w:noWrap/>
            <w:vAlign w:val="bottom"/>
          </w:tcPr>
          <w:p w14:paraId="6ABFD023" w14:textId="75FC38F2" w:rsidR="0084085E" w:rsidRPr="0084085E" w:rsidRDefault="0084085E" w:rsidP="0084085E">
            <w:pPr>
              <w:spacing w:before="40"/>
              <w:jc w:val="right"/>
              <w:rPr>
                <w:color w:val="000000"/>
                <w:sz w:val="22"/>
                <w:szCs w:val="22"/>
              </w:rPr>
            </w:pPr>
            <w:r w:rsidRPr="0084085E">
              <w:rPr>
                <w:sz w:val="22"/>
                <w:szCs w:val="22"/>
              </w:rPr>
              <w:t>28,357</w:t>
            </w:r>
          </w:p>
        </w:tc>
        <w:tc>
          <w:tcPr>
            <w:tcW w:w="1880" w:type="dxa"/>
            <w:shd w:val="clear" w:color="auto" w:fill="auto"/>
            <w:noWrap/>
            <w:vAlign w:val="bottom"/>
          </w:tcPr>
          <w:p w14:paraId="5BA0C374" w14:textId="5C545BBD" w:rsidR="0084085E" w:rsidRPr="00B44120" w:rsidRDefault="0084085E" w:rsidP="0084085E">
            <w:pPr>
              <w:spacing w:before="40"/>
              <w:jc w:val="right"/>
              <w:rPr>
                <w:sz w:val="22"/>
                <w:szCs w:val="22"/>
              </w:rPr>
            </w:pPr>
            <w:r>
              <w:rPr>
                <w:color w:val="000000"/>
                <w:sz w:val="22"/>
                <w:szCs w:val="22"/>
              </w:rPr>
              <w:t>22,056</w:t>
            </w:r>
          </w:p>
        </w:tc>
        <w:tc>
          <w:tcPr>
            <w:tcW w:w="1880" w:type="dxa"/>
            <w:shd w:val="clear" w:color="auto" w:fill="auto"/>
            <w:noWrap/>
            <w:vAlign w:val="bottom"/>
          </w:tcPr>
          <w:p w14:paraId="417712D4" w14:textId="440F60BE" w:rsidR="0084085E" w:rsidRPr="002B51C1" w:rsidRDefault="0084085E" w:rsidP="0084085E">
            <w:pPr>
              <w:spacing w:before="40"/>
              <w:jc w:val="right"/>
              <w:rPr>
                <w:sz w:val="22"/>
                <w:szCs w:val="22"/>
              </w:rPr>
            </w:pPr>
            <w:r w:rsidRPr="00B44120">
              <w:rPr>
                <w:color w:val="000000"/>
                <w:sz w:val="22"/>
                <w:szCs w:val="22"/>
              </w:rPr>
              <w:t>18,598</w:t>
            </w:r>
          </w:p>
        </w:tc>
      </w:tr>
      <w:tr w:rsidR="0084085E" w:rsidRPr="002B51C1" w14:paraId="5C55375C" w14:textId="77777777" w:rsidTr="005101BC">
        <w:trPr>
          <w:trHeight w:val="283"/>
        </w:trPr>
        <w:tc>
          <w:tcPr>
            <w:tcW w:w="2381" w:type="dxa"/>
            <w:shd w:val="clear" w:color="auto" w:fill="auto"/>
            <w:noWrap/>
            <w:vAlign w:val="bottom"/>
          </w:tcPr>
          <w:p w14:paraId="11F0D73A" w14:textId="010E0162" w:rsidR="0084085E" w:rsidRPr="002B51C1" w:rsidRDefault="0084085E" w:rsidP="0084085E">
            <w:pPr>
              <w:spacing w:before="40"/>
              <w:rPr>
                <w:sz w:val="22"/>
                <w:szCs w:val="22"/>
              </w:rPr>
            </w:pPr>
            <w:r>
              <w:rPr>
                <w:color w:val="000000"/>
                <w:sz w:val="22"/>
                <w:szCs w:val="22"/>
              </w:rPr>
              <w:t>Poland</w:t>
            </w:r>
          </w:p>
        </w:tc>
        <w:tc>
          <w:tcPr>
            <w:tcW w:w="1880" w:type="dxa"/>
            <w:shd w:val="clear" w:color="auto" w:fill="auto"/>
            <w:noWrap/>
            <w:vAlign w:val="bottom"/>
          </w:tcPr>
          <w:p w14:paraId="5F7D908E" w14:textId="6927A268" w:rsidR="0084085E" w:rsidRPr="0084085E" w:rsidRDefault="0084085E" w:rsidP="0084085E">
            <w:pPr>
              <w:spacing w:before="40"/>
              <w:jc w:val="right"/>
              <w:rPr>
                <w:color w:val="000000"/>
                <w:sz w:val="22"/>
                <w:szCs w:val="22"/>
              </w:rPr>
            </w:pPr>
            <w:r w:rsidRPr="0084085E">
              <w:rPr>
                <w:sz w:val="22"/>
                <w:szCs w:val="22"/>
              </w:rPr>
              <w:t>16,573</w:t>
            </w:r>
          </w:p>
        </w:tc>
        <w:tc>
          <w:tcPr>
            <w:tcW w:w="1880" w:type="dxa"/>
            <w:shd w:val="clear" w:color="auto" w:fill="auto"/>
            <w:noWrap/>
            <w:vAlign w:val="bottom"/>
          </w:tcPr>
          <w:p w14:paraId="6F1F722C" w14:textId="1CFF4320" w:rsidR="0084085E" w:rsidRPr="00B44120" w:rsidRDefault="0084085E" w:rsidP="0084085E">
            <w:pPr>
              <w:spacing w:before="40"/>
              <w:jc w:val="right"/>
              <w:rPr>
                <w:sz w:val="22"/>
                <w:szCs w:val="22"/>
              </w:rPr>
            </w:pPr>
            <w:r>
              <w:rPr>
                <w:color w:val="000000"/>
                <w:sz w:val="22"/>
                <w:szCs w:val="22"/>
              </w:rPr>
              <w:t>12,521</w:t>
            </w:r>
          </w:p>
        </w:tc>
        <w:tc>
          <w:tcPr>
            <w:tcW w:w="1880" w:type="dxa"/>
            <w:shd w:val="clear" w:color="auto" w:fill="auto"/>
            <w:noWrap/>
            <w:vAlign w:val="bottom"/>
          </w:tcPr>
          <w:p w14:paraId="246BF2FA" w14:textId="405367AB" w:rsidR="0084085E" w:rsidRPr="002B51C1" w:rsidRDefault="0084085E" w:rsidP="0084085E">
            <w:pPr>
              <w:spacing w:before="40"/>
              <w:jc w:val="right"/>
              <w:rPr>
                <w:sz w:val="22"/>
                <w:szCs w:val="22"/>
              </w:rPr>
            </w:pPr>
            <w:r w:rsidRPr="00B44120">
              <w:rPr>
                <w:color w:val="000000"/>
                <w:sz w:val="22"/>
                <w:szCs w:val="22"/>
              </w:rPr>
              <w:t>10,717</w:t>
            </w:r>
          </w:p>
        </w:tc>
      </w:tr>
      <w:tr w:rsidR="0084085E" w:rsidRPr="002B51C1" w14:paraId="45A1DFA7" w14:textId="77777777" w:rsidTr="005101BC">
        <w:trPr>
          <w:trHeight w:val="283"/>
        </w:trPr>
        <w:tc>
          <w:tcPr>
            <w:tcW w:w="2381" w:type="dxa"/>
            <w:shd w:val="clear" w:color="auto" w:fill="auto"/>
            <w:noWrap/>
            <w:vAlign w:val="bottom"/>
          </w:tcPr>
          <w:p w14:paraId="4C39BCC2" w14:textId="582606E2" w:rsidR="0084085E" w:rsidRPr="002B51C1" w:rsidRDefault="0084085E" w:rsidP="0084085E">
            <w:pPr>
              <w:spacing w:before="40"/>
              <w:rPr>
                <w:sz w:val="22"/>
                <w:szCs w:val="22"/>
              </w:rPr>
            </w:pPr>
            <w:r w:rsidRPr="002B51C1">
              <w:rPr>
                <w:color w:val="000000"/>
                <w:sz w:val="22"/>
                <w:szCs w:val="22"/>
              </w:rPr>
              <w:t>Bulgaria</w:t>
            </w:r>
          </w:p>
        </w:tc>
        <w:tc>
          <w:tcPr>
            <w:tcW w:w="1880" w:type="dxa"/>
            <w:shd w:val="clear" w:color="auto" w:fill="auto"/>
            <w:noWrap/>
            <w:vAlign w:val="bottom"/>
          </w:tcPr>
          <w:p w14:paraId="5E0B2D60" w14:textId="60C1A6DE" w:rsidR="0084085E" w:rsidRPr="0084085E" w:rsidRDefault="0084085E" w:rsidP="0084085E">
            <w:pPr>
              <w:pBdr>
                <w:bottom w:val="single" w:sz="4" w:space="0" w:color="000000"/>
              </w:pBdr>
              <w:spacing w:before="40"/>
              <w:jc w:val="right"/>
              <w:rPr>
                <w:color w:val="000000"/>
                <w:sz w:val="22"/>
                <w:szCs w:val="22"/>
              </w:rPr>
            </w:pPr>
            <w:r w:rsidRPr="0084085E">
              <w:rPr>
                <w:sz w:val="22"/>
                <w:szCs w:val="22"/>
              </w:rPr>
              <w:t>2,209</w:t>
            </w:r>
          </w:p>
        </w:tc>
        <w:tc>
          <w:tcPr>
            <w:tcW w:w="1880" w:type="dxa"/>
            <w:shd w:val="clear" w:color="auto" w:fill="auto"/>
            <w:noWrap/>
            <w:vAlign w:val="bottom"/>
          </w:tcPr>
          <w:p w14:paraId="6DD89FFA" w14:textId="5ABCDDEA" w:rsidR="0084085E" w:rsidRPr="00B44120" w:rsidRDefault="0084085E" w:rsidP="0084085E">
            <w:pPr>
              <w:pBdr>
                <w:bottom w:val="single" w:sz="4" w:space="0" w:color="000000"/>
              </w:pBdr>
              <w:spacing w:before="40"/>
              <w:jc w:val="right"/>
              <w:rPr>
                <w:sz w:val="22"/>
                <w:szCs w:val="22"/>
              </w:rPr>
            </w:pPr>
            <w:r>
              <w:rPr>
                <w:color w:val="000000"/>
                <w:sz w:val="22"/>
                <w:szCs w:val="22"/>
              </w:rPr>
              <w:t>1,717</w:t>
            </w:r>
          </w:p>
        </w:tc>
        <w:tc>
          <w:tcPr>
            <w:tcW w:w="1880" w:type="dxa"/>
            <w:shd w:val="clear" w:color="auto" w:fill="auto"/>
            <w:noWrap/>
            <w:vAlign w:val="bottom"/>
          </w:tcPr>
          <w:p w14:paraId="2A7E2D70" w14:textId="2CDD0E4D" w:rsidR="0084085E" w:rsidRPr="00237FC5" w:rsidRDefault="0084085E" w:rsidP="0084085E">
            <w:pPr>
              <w:pBdr>
                <w:bottom w:val="single" w:sz="4" w:space="0" w:color="000000"/>
              </w:pBdr>
              <w:spacing w:before="40"/>
              <w:jc w:val="right"/>
              <w:rPr>
                <w:b/>
                <w:bCs/>
                <w:sz w:val="22"/>
                <w:szCs w:val="22"/>
              </w:rPr>
            </w:pPr>
            <w:r w:rsidRPr="00B44120">
              <w:rPr>
                <w:color w:val="000000"/>
                <w:sz w:val="22"/>
                <w:szCs w:val="22"/>
              </w:rPr>
              <w:t>1,482</w:t>
            </w:r>
          </w:p>
        </w:tc>
      </w:tr>
      <w:tr w:rsidR="0084085E" w:rsidRPr="002B51C1" w14:paraId="3F7825AE" w14:textId="77777777" w:rsidTr="005101BC">
        <w:trPr>
          <w:trHeight w:val="283"/>
        </w:trPr>
        <w:tc>
          <w:tcPr>
            <w:tcW w:w="2381" w:type="dxa"/>
            <w:shd w:val="clear" w:color="auto" w:fill="auto"/>
            <w:noWrap/>
            <w:vAlign w:val="bottom"/>
            <w:hideMark/>
          </w:tcPr>
          <w:p w14:paraId="6E0DEBD2" w14:textId="77777777" w:rsidR="0084085E" w:rsidRPr="002B51C1" w:rsidRDefault="0084085E" w:rsidP="0084085E">
            <w:pPr>
              <w:spacing w:before="40"/>
              <w:rPr>
                <w:rFonts w:ascii="Arial" w:eastAsia="Arial" w:hAnsi="Arial" w:cs="Arial"/>
                <w:sz w:val="22"/>
                <w:szCs w:val="22"/>
              </w:rPr>
            </w:pPr>
          </w:p>
        </w:tc>
        <w:tc>
          <w:tcPr>
            <w:tcW w:w="1880" w:type="dxa"/>
            <w:shd w:val="clear" w:color="auto" w:fill="auto"/>
            <w:noWrap/>
            <w:vAlign w:val="bottom"/>
          </w:tcPr>
          <w:p w14:paraId="271CD58C" w14:textId="1F800B78" w:rsidR="0084085E" w:rsidRPr="0084085E" w:rsidRDefault="0084085E" w:rsidP="0084085E">
            <w:pPr>
              <w:pBdr>
                <w:bottom w:val="double" w:sz="4" w:space="0" w:color="000000"/>
              </w:pBdr>
              <w:spacing w:before="40"/>
              <w:jc w:val="right"/>
              <w:rPr>
                <w:color w:val="000000"/>
                <w:sz w:val="22"/>
                <w:szCs w:val="22"/>
              </w:rPr>
            </w:pPr>
            <w:r w:rsidRPr="0084085E">
              <w:rPr>
                <w:sz w:val="22"/>
                <w:szCs w:val="22"/>
              </w:rPr>
              <w:t>200,552</w:t>
            </w:r>
          </w:p>
        </w:tc>
        <w:tc>
          <w:tcPr>
            <w:tcW w:w="1880" w:type="dxa"/>
            <w:shd w:val="clear" w:color="auto" w:fill="auto"/>
            <w:noWrap/>
            <w:vAlign w:val="bottom"/>
          </w:tcPr>
          <w:p w14:paraId="183911E3" w14:textId="377A7158" w:rsidR="0084085E" w:rsidRPr="00B44120" w:rsidRDefault="0084085E" w:rsidP="0084085E">
            <w:pPr>
              <w:pBdr>
                <w:bottom w:val="double" w:sz="4" w:space="0" w:color="000000"/>
              </w:pBdr>
              <w:spacing w:before="40"/>
              <w:jc w:val="right"/>
              <w:rPr>
                <w:sz w:val="22"/>
                <w:szCs w:val="22"/>
              </w:rPr>
            </w:pPr>
            <w:r>
              <w:rPr>
                <w:color w:val="000000"/>
                <w:sz w:val="22"/>
                <w:szCs w:val="22"/>
              </w:rPr>
              <w:t>170,142</w:t>
            </w:r>
          </w:p>
        </w:tc>
        <w:tc>
          <w:tcPr>
            <w:tcW w:w="1880" w:type="dxa"/>
            <w:shd w:val="clear" w:color="auto" w:fill="auto"/>
            <w:noWrap/>
            <w:vAlign w:val="bottom"/>
          </w:tcPr>
          <w:p w14:paraId="606FE384" w14:textId="1608038B" w:rsidR="0084085E" w:rsidRPr="002B51C1" w:rsidRDefault="0084085E" w:rsidP="0084085E">
            <w:pPr>
              <w:pBdr>
                <w:bottom w:val="double" w:sz="4" w:space="0" w:color="000000"/>
              </w:pBdr>
              <w:spacing w:before="40"/>
              <w:jc w:val="right"/>
              <w:rPr>
                <w:sz w:val="22"/>
                <w:szCs w:val="22"/>
              </w:rPr>
            </w:pPr>
            <w:r w:rsidRPr="00B44120">
              <w:rPr>
                <w:color w:val="000000"/>
                <w:sz w:val="22"/>
                <w:szCs w:val="22"/>
              </w:rPr>
              <w:t>143,554</w:t>
            </w:r>
          </w:p>
        </w:tc>
      </w:tr>
    </w:tbl>
    <w:p w14:paraId="7F4A5F2C" w14:textId="77777777" w:rsidR="00030CEF" w:rsidRPr="000537EF" w:rsidRDefault="00030CEF" w:rsidP="00030CEF">
      <w:pPr>
        <w:ind w:left="720"/>
        <w:rPr>
          <w:sz w:val="14"/>
          <w:szCs w:val="14"/>
        </w:rPr>
      </w:pPr>
    </w:p>
    <w:p w14:paraId="63320874" w14:textId="4D379131" w:rsidR="00030CEF" w:rsidRDefault="00030CEF" w:rsidP="002C4F7B">
      <w:pPr>
        <w:ind w:left="720"/>
        <w:rPr>
          <w:sz w:val="22"/>
          <w:szCs w:val="22"/>
        </w:rPr>
      </w:pPr>
      <w:r w:rsidRPr="002B51C1">
        <w:rPr>
          <w:sz w:val="22"/>
          <w:szCs w:val="22"/>
        </w:rPr>
        <w:t xml:space="preserve">The Group leases out its investment property under operating leases. </w:t>
      </w:r>
    </w:p>
    <w:p w14:paraId="1F13756B" w14:textId="77777777" w:rsidR="00B44120" w:rsidRDefault="00B44120" w:rsidP="00440C55">
      <w:pPr>
        <w:jc w:val="both"/>
        <w:rPr>
          <w:b/>
          <w:bCs/>
          <w:sz w:val="22"/>
          <w:szCs w:val="22"/>
        </w:rPr>
      </w:pPr>
    </w:p>
    <w:p w14:paraId="3E4DCCC4" w14:textId="7801966F" w:rsidR="00595FB0" w:rsidRPr="00522BD6" w:rsidRDefault="00595FB0" w:rsidP="00C01E5D">
      <w:pPr>
        <w:ind w:left="567" w:hanging="567"/>
        <w:jc w:val="both"/>
        <w:outlineLvl w:val="3"/>
        <w:rPr>
          <w:b/>
          <w:bCs/>
          <w:sz w:val="22"/>
          <w:szCs w:val="22"/>
        </w:rPr>
      </w:pPr>
      <w:bookmarkStart w:id="174" w:name="H4_BTransaction_price_allocated_to_the_p"/>
      <w:r w:rsidRPr="00522BD6">
        <w:rPr>
          <w:b/>
          <w:bCs/>
          <w:sz w:val="22"/>
          <w:szCs w:val="22"/>
        </w:rPr>
        <w:t>B.</w:t>
      </w:r>
      <w:r w:rsidRPr="00522BD6">
        <w:rPr>
          <w:b/>
          <w:bCs/>
          <w:sz w:val="22"/>
          <w:szCs w:val="22"/>
        </w:rPr>
        <w:tab/>
        <w:t>Transaction price allocated to the performance obligations</w:t>
      </w:r>
      <w:r w:rsidR="00C431F2">
        <w:rPr>
          <w:b/>
          <w:bCs/>
          <w:sz w:val="22"/>
          <w:szCs w:val="22"/>
        </w:rPr>
        <w:t xml:space="preserve"> </w:t>
      </w:r>
      <w:r w:rsidR="00C431F2" w:rsidRPr="00C431F2">
        <w:rPr>
          <w:b/>
          <w:bCs/>
          <w:sz w:val="22"/>
          <w:szCs w:val="22"/>
        </w:rPr>
        <w:t>that are unsatisfied</w:t>
      </w:r>
    </w:p>
    <w:bookmarkEnd w:id="174"/>
    <w:p w14:paraId="49B55ABD" w14:textId="77777777" w:rsidR="00595FB0" w:rsidRPr="000537EF" w:rsidRDefault="00595FB0" w:rsidP="00595FB0">
      <w:pPr>
        <w:ind w:left="567" w:hanging="567"/>
        <w:jc w:val="both"/>
        <w:rPr>
          <w:sz w:val="16"/>
          <w:szCs w:val="16"/>
        </w:rPr>
      </w:pPr>
    </w:p>
    <w:p w14:paraId="4D66CED7" w14:textId="77777777" w:rsidR="00595FB0" w:rsidRPr="00522BD6" w:rsidRDefault="00595FB0" w:rsidP="00595FB0">
      <w:pPr>
        <w:jc w:val="both"/>
        <w:rPr>
          <w:sz w:val="22"/>
          <w:szCs w:val="22"/>
        </w:rPr>
      </w:pPr>
      <w:r w:rsidRPr="00522BD6">
        <w:rPr>
          <w:sz w:val="22"/>
          <w:szCs w:val="22"/>
        </w:rPr>
        <w:t>The table below presents the amount of revenue that is expected to be recognized in subsequent periods and is related to performance obligations not yet completed (or partially completed) at the reporting date, with respect to contracts that their expected original period is more than one year.</w:t>
      </w:r>
    </w:p>
    <w:p w14:paraId="7C19E133" w14:textId="77777777" w:rsidR="00595FB0" w:rsidRDefault="00595FB0" w:rsidP="00595FB0">
      <w:pPr>
        <w:jc w:val="both"/>
        <w:rPr>
          <w:sz w:val="22"/>
          <w:szCs w:val="22"/>
        </w:rPr>
      </w:pPr>
    </w:p>
    <w:p w14:paraId="07E14C3B" w14:textId="77777777" w:rsidR="00595FB0" w:rsidRPr="00522BD6" w:rsidRDefault="00595FB0" w:rsidP="00595FB0">
      <w:pPr>
        <w:ind w:left="720"/>
        <w:rPr>
          <w:rStyle w:val="Koteret"/>
          <w:b w:val="0"/>
          <w:bCs/>
          <w:i/>
          <w:iCs/>
        </w:rPr>
      </w:pPr>
      <w:r w:rsidRPr="00522BD6">
        <w:rPr>
          <w:rStyle w:val="Koteret"/>
          <w:b w:val="0"/>
          <w:bCs/>
          <w:i/>
          <w:iCs/>
        </w:rPr>
        <w:t>In thousands of Euros</w:t>
      </w:r>
    </w:p>
    <w:tbl>
      <w:tblPr>
        <w:tblW w:w="9977" w:type="dxa"/>
        <w:tblLayout w:type="fixed"/>
        <w:tblCellMar>
          <w:left w:w="142" w:type="dxa"/>
          <w:right w:w="142" w:type="dxa"/>
        </w:tblCellMar>
        <w:tblLook w:val="02A0" w:firstRow="1" w:lastRow="0" w:firstColumn="1" w:lastColumn="0" w:noHBand="1" w:noVBand="0"/>
        <w:tblCaption w:val="AHR01"/>
        <w:tblDescription w:val="Transaction price allocated to the performance obligations that are unsatisfied"/>
      </w:tblPr>
      <w:tblGrid>
        <w:gridCol w:w="4309"/>
        <w:gridCol w:w="1417"/>
        <w:gridCol w:w="1417"/>
        <w:gridCol w:w="1417"/>
        <w:gridCol w:w="1417"/>
      </w:tblGrid>
      <w:tr w:rsidR="00AF1F66" w:rsidRPr="00522BD6" w14:paraId="3685E9B0" w14:textId="77777777" w:rsidTr="005101BC">
        <w:trPr>
          <w:cantSplit/>
          <w:trHeight w:val="283"/>
          <w:tblHeader/>
        </w:trPr>
        <w:tc>
          <w:tcPr>
            <w:tcW w:w="4309" w:type="dxa"/>
            <w:tcBorders>
              <w:top w:val="nil"/>
              <w:left w:val="nil"/>
              <w:bottom w:val="nil"/>
              <w:right w:val="nil"/>
            </w:tcBorders>
          </w:tcPr>
          <w:p w14:paraId="5B85A114" w14:textId="77777777" w:rsidR="00AF1F66" w:rsidRPr="00522BD6" w:rsidRDefault="00AF1F66" w:rsidP="00AF1F66">
            <w:pPr>
              <w:jc w:val="right"/>
              <w:rPr>
                <w:rStyle w:val="Koteret"/>
                <w:rFonts w:cs="Miriam"/>
                <w:bCs/>
              </w:rPr>
            </w:pPr>
            <w:bookmarkStart w:id="175" w:name="Title_40" w:colFirst="0" w:colLast="0"/>
          </w:p>
        </w:tc>
        <w:tc>
          <w:tcPr>
            <w:tcW w:w="1417" w:type="dxa"/>
            <w:tcBorders>
              <w:top w:val="nil"/>
              <w:left w:val="nil"/>
              <w:bottom w:val="nil"/>
              <w:right w:val="nil"/>
            </w:tcBorders>
          </w:tcPr>
          <w:p w14:paraId="3081520F" w14:textId="44266E1F" w:rsidR="00AF1F66" w:rsidRPr="00CF372C" w:rsidRDefault="00547ED1" w:rsidP="006B6686">
            <w:pPr>
              <w:pBdr>
                <w:bottom w:val="single" w:sz="4" w:space="1" w:color="auto"/>
              </w:pBdr>
              <w:jc w:val="center"/>
              <w:rPr>
                <w:rStyle w:val="Koteret"/>
                <w:rFonts w:cs="Miriam"/>
                <w:bCs/>
                <w:sz w:val="20"/>
              </w:rPr>
            </w:pPr>
            <w:r w:rsidRPr="00CF372C">
              <w:rPr>
                <w:rStyle w:val="Koteret"/>
                <w:rFonts w:cs="Miriam"/>
                <w:bCs/>
                <w:sz w:val="20"/>
              </w:rPr>
              <w:t>202</w:t>
            </w:r>
            <w:r w:rsidR="00B43F65">
              <w:rPr>
                <w:rStyle w:val="Koteret"/>
                <w:rFonts w:cs="Miriam"/>
                <w:bCs/>
                <w:sz w:val="20"/>
              </w:rPr>
              <w:t>5</w:t>
            </w:r>
          </w:p>
        </w:tc>
        <w:tc>
          <w:tcPr>
            <w:tcW w:w="1417" w:type="dxa"/>
            <w:tcBorders>
              <w:top w:val="nil"/>
              <w:left w:val="nil"/>
              <w:bottom w:val="nil"/>
              <w:right w:val="nil"/>
            </w:tcBorders>
          </w:tcPr>
          <w:p w14:paraId="6C35E276" w14:textId="7B2149B4" w:rsidR="00AF1F66" w:rsidRPr="00CF372C" w:rsidRDefault="00547ED1" w:rsidP="006B6686">
            <w:pPr>
              <w:pBdr>
                <w:bottom w:val="single" w:sz="4" w:space="1" w:color="auto"/>
              </w:pBdr>
              <w:jc w:val="center"/>
              <w:rPr>
                <w:rStyle w:val="Koteret"/>
                <w:rFonts w:cs="Miriam"/>
                <w:bCs/>
                <w:sz w:val="20"/>
              </w:rPr>
            </w:pPr>
            <w:r w:rsidRPr="00CF372C">
              <w:rPr>
                <w:rStyle w:val="Koteret"/>
                <w:rFonts w:cs="Miriam"/>
                <w:bCs/>
                <w:sz w:val="20"/>
              </w:rPr>
              <w:t>202</w:t>
            </w:r>
            <w:r w:rsidR="00B43F65">
              <w:rPr>
                <w:rStyle w:val="Koteret"/>
                <w:rFonts w:cs="Miriam"/>
                <w:bCs/>
                <w:sz w:val="20"/>
              </w:rPr>
              <w:t>6</w:t>
            </w:r>
          </w:p>
        </w:tc>
        <w:tc>
          <w:tcPr>
            <w:tcW w:w="1417" w:type="dxa"/>
            <w:tcBorders>
              <w:top w:val="nil"/>
              <w:left w:val="nil"/>
              <w:bottom w:val="nil"/>
              <w:right w:val="nil"/>
            </w:tcBorders>
          </w:tcPr>
          <w:p w14:paraId="6A3DC0FA" w14:textId="1C56399C" w:rsidR="00AF1F66" w:rsidRPr="00CF372C" w:rsidRDefault="00547ED1" w:rsidP="006B6686">
            <w:pPr>
              <w:pBdr>
                <w:bottom w:val="single" w:sz="4" w:space="1" w:color="auto"/>
              </w:pBdr>
              <w:jc w:val="center"/>
              <w:rPr>
                <w:rStyle w:val="Koteret"/>
                <w:rFonts w:cs="Miriam"/>
                <w:bCs/>
                <w:sz w:val="20"/>
                <w:rtl/>
                <w:lang w:bidi="he-IL"/>
              </w:rPr>
            </w:pPr>
            <w:r w:rsidRPr="00CF372C">
              <w:rPr>
                <w:rStyle w:val="Koteret"/>
                <w:rFonts w:cs="Miriam"/>
                <w:bCs/>
                <w:sz w:val="20"/>
              </w:rPr>
              <w:t>202</w:t>
            </w:r>
            <w:r w:rsidR="00B43F65">
              <w:rPr>
                <w:rStyle w:val="Koteret"/>
                <w:rFonts w:cs="Miriam"/>
                <w:bCs/>
                <w:sz w:val="20"/>
              </w:rPr>
              <w:t>7</w:t>
            </w:r>
          </w:p>
        </w:tc>
        <w:tc>
          <w:tcPr>
            <w:tcW w:w="1417" w:type="dxa"/>
            <w:tcBorders>
              <w:top w:val="nil"/>
              <w:left w:val="nil"/>
              <w:bottom w:val="nil"/>
              <w:right w:val="nil"/>
            </w:tcBorders>
          </w:tcPr>
          <w:p w14:paraId="5E211740" w14:textId="77777777" w:rsidR="00AF1F66" w:rsidRPr="00CF372C" w:rsidRDefault="00AF1F66" w:rsidP="006B6686">
            <w:pPr>
              <w:pBdr>
                <w:bottom w:val="single" w:sz="4" w:space="1" w:color="auto"/>
              </w:pBdr>
              <w:jc w:val="center"/>
              <w:rPr>
                <w:rStyle w:val="Koteret"/>
                <w:rFonts w:cs="Miriam"/>
                <w:bCs/>
                <w:sz w:val="20"/>
              </w:rPr>
            </w:pPr>
            <w:r w:rsidRPr="00CF372C">
              <w:rPr>
                <w:rStyle w:val="Koteret"/>
                <w:rFonts w:cs="Miriam"/>
                <w:bCs/>
                <w:sz w:val="20"/>
              </w:rPr>
              <w:t>Total</w:t>
            </w:r>
          </w:p>
        </w:tc>
      </w:tr>
      <w:bookmarkEnd w:id="175"/>
      <w:tr w:rsidR="00B43F65" w:rsidRPr="00146A51" w14:paraId="79AE2380" w14:textId="77777777" w:rsidTr="005101BC">
        <w:trPr>
          <w:cantSplit/>
          <w:trHeight w:val="283"/>
        </w:trPr>
        <w:tc>
          <w:tcPr>
            <w:tcW w:w="4309" w:type="dxa"/>
            <w:tcBorders>
              <w:top w:val="nil"/>
              <w:left w:val="nil"/>
              <w:bottom w:val="nil"/>
              <w:right w:val="nil"/>
            </w:tcBorders>
            <w:vAlign w:val="center"/>
          </w:tcPr>
          <w:p w14:paraId="4A62CCF1" w14:textId="77777777" w:rsidR="00B43F65" w:rsidRPr="00146A51" w:rsidRDefault="00B43F65" w:rsidP="00B43F65">
            <w:pPr>
              <w:tabs>
                <w:tab w:val="left" w:pos="720"/>
                <w:tab w:val="left" w:pos="1440"/>
                <w:tab w:val="left" w:pos="2160"/>
                <w:tab w:val="left" w:pos="2875"/>
              </w:tabs>
              <w:rPr>
                <w:sz w:val="22"/>
                <w:szCs w:val="22"/>
              </w:rPr>
            </w:pPr>
            <w:r w:rsidRPr="00146A51">
              <w:rPr>
                <w:sz w:val="22"/>
                <w:szCs w:val="22"/>
              </w:rPr>
              <w:t>Residential units sold and not delivered</w:t>
            </w:r>
          </w:p>
        </w:tc>
        <w:tc>
          <w:tcPr>
            <w:tcW w:w="1417" w:type="dxa"/>
            <w:tcBorders>
              <w:top w:val="nil"/>
              <w:left w:val="nil"/>
              <w:bottom w:val="nil"/>
              <w:right w:val="nil"/>
            </w:tcBorders>
            <w:shd w:val="clear" w:color="auto" w:fill="auto"/>
            <w:vAlign w:val="bottom"/>
          </w:tcPr>
          <w:p w14:paraId="4B5D28BE" w14:textId="79D147EA" w:rsidR="00B43F65" w:rsidRPr="00B43F65" w:rsidRDefault="00B43F65" w:rsidP="00B43F65">
            <w:pPr>
              <w:spacing w:before="40"/>
              <w:jc w:val="right"/>
              <w:rPr>
                <w:b/>
                <w:bCs/>
                <w:color w:val="000000"/>
                <w:sz w:val="22"/>
                <w:szCs w:val="22"/>
                <w:lang w:bidi="he-IL"/>
              </w:rPr>
            </w:pPr>
            <w:r w:rsidRPr="00B43F65">
              <w:rPr>
                <w:sz w:val="22"/>
                <w:szCs w:val="22"/>
              </w:rPr>
              <w:t>4,535</w:t>
            </w:r>
          </w:p>
        </w:tc>
        <w:tc>
          <w:tcPr>
            <w:tcW w:w="1417" w:type="dxa"/>
            <w:tcBorders>
              <w:top w:val="nil"/>
              <w:left w:val="nil"/>
              <w:bottom w:val="nil"/>
              <w:right w:val="nil"/>
            </w:tcBorders>
            <w:shd w:val="clear" w:color="auto" w:fill="auto"/>
            <w:vAlign w:val="bottom"/>
          </w:tcPr>
          <w:p w14:paraId="4FF0F024" w14:textId="3DA7771F" w:rsidR="00B43F65" w:rsidRPr="00B43F65" w:rsidRDefault="00B43F65" w:rsidP="00B43F65">
            <w:pPr>
              <w:spacing w:before="40"/>
              <w:jc w:val="right"/>
              <w:rPr>
                <w:b/>
                <w:bCs/>
                <w:color w:val="000000"/>
                <w:sz w:val="22"/>
                <w:szCs w:val="22"/>
                <w:lang w:bidi="he-IL"/>
              </w:rPr>
            </w:pPr>
            <w:r w:rsidRPr="00B43F65">
              <w:rPr>
                <w:sz w:val="22"/>
                <w:szCs w:val="22"/>
              </w:rPr>
              <w:t>-</w:t>
            </w:r>
          </w:p>
        </w:tc>
        <w:tc>
          <w:tcPr>
            <w:tcW w:w="1417" w:type="dxa"/>
            <w:tcBorders>
              <w:top w:val="nil"/>
              <w:left w:val="nil"/>
              <w:bottom w:val="nil"/>
              <w:right w:val="nil"/>
            </w:tcBorders>
            <w:shd w:val="clear" w:color="auto" w:fill="auto"/>
            <w:vAlign w:val="bottom"/>
          </w:tcPr>
          <w:p w14:paraId="69397D3A" w14:textId="5C2D59AB" w:rsidR="00B43F65" w:rsidRPr="00B43F65" w:rsidRDefault="00B43F65" w:rsidP="00B43F65">
            <w:pPr>
              <w:spacing w:before="40"/>
              <w:jc w:val="right"/>
              <w:rPr>
                <w:b/>
                <w:bCs/>
                <w:color w:val="000000"/>
                <w:sz w:val="22"/>
                <w:szCs w:val="22"/>
              </w:rPr>
            </w:pPr>
            <w:r w:rsidRPr="00B43F65">
              <w:rPr>
                <w:sz w:val="22"/>
                <w:szCs w:val="22"/>
              </w:rPr>
              <w:t>-</w:t>
            </w:r>
          </w:p>
        </w:tc>
        <w:tc>
          <w:tcPr>
            <w:tcW w:w="1417" w:type="dxa"/>
            <w:tcBorders>
              <w:top w:val="nil"/>
              <w:left w:val="nil"/>
              <w:bottom w:val="nil"/>
              <w:right w:val="nil"/>
            </w:tcBorders>
            <w:shd w:val="clear" w:color="auto" w:fill="auto"/>
            <w:vAlign w:val="bottom"/>
          </w:tcPr>
          <w:p w14:paraId="5D860657" w14:textId="73B01427" w:rsidR="00B43F65" w:rsidRPr="00B43F65" w:rsidRDefault="00B43F65" w:rsidP="00B43F65">
            <w:pPr>
              <w:spacing w:before="40"/>
              <w:jc w:val="right"/>
              <w:rPr>
                <w:b/>
                <w:bCs/>
                <w:color w:val="000000"/>
                <w:sz w:val="22"/>
                <w:szCs w:val="22"/>
                <w:lang w:bidi="he-IL"/>
              </w:rPr>
            </w:pPr>
            <w:r w:rsidRPr="00B43F65">
              <w:rPr>
                <w:sz w:val="22"/>
                <w:szCs w:val="22"/>
              </w:rPr>
              <w:t>4,535</w:t>
            </w:r>
          </w:p>
        </w:tc>
      </w:tr>
      <w:tr w:rsidR="00935F90" w:rsidRPr="00146A51" w14:paraId="25EFECC1" w14:textId="77777777" w:rsidTr="005101BC">
        <w:trPr>
          <w:cantSplit/>
          <w:trHeight w:val="283"/>
        </w:trPr>
        <w:tc>
          <w:tcPr>
            <w:tcW w:w="4309" w:type="dxa"/>
            <w:tcBorders>
              <w:top w:val="nil"/>
              <w:left w:val="nil"/>
              <w:bottom w:val="nil"/>
              <w:right w:val="nil"/>
            </w:tcBorders>
            <w:vAlign w:val="center"/>
          </w:tcPr>
          <w:p w14:paraId="2894D4EC" w14:textId="1770A83F" w:rsidR="00935F90" w:rsidRPr="00E43187" w:rsidRDefault="00935F90" w:rsidP="00935F90">
            <w:pPr>
              <w:tabs>
                <w:tab w:val="left" w:pos="720"/>
                <w:tab w:val="left" w:pos="1440"/>
                <w:tab w:val="left" w:pos="2160"/>
                <w:tab w:val="left" w:pos="2875"/>
              </w:tabs>
              <w:rPr>
                <w:sz w:val="22"/>
                <w:szCs w:val="22"/>
              </w:rPr>
            </w:pPr>
            <w:r w:rsidRPr="00E43187">
              <w:rPr>
                <w:sz w:val="22"/>
                <w:szCs w:val="22"/>
              </w:rPr>
              <w:t xml:space="preserve">Rental from income-generating </w:t>
            </w:r>
            <w:proofErr w:type="gramStart"/>
            <w:r w:rsidRPr="00E43187">
              <w:rPr>
                <w:sz w:val="22"/>
                <w:szCs w:val="22"/>
              </w:rPr>
              <w:t>properties</w:t>
            </w:r>
            <w:r w:rsidRPr="00E43187">
              <w:rPr>
                <w:sz w:val="22"/>
                <w:szCs w:val="22"/>
                <w:vertAlign w:val="superscript"/>
              </w:rPr>
              <w:t>(</w:t>
            </w:r>
            <w:proofErr w:type="gramEnd"/>
            <w:r w:rsidRPr="00E43187">
              <w:rPr>
                <w:sz w:val="22"/>
                <w:szCs w:val="22"/>
                <w:vertAlign w:val="superscript"/>
              </w:rPr>
              <w:t>*)</w:t>
            </w:r>
          </w:p>
        </w:tc>
        <w:tc>
          <w:tcPr>
            <w:tcW w:w="1417" w:type="dxa"/>
            <w:tcBorders>
              <w:top w:val="nil"/>
              <w:left w:val="nil"/>
              <w:bottom w:val="nil"/>
              <w:right w:val="nil"/>
            </w:tcBorders>
            <w:shd w:val="clear" w:color="auto" w:fill="auto"/>
          </w:tcPr>
          <w:p w14:paraId="70B9191B" w14:textId="418C3F03" w:rsidR="00935F90" w:rsidRPr="00935F90" w:rsidRDefault="00935F90" w:rsidP="00935F90">
            <w:pPr>
              <w:spacing w:before="40"/>
              <w:jc w:val="right"/>
              <w:rPr>
                <w:b/>
                <w:bCs/>
                <w:color w:val="000000"/>
                <w:sz w:val="22"/>
                <w:szCs w:val="22"/>
                <w:highlight w:val="yellow"/>
                <w:lang w:bidi="he-IL"/>
              </w:rPr>
            </w:pPr>
            <w:r w:rsidRPr="00E43187">
              <w:rPr>
                <w:sz w:val="22"/>
                <w:szCs w:val="22"/>
              </w:rPr>
              <w:t xml:space="preserve"> 187,190 </w:t>
            </w:r>
          </w:p>
        </w:tc>
        <w:tc>
          <w:tcPr>
            <w:tcW w:w="1417" w:type="dxa"/>
            <w:tcBorders>
              <w:top w:val="nil"/>
              <w:left w:val="nil"/>
              <w:bottom w:val="nil"/>
              <w:right w:val="nil"/>
            </w:tcBorders>
            <w:shd w:val="clear" w:color="auto" w:fill="auto"/>
          </w:tcPr>
          <w:p w14:paraId="08050391" w14:textId="3C5A2C2F" w:rsidR="00935F90" w:rsidRPr="00935F90" w:rsidRDefault="00935F90" w:rsidP="00935F90">
            <w:pPr>
              <w:spacing w:before="40"/>
              <w:jc w:val="right"/>
              <w:rPr>
                <w:b/>
                <w:bCs/>
                <w:color w:val="000000"/>
                <w:sz w:val="22"/>
                <w:szCs w:val="22"/>
                <w:highlight w:val="yellow"/>
                <w:lang w:bidi="he-IL"/>
              </w:rPr>
            </w:pPr>
            <w:r w:rsidRPr="00E43187">
              <w:rPr>
                <w:sz w:val="22"/>
                <w:szCs w:val="22"/>
              </w:rPr>
              <w:t xml:space="preserve"> 154,234 </w:t>
            </w:r>
          </w:p>
        </w:tc>
        <w:tc>
          <w:tcPr>
            <w:tcW w:w="1417" w:type="dxa"/>
            <w:tcBorders>
              <w:top w:val="nil"/>
              <w:left w:val="nil"/>
              <w:bottom w:val="nil"/>
              <w:right w:val="nil"/>
            </w:tcBorders>
            <w:shd w:val="clear" w:color="auto" w:fill="auto"/>
          </w:tcPr>
          <w:p w14:paraId="436694BD" w14:textId="6A5DD599" w:rsidR="00935F90" w:rsidRPr="00935F90" w:rsidRDefault="00935F90" w:rsidP="00935F90">
            <w:pPr>
              <w:spacing w:before="40"/>
              <w:jc w:val="right"/>
              <w:rPr>
                <w:b/>
                <w:bCs/>
                <w:color w:val="000000"/>
                <w:sz w:val="22"/>
                <w:szCs w:val="22"/>
                <w:highlight w:val="yellow"/>
                <w:lang w:bidi="he-IL"/>
              </w:rPr>
            </w:pPr>
            <w:r w:rsidRPr="00E43187">
              <w:rPr>
                <w:sz w:val="22"/>
                <w:szCs w:val="22"/>
              </w:rPr>
              <w:t xml:space="preserve"> 137,067 </w:t>
            </w:r>
          </w:p>
        </w:tc>
        <w:tc>
          <w:tcPr>
            <w:tcW w:w="1417" w:type="dxa"/>
            <w:tcBorders>
              <w:top w:val="nil"/>
              <w:left w:val="nil"/>
              <w:bottom w:val="nil"/>
              <w:right w:val="nil"/>
            </w:tcBorders>
            <w:shd w:val="clear" w:color="auto" w:fill="auto"/>
          </w:tcPr>
          <w:p w14:paraId="5164DFF0" w14:textId="2CD83636" w:rsidR="00935F90" w:rsidRPr="00935F90" w:rsidRDefault="00935F90" w:rsidP="00935F90">
            <w:pPr>
              <w:spacing w:before="40"/>
              <w:jc w:val="right"/>
              <w:rPr>
                <w:b/>
                <w:bCs/>
                <w:color w:val="000000"/>
                <w:sz w:val="22"/>
                <w:szCs w:val="22"/>
                <w:highlight w:val="yellow"/>
                <w:lang w:bidi="he-IL"/>
              </w:rPr>
            </w:pPr>
            <w:r w:rsidRPr="00E43187">
              <w:rPr>
                <w:sz w:val="22"/>
                <w:szCs w:val="22"/>
              </w:rPr>
              <w:t xml:space="preserve"> 478,491 </w:t>
            </w:r>
          </w:p>
        </w:tc>
      </w:tr>
    </w:tbl>
    <w:p w14:paraId="005A778B" w14:textId="77777777" w:rsidR="00595FB0" w:rsidRPr="00522BD6" w:rsidRDefault="00595FB0" w:rsidP="00595FB0">
      <w:pPr>
        <w:jc w:val="both"/>
        <w:rPr>
          <w:sz w:val="22"/>
          <w:szCs w:val="22"/>
        </w:rPr>
      </w:pPr>
    </w:p>
    <w:p w14:paraId="29A8B14A" w14:textId="5288C6E3" w:rsidR="00595FB0" w:rsidRDefault="004958DD" w:rsidP="004958DD">
      <w:pPr>
        <w:jc w:val="both"/>
        <w:rPr>
          <w:sz w:val="22"/>
          <w:szCs w:val="22"/>
        </w:rPr>
      </w:pPr>
      <w:r>
        <w:rPr>
          <w:sz w:val="22"/>
          <w:szCs w:val="22"/>
        </w:rPr>
        <w:t xml:space="preserve">(*) Rental income </w:t>
      </w:r>
      <w:proofErr w:type="gramStart"/>
      <w:r>
        <w:rPr>
          <w:sz w:val="22"/>
          <w:szCs w:val="22"/>
        </w:rPr>
        <w:t>is decreasing</w:t>
      </w:r>
      <w:proofErr w:type="gramEnd"/>
      <w:r>
        <w:rPr>
          <w:sz w:val="22"/>
          <w:szCs w:val="22"/>
        </w:rPr>
        <w:t xml:space="preserve"> over the years since the information presented is not taking into consideration r</w:t>
      </w:r>
      <w:r w:rsidRPr="004958DD">
        <w:rPr>
          <w:sz w:val="22"/>
          <w:szCs w:val="22"/>
        </w:rPr>
        <w:t>enewal</w:t>
      </w:r>
      <w:r>
        <w:rPr>
          <w:sz w:val="22"/>
          <w:szCs w:val="22"/>
        </w:rPr>
        <w:t xml:space="preserve"> of contracts</w:t>
      </w:r>
      <w:r w:rsidR="008C10E1">
        <w:rPr>
          <w:sz w:val="22"/>
          <w:szCs w:val="22"/>
        </w:rPr>
        <w:t xml:space="preserve"> or options exercised</w:t>
      </w:r>
      <w:r w:rsidR="00326BEC">
        <w:rPr>
          <w:sz w:val="22"/>
          <w:szCs w:val="22"/>
        </w:rPr>
        <w:t>.</w:t>
      </w:r>
    </w:p>
    <w:p w14:paraId="675560D0" w14:textId="77777777" w:rsidR="000C6776" w:rsidRDefault="000C6776" w:rsidP="004958DD">
      <w:pPr>
        <w:jc w:val="both"/>
        <w:rPr>
          <w:sz w:val="22"/>
          <w:szCs w:val="22"/>
        </w:rPr>
      </w:pPr>
    </w:p>
    <w:p w14:paraId="06DEA327" w14:textId="270FC529" w:rsidR="00EF7A99" w:rsidRPr="00B44120" w:rsidRDefault="00EF7A99" w:rsidP="00EF7A99">
      <w:pPr>
        <w:jc w:val="both"/>
        <w:outlineLvl w:val="2"/>
        <w:rPr>
          <w:b/>
          <w:bCs/>
          <w:sz w:val="22"/>
          <w:szCs w:val="22"/>
        </w:rPr>
      </w:pPr>
      <w:r w:rsidRPr="00B44120">
        <w:rPr>
          <w:b/>
          <w:bCs/>
          <w:sz w:val="22"/>
          <w:szCs w:val="22"/>
        </w:rPr>
        <w:t>Note 1</w:t>
      </w:r>
      <w:r>
        <w:rPr>
          <w:b/>
          <w:bCs/>
          <w:sz w:val="22"/>
          <w:szCs w:val="22"/>
        </w:rPr>
        <w:t>6</w:t>
      </w:r>
      <w:r w:rsidRPr="00B44120">
        <w:rPr>
          <w:b/>
          <w:bCs/>
          <w:sz w:val="22"/>
          <w:szCs w:val="22"/>
        </w:rPr>
        <w:t xml:space="preserve"> </w:t>
      </w:r>
      <w:r>
        <w:rPr>
          <w:b/>
          <w:bCs/>
          <w:sz w:val="22"/>
          <w:szCs w:val="22"/>
        </w:rPr>
        <w:t>–</w:t>
      </w:r>
      <w:r w:rsidRPr="00B44120">
        <w:rPr>
          <w:b/>
          <w:bCs/>
          <w:sz w:val="22"/>
          <w:szCs w:val="22"/>
        </w:rPr>
        <w:t xml:space="preserve"> </w:t>
      </w:r>
      <w:r>
        <w:rPr>
          <w:b/>
          <w:bCs/>
          <w:sz w:val="22"/>
          <w:szCs w:val="22"/>
        </w:rPr>
        <w:t>Service Charge Expenses</w:t>
      </w:r>
    </w:p>
    <w:p w14:paraId="0E3A2141" w14:textId="3BA452EA" w:rsidR="00EF7A99" w:rsidRPr="00613040" w:rsidRDefault="00EF7A99" w:rsidP="00903C29">
      <w:pPr>
        <w:ind w:left="560"/>
        <w:jc w:val="both"/>
        <w:rPr>
          <w:b/>
          <w:bCs/>
          <w:sz w:val="12"/>
          <w:szCs w:val="12"/>
        </w:rPr>
      </w:pPr>
      <w:r w:rsidRPr="00B44120">
        <w:rPr>
          <w:b/>
          <w:bCs/>
          <w:sz w:val="22"/>
          <w:szCs w:val="22"/>
        </w:rPr>
        <w:tab/>
      </w:r>
    </w:p>
    <w:p w14:paraId="671A81CB" w14:textId="77777777" w:rsidR="00EF7A99" w:rsidRDefault="00EF7A99" w:rsidP="00EF7A99">
      <w:pPr>
        <w:ind w:left="720"/>
        <w:jc w:val="both"/>
        <w:rPr>
          <w:rStyle w:val="Koteret"/>
          <w:b w:val="0"/>
          <w:bCs/>
          <w:i/>
          <w:iCs/>
        </w:rPr>
      </w:pPr>
      <w:r w:rsidRPr="00522BD6">
        <w:rPr>
          <w:rStyle w:val="Koteret"/>
          <w:b w:val="0"/>
          <w:bCs/>
          <w:i/>
          <w:iCs/>
        </w:rPr>
        <w:t>In thousands of Euros</w:t>
      </w:r>
    </w:p>
    <w:tbl>
      <w:tblPr>
        <w:tblW w:w="9418" w:type="dxa"/>
        <w:tblInd w:w="720" w:type="dxa"/>
        <w:tblLook w:val="06A0" w:firstRow="1" w:lastRow="0" w:firstColumn="1" w:lastColumn="0" w:noHBand="1" w:noVBand="1"/>
        <w:tblCaption w:val="AHR02"/>
        <w:tblDescription w:val="Administrative Expenses"/>
      </w:tblPr>
      <w:tblGrid>
        <w:gridCol w:w="4775"/>
        <w:gridCol w:w="1547"/>
        <w:gridCol w:w="1548"/>
        <w:gridCol w:w="1548"/>
      </w:tblGrid>
      <w:tr w:rsidR="00EF7A99" w:rsidRPr="002B51C1" w14:paraId="3DE8BFF6" w14:textId="77777777" w:rsidTr="005101BC">
        <w:trPr>
          <w:cantSplit/>
          <w:trHeight w:val="283"/>
          <w:tblHeader/>
        </w:trPr>
        <w:tc>
          <w:tcPr>
            <w:tcW w:w="4775" w:type="dxa"/>
            <w:shd w:val="clear" w:color="auto" w:fill="auto"/>
            <w:vAlign w:val="bottom"/>
            <w:hideMark/>
          </w:tcPr>
          <w:p w14:paraId="0760E1BD" w14:textId="77777777" w:rsidR="00EF7A99" w:rsidRPr="002B51C1" w:rsidRDefault="00EF7A99" w:rsidP="00385D79">
            <w:pPr>
              <w:spacing w:before="40"/>
              <w:rPr>
                <w:rFonts w:ascii="Arial" w:eastAsia="Arial" w:hAnsi="Arial" w:cs="Arial"/>
                <w:sz w:val="20"/>
              </w:rPr>
            </w:pPr>
          </w:p>
        </w:tc>
        <w:tc>
          <w:tcPr>
            <w:tcW w:w="4643" w:type="dxa"/>
            <w:gridSpan w:val="3"/>
            <w:shd w:val="clear" w:color="auto" w:fill="auto"/>
            <w:noWrap/>
            <w:vAlign w:val="bottom"/>
            <w:hideMark/>
          </w:tcPr>
          <w:p w14:paraId="2AC0B4E7" w14:textId="77777777" w:rsidR="00EF7A99" w:rsidRPr="006B6686" w:rsidRDefault="00EF7A99" w:rsidP="00385D79">
            <w:pPr>
              <w:pBdr>
                <w:bottom w:val="single" w:sz="4" w:space="0" w:color="000000"/>
              </w:pBdr>
              <w:jc w:val="center"/>
              <w:rPr>
                <w:rStyle w:val="Koteret"/>
                <w:rFonts w:cs="Miriam"/>
                <w:bCs/>
                <w:sz w:val="20"/>
              </w:rPr>
            </w:pPr>
            <w:r w:rsidRPr="006B6686">
              <w:rPr>
                <w:rStyle w:val="Koteret"/>
                <w:rFonts w:cs="Miriam"/>
                <w:bCs/>
                <w:sz w:val="20"/>
              </w:rPr>
              <w:t>For the year ended December 31,</w:t>
            </w:r>
          </w:p>
        </w:tc>
      </w:tr>
      <w:tr w:rsidR="00EF7A99" w:rsidRPr="002B51C1" w14:paraId="62FAE951" w14:textId="77777777" w:rsidTr="005101BC">
        <w:trPr>
          <w:cantSplit/>
          <w:trHeight w:val="283"/>
          <w:tblHeader/>
        </w:trPr>
        <w:tc>
          <w:tcPr>
            <w:tcW w:w="4775" w:type="dxa"/>
            <w:shd w:val="clear" w:color="auto" w:fill="auto"/>
            <w:vAlign w:val="bottom"/>
            <w:hideMark/>
          </w:tcPr>
          <w:p w14:paraId="25190321" w14:textId="77777777" w:rsidR="00EF7A99" w:rsidRPr="002B51C1" w:rsidRDefault="00EF7A99" w:rsidP="00385D79">
            <w:pPr>
              <w:spacing w:before="40"/>
              <w:rPr>
                <w:rFonts w:ascii="Arial" w:eastAsia="Arial" w:hAnsi="Arial" w:cs="Arial"/>
                <w:sz w:val="20"/>
              </w:rPr>
            </w:pPr>
          </w:p>
        </w:tc>
        <w:tc>
          <w:tcPr>
            <w:tcW w:w="1547" w:type="dxa"/>
            <w:shd w:val="clear" w:color="auto" w:fill="auto"/>
            <w:vAlign w:val="bottom"/>
            <w:hideMark/>
          </w:tcPr>
          <w:p w14:paraId="4B99DCC2" w14:textId="71277114" w:rsidR="00EF7A99" w:rsidRPr="006B6686" w:rsidRDefault="00EF7A99" w:rsidP="00385D79">
            <w:pPr>
              <w:pBdr>
                <w:bottom w:val="single" w:sz="4" w:space="0" w:color="000000"/>
              </w:pBdr>
              <w:jc w:val="center"/>
              <w:rPr>
                <w:rStyle w:val="Koteret"/>
                <w:rFonts w:cs="Miriam"/>
                <w:bCs/>
                <w:sz w:val="20"/>
              </w:rPr>
            </w:pPr>
            <w:r w:rsidRPr="006B6686">
              <w:rPr>
                <w:rStyle w:val="Koteret"/>
                <w:rFonts w:cs="Miriam"/>
                <w:bCs/>
                <w:sz w:val="20"/>
              </w:rPr>
              <w:t>202</w:t>
            </w:r>
            <w:r w:rsidR="00C52BA0">
              <w:rPr>
                <w:rStyle w:val="Koteret"/>
                <w:rFonts w:cs="Miriam"/>
                <w:bCs/>
                <w:sz w:val="20"/>
              </w:rPr>
              <w:t>4</w:t>
            </w:r>
          </w:p>
        </w:tc>
        <w:tc>
          <w:tcPr>
            <w:tcW w:w="1548" w:type="dxa"/>
            <w:shd w:val="clear" w:color="auto" w:fill="auto"/>
            <w:vAlign w:val="bottom"/>
            <w:hideMark/>
          </w:tcPr>
          <w:p w14:paraId="68B6DB29" w14:textId="79C4DC08" w:rsidR="00EF7A99" w:rsidRPr="006B6686" w:rsidRDefault="00C52BA0" w:rsidP="00385D79">
            <w:pPr>
              <w:pBdr>
                <w:bottom w:val="single" w:sz="4" w:space="0" w:color="000000"/>
              </w:pBdr>
              <w:jc w:val="center"/>
              <w:rPr>
                <w:rStyle w:val="Koteret"/>
                <w:rFonts w:cs="Miriam"/>
                <w:bCs/>
                <w:sz w:val="20"/>
              </w:rPr>
            </w:pPr>
            <w:r>
              <w:rPr>
                <w:rStyle w:val="Koteret"/>
                <w:rFonts w:cs="Miriam"/>
                <w:bCs/>
                <w:sz w:val="20"/>
              </w:rPr>
              <w:t>2023</w:t>
            </w:r>
          </w:p>
        </w:tc>
        <w:tc>
          <w:tcPr>
            <w:tcW w:w="1548" w:type="dxa"/>
            <w:shd w:val="clear" w:color="auto" w:fill="auto"/>
            <w:vAlign w:val="bottom"/>
            <w:hideMark/>
          </w:tcPr>
          <w:p w14:paraId="4A02A82F" w14:textId="33E40FED" w:rsidR="00EF7A99" w:rsidRPr="006B6686" w:rsidRDefault="00C52BA0" w:rsidP="00385D79">
            <w:pPr>
              <w:pBdr>
                <w:bottom w:val="single" w:sz="4" w:space="0" w:color="000000"/>
              </w:pBdr>
              <w:jc w:val="center"/>
              <w:rPr>
                <w:rStyle w:val="Koteret"/>
                <w:rFonts w:cs="Miriam"/>
                <w:bCs/>
                <w:sz w:val="20"/>
              </w:rPr>
            </w:pPr>
            <w:r>
              <w:rPr>
                <w:rStyle w:val="Koteret"/>
                <w:rFonts w:cs="Miriam"/>
                <w:bCs/>
                <w:sz w:val="20"/>
              </w:rPr>
              <w:t>2022</w:t>
            </w:r>
          </w:p>
        </w:tc>
      </w:tr>
      <w:tr w:rsidR="00EF4839" w:rsidRPr="002B51C1" w14:paraId="23849635" w14:textId="77777777" w:rsidTr="005101BC">
        <w:trPr>
          <w:trHeight w:val="283"/>
        </w:trPr>
        <w:tc>
          <w:tcPr>
            <w:tcW w:w="4775" w:type="dxa"/>
            <w:shd w:val="clear" w:color="auto" w:fill="auto"/>
            <w:vAlign w:val="center"/>
          </w:tcPr>
          <w:p w14:paraId="4ED5A4E3" w14:textId="7A5772D5" w:rsidR="00EF4839" w:rsidRPr="002B51C1" w:rsidRDefault="00EF4839" w:rsidP="00EF4839">
            <w:pPr>
              <w:spacing w:before="40"/>
              <w:rPr>
                <w:sz w:val="22"/>
                <w:szCs w:val="22"/>
              </w:rPr>
            </w:pPr>
            <w:r>
              <w:rPr>
                <w:color w:val="000000"/>
                <w:sz w:val="22"/>
                <w:szCs w:val="22"/>
              </w:rPr>
              <w:t>Wages and salaries</w:t>
            </w:r>
          </w:p>
        </w:tc>
        <w:tc>
          <w:tcPr>
            <w:tcW w:w="1547" w:type="dxa"/>
            <w:shd w:val="clear" w:color="auto" w:fill="auto"/>
            <w:noWrap/>
            <w:vAlign w:val="bottom"/>
          </w:tcPr>
          <w:p w14:paraId="752377D8" w14:textId="5AE17570" w:rsidR="00EF4839" w:rsidRPr="00EF4839" w:rsidRDefault="00EF4839" w:rsidP="00EF4839">
            <w:pPr>
              <w:spacing w:before="40"/>
              <w:jc w:val="right"/>
              <w:rPr>
                <w:b/>
                <w:bCs/>
                <w:sz w:val="22"/>
                <w:szCs w:val="22"/>
                <w:highlight w:val="yellow"/>
              </w:rPr>
            </w:pPr>
            <w:r w:rsidRPr="00EF4839">
              <w:rPr>
                <w:sz w:val="22"/>
                <w:szCs w:val="22"/>
              </w:rPr>
              <w:t>6,663</w:t>
            </w:r>
          </w:p>
        </w:tc>
        <w:tc>
          <w:tcPr>
            <w:tcW w:w="1548" w:type="dxa"/>
            <w:shd w:val="clear" w:color="auto" w:fill="auto"/>
            <w:noWrap/>
            <w:vAlign w:val="bottom"/>
          </w:tcPr>
          <w:p w14:paraId="6CB9A26F" w14:textId="6A6DD48A" w:rsidR="00EF4839" w:rsidRPr="006B6686" w:rsidRDefault="00EF4839" w:rsidP="00EF4839">
            <w:pPr>
              <w:spacing w:before="40"/>
              <w:jc w:val="right"/>
              <w:rPr>
                <w:sz w:val="22"/>
                <w:szCs w:val="22"/>
              </w:rPr>
            </w:pPr>
            <w:r>
              <w:rPr>
                <w:color w:val="000000"/>
                <w:sz w:val="22"/>
                <w:szCs w:val="22"/>
              </w:rPr>
              <w:t xml:space="preserve">5,526 </w:t>
            </w:r>
          </w:p>
        </w:tc>
        <w:tc>
          <w:tcPr>
            <w:tcW w:w="1548" w:type="dxa"/>
            <w:shd w:val="clear" w:color="auto" w:fill="auto"/>
            <w:noWrap/>
            <w:vAlign w:val="bottom"/>
          </w:tcPr>
          <w:p w14:paraId="28997E07" w14:textId="4309D70B" w:rsidR="00EF4839" w:rsidRPr="002B51C1" w:rsidRDefault="00EF4839" w:rsidP="00EF4839">
            <w:pPr>
              <w:spacing w:before="40"/>
              <w:jc w:val="right"/>
              <w:rPr>
                <w:sz w:val="22"/>
                <w:szCs w:val="22"/>
              </w:rPr>
            </w:pPr>
            <w:r>
              <w:rPr>
                <w:color w:val="000000"/>
                <w:sz w:val="22"/>
                <w:szCs w:val="22"/>
              </w:rPr>
              <w:t xml:space="preserve">4,705 </w:t>
            </w:r>
          </w:p>
        </w:tc>
      </w:tr>
      <w:tr w:rsidR="00EF4839" w:rsidRPr="002B51C1" w14:paraId="0426276E" w14:textId="77777777" w:rsidTr="005101BC">
        <w:trPr>
          <w:trHeight w:val="283"/>
        </w:trPr>
        <w:tc>
          <w:tcPr>
            <w:tcW w:w="4775" w:type="dxa"/>
            <w:shd w:val="clear" w:color="auto" w:fill="auto"/>
            <w:vAlign w:val="center"/>
          </w:tcPr>
          <w:p w14:paraId="3083238E" w14:textId="3D720281" w:rsidR="00EF4839" w:rsidRPr="002B51C1" w:rsidRDefault="00EF4839" w:rsidP="00EF4839">
            <w:pPr>
              <w:spacing w:before="40"/>
              <w:rPr>
                <w:color w:val="000000"/>
                <w:sz w:val="22"/>
                <w:szCs w:val="22"/>
              </w:rPr>
            </w:pPr>
            <w:r>
              <w:rPr>
                <w:color w:val="000000"/>
                <w:sz w:val="22"/>
                <w:szCs w:val="22"/>
              </w:rPr>
              <w:t>Security</w:t>
            </w:r>
          </w:p>
        </w:tc>
        <w:tc>
          <w:tcPr>
            <w:tcW w:w="1547" w:type="dxa"/>
            <w:shd w:val="clear" w:color="auto" w:fill="auto"/>
            <w:noWrap/>
            <w:vAlign w:val="bottom"/>
          </w:tcPr>
          <w:p w14:paraId="31F7D02F" w14:textId="74D25E27" w:rsidR="00EF4839" w:rsidRPr="00EF4839" w:rsidRDefault="00EF4839" w:rsidP="00EF4839">
            <w:pPr>
              <w:spacing w:before="40"/>
              <w:jc w:val="right"/>
              <w:rPr>
                <w:b/>
                <w:bCs/>
                <w:sz w:val="22"/>
                <w:szCs w:val="22"/>
                <w:highlight w:val="yellow"/>
              </w:rPr>
            </w:pPr>
            <w:r w:rsidRPr="00EF4839">
              <w:rPr>
                <w:sz w:val="22"/>
                <w:szCs w:val="22"/>
              </w:rPr>
              <w:t>6,913</w:t>
            </w:r>
          </w:p>
        </w:tc>
        <w:tc>
          <w:tcPr>
            <w:tcW w:w="1548" w:type="dxa"/>
            <w:shd w:val="clear" w:color="auto" w:fill="auto"/>
            <w:noWrap/>
            <w:vAlign w:val="bottom"/>
          </w:tcPr>
          <w:p w14:paraId="0AFA6D80" w14:textId="6B8B8BD9" w:rsidR="00EF4839" w:rsidRPr="006B6686" w:rsidRDefault="00EF4839" w:rsidP="00EF4839">
            <w:pPr>
              <w:spacing w:before="40"/>
              <w:jc w:val="right"/>
              <w:rPr>
                <w:sz w:val="22"/>
                <w:szCs w:val="22"/>
              </w:rPr>
            </w:pPr>
            <w:r>
              <w:rPr>
                <w:color w:val="000000"/>
                <w:sz w:val="22"/>
                <w:szCs w:val="22"/>
              </w:rPr>
              <w:t xml:space="preserve">5,793 </w:t>
            </w:r>
          </w:p>
        </w:tc>
        <w:tc>
          <w:tcPr>
            <w:tcW w:w="1548" w:type="dxa"/>
            <w:shd w:val="clear" w:color="auto" w:fill="auto"/>
            <w:noWrap/>
            <w:vAlign w:val="bottom"/>
          </w:tcPr>
          <w:p w14:paraId="4447737C" w14:textId="646862EA" w:rsidR="00EF4839" w:rsidRPr="00237FC5" w:rsidRDefault="00EF4839" w:rsidP="00EF4839">
            <w:pPr>
              <w:spacing w:before="40"/>
              <w:jc w:val="right"/>
              <w:rPr>
                <w:b/>
                <w:bCs/>
                <w:sz w:val="22"/>
                <w:szCs w:val="22"/>
              </w:rPr>
            </w:pPr>
            <w:r>
              <w:rPr>
                <w:color w:val="000000"/>
                <w:sz w:val="22"/>
                <w:szCs w:val="22"/>
              </w:rPr>
              <w:t xml:space="preserve">4,665 </w:t>
            </w:r>
          </w:p>
        </w:tc>
      </w:tr>
      <w:tr w:rsidR="00EF4839" w:rsidRPr="002B51C1" w14:paraId="72801B36" w14:textId="77777777" w:rsidTr="005101BC">
        <w:trPr>
          <w:trHeight w:val="283"/>
        </w:trPr>
        <w:tc>
          <w:tcPr>
            <w:tcW w:w="4775" w:type="dxa"/>
            <w:shd w:val="clear" w:color="auto" w:fill="auto"/>
            <w:vAlign w:val="center"/>
          </w:tcPr>
          <w:p w14:paraId="46C35019" w14:textId="78A674EA" w:rsidR="00EF4839" w:rsidRPr="002B51C1" w:rsidRDefault="00EF4839" w:rsidP="00EF4839">
            <w:pPr>
              <w:spacing w:before="40"/>
              <w:rPr>
                <w:sz w:val="22"/>
                <w:szCs w:val="22"/>
              </w:rPr>
            </w:pPr>
            <w:r>
              <w:rPr>
                <w:color w:val="000000"/>
                <w:sz w:val="22"/>
                <w:szCs w:val="22"/>
              </w:rPr>
              <w:t>Cleaning</w:t>
            </w:r>
          </w:p>
        </w:tc>
        <w:tc>
          <w:tcPr>
            <w:tcW w:w="1547" w:type="dxa"/>
            <w:shd w:val="clear" w:color="auto" w:fill="auto"/>
            <w:noWrap/>
            <w:vAlign w:val="bottom"/>
          </w:tcPr>
          <w:p w14:paraId="4DE49E35" w14:textId="63F4DDF4" w:rsidR="00EF4839" w:rsidRPr="00EF4839" w:rsidRDefault="00EF4839" w:rsidP="00EF4839">
            <w:pPr>
              <w:spacing w:before="40"/>
              <w:jc w:val="right"/>
              <w:rPr>
                <w:b/>
                <w:bCs/>
                <w:sz w:val="22"/>
                <w:szCs w:val="22"/>
                <w:highlight w:val="yellow"/>
              </w:rPr>
            </w:pPr>
            <w:r w:rsidRPr="00EF4839">
              <w:rPr>
                <w:sz w:val="22"/>
                <w:szCs w:val="22"/>
              </w:rPr>
              <w:t>5,689</w:t>
            </w:r>
          </w:p>
        </w:tc>
        <w:tc>
          <w:tcPr>
            <w:tcW w:w="1548" w:type="dxa"/>
            <w:shd w:val="clear" w:color="auto" w:fill="auto"/>
            <w:noWrap/>
            <w:vAlign w:val="bottom"/>
          </w:tcPr>
          <w:p w14:paraId="569629E6" w14:textId="13A788F9" w:rsidR="00EF4839" w:rsidRPr="006B6686" w:rsidRDefault="00EF4839" w:rsidP="00EF4839">
            <w:pPr>
              <w:spacing w:before="40"/>
              <w:jc w:val="right"/>
              <w:rPr>
                <w:sz w:val="22"/>
                <w:szCs w:val="22"/>
              </w:rPr>
            </w:pPr>
            <w:r>
              <w:rPr>
                <w:color w:val="000000"/>
                <w:sz w:val="22"/>
                <w:szCs w:val="22"/>
              </w:rPr>
              <w:t xml:space="preserve">3,770 </w:t>
            </w:r>
          </w:p>
        </w:tc>
        <w:tc>
          <w:tcPr>
            <w:tcW w:w="1548" w:type="dxa"/>
            <w:shd w:val="clear" w:color="auto" w:fill="auto"/>
            <w:noWrap/>
            <w:vAlign w:val="bottom"/>
          </w:tcPr>
          <w:p w14:paraId="59D243CE" w14:textId="7D77D03C" w:rsidR="00EF4839" w:rsidRPr="002B51C1" w:rsidRDefault="00EF4839" w:rsidP="00EF4839">
            <w:pPr>
              <w:spacing w:before="40"/>
              <w:jc w:val="right"/>
              <w:rPr>
                <w:sz w:val="22"/>
                <w:szCs w:val="22"/>
              </w:rPr>
            </w:pPr>
            <w:r>
              <w:rPr>
                <w:color w:val="000000"/>
                <w:sz w:val="22"/>
                <w:szCs w:val="22"/>
              </w:rPr>
              <w:t xml:space="preserve">3,126 </w:t>
            </w:r>
          </w:p>
        </w:tc>
      </w:tr>
      <w:tr w:rsidR="00EF4839" w:rsidRPr="002B51C1" w14:paraId="0B87C3C3" w14:textId="77777777" w:rsidTr="005101BC">
        <w:trPr>
          <w:trHeight w:val="283"/>
        </w:trPr>
        <w:tc>
          <w:tcPr>
            <w:tcW w:w="4775" w:type="dxa"/>
            <w:shd w:val="clear" w:color="auto" w:fill="auto"/>
            <w:vAlign w:val="center"/>
          </w:tcPr>
          <w:p w14:paraId="37A0DD9B" w14:textId="2255F413" w:rsidR="00EF4839" w:rsidRPr="0020502A" w:rsidRDefault="00EF4839" w:rsidP="00EF4839">
            <w:pPr>
              <w:spacing w:before="40"/>
              <w:rPr>
                <w:sz w:val="22"/>
                <w:szCs w:val="22"/>
                <w:highlight w:val="yellow"/>
              </w:rPr>
            </w:pPr>
            <w:r>
              <w:rPr>
                <w:color w:val="000000"/>
                <w:sz w:val="22"/>
                <w:szCs w:val="22"/>
              </w:rPr>
              <w:t>Electricity, Water and Gas</w:t>
            </w:r>
          </w:p>
        </w:tc>
        <w:tc>
          <w:tcPr>
            <w:tcW w:w="1547" w:type="dxa"/>
            <w:shd w:val="clear" w:color="auto" w:fill="auto"/>
            <w:noWrap/>
            <w:vAlign w:val="bottom"/>
          </w:tcPr>
          <w:p w14:paraId="316247DF" w14:textId="7B2A39F5" w:rsidR="00EF4839" w:rsidRPr="00EF4839" w:rsidRDefault="00EF4839" w:rsidP="00EF4839">
            <w:pPr>
              <w:spacing w:before="40"/>
              <w:jc w:val="right"/>
              <w:rPr>
                <w:b/>
                <w:bCs/>
                <w:sz w:val="22"/>
                <w:szCs w:val="22"/>
                <w:highlight w:val="yellow"/>
              </w:rPr>
            </w:pPr>
            <w:r w:rsidRPr="00EF4839">
              <w:rPr>
                <w:sz w:val="22"/>
                <w:szCs w:val="22"/>
              </w:rPr>
              <w:t>33,213</w:t>
            </w:r>
          </w:p>
        </w:tc>
        <w:tc>
          <w:tcPr>
            <w:tcW w:w="1548" w:type="dxa"/>
            <w:shd w:val="clear" w:color="auto" w:fill="auto"/>
            <w:noWrap/>
            <w:vAlign w:val="bottom"/>
          </w:tcPr>
          <w:p w14:paraId="226BF135" w14:textId="787C96FD" w:rsidR="00EF4839" w:rsidRPr="0020502A" w:rsidRDefault="00EF4839" w:rsidP="00EF4839">
            <w:pPr>
              <w:spacing w:before="40"/>
              <w:jc w:val="right"/>
              <w:rPr>
                <w:sz w:val="22"/>
                <w:szCs w:val="22"/>
                <w:highlight w:val="yellow"/>
              </w:rPr>
            </w:pPr>
            <w:r>
              <w:rPr>
                <w:color w:val="000000"/>
                <w:sz w:val="22"/>
                <w:szCs w:val="22"/>
              </w:rPr>
              <w:t xml:space="preserve">27,251 </w:t>
            </w:r>
          </w:p>
        </w:tc>
        <w:tc>
          <w:tcPr>
            <w:tcW w:w="1548" w:type="dxa"/>
            <w:shd w:val="clear" w:color="auto" w:fill="auto"/>
            <w:noWrap/>
            <w:vAlign w:val="bottom"/>
          </w:tcPr>
          <w:p w14:paraId="221144C3" w14:textId="077A8DB4" w:rsidR="00EF4839" w:rsidRPr="0020502A" w:rsidRDefault="00EF4839" w:rsidP="00EF4839">
            <w:pPr>
              <w:spacing w:before="40"/>
              <w:jc w:val="right"/>
              <w:rPr>
                <w:sz w:val="22"/>
                <w:szCs w:val="22"/>
                <w:highlight w:val="yellow"/>
              </w:rPr>
            </w:pPr>
            <w:r>
              <w:rPr>
                <w:color w:val="000000"/>
                <w:sz w:val="22"/>
                <w:szCs w:val="22"/>
              </w:rPr>
              <w:t xml:space="preserve">40,999 </w:t>
            </w:r>
          </w:p>
        </w:tc>
      </w:tr>
      <w:tr w:rsidR="00EF4839" w:rsidRPr="002B51C1" w14:paraId="4D362E64" w14:textId="77777777" w:rsidTr="005101BC">
        <w:trPr>
          <w:trHeight w:val="283"/>
        </w:trPr>
        <w:tc>
          <w:tcPr>
            <w:tcW w:w="4775" w:type="dxa"/>
            <w:shd w:val="clear" w:color="auto" w:fill="auto"/>
            <w:vAlign w:val="center"/>
          </w:tcPr>
          <w:p w14:paraId="726DB7EC" w14:textId="2D088804" w:rsidR="00EF4839" w:rsidRPr="002B51C1" w:rsidRDefault="00EF4839" w:rsidP="00EF4839">
            <w:pPr>
              <w:spacing w:before="40"/>
              <w:rPr>
                <w:sz w:val="22"/>
                <w:szCs w:val="22"/>
              </w:rPr>
            </w:pPr>
            <w:r>
              <w:rPr>
                <w:color w:val="000000"/>
                <w:sz w:val="22"/>
                <w:szCs w:val="22"/>
              </w:rPr>
              <w:t>Maintenance and repairs</w:t>
            </w:r>
          </w:p>
        </w:tc>
        <w:tc>
          <w:tcPr>
            <w:tcW w:w="1547" w:type="dxa"/>
            <w:shd w:val="clear" w:color="auto" w:fill="auto"/>
            <w:noWrap/>
            <w:vAlign w:val="bottom"/>
          </w:tcPr>
          <w:p w14:paraId="7635DFC1" w14:textId="462ACC2C" w:rsidR="00EF4839" w:rsidRPr="00EF4839" w:rsidRDefault="00EF4839" w:rsidP="00EF4839">
            <w:pPr>
              <w:spacing w:before="40"/>
              <w:jc w:val="right"/>
              <w:rPr>
                <w:b/>
                <w:bCs/>
                <w:sz w:val="22"/>
                <w:szCs w:val="22"/>
                <w:highlight w:val="yellow"/>
              </w:rPr>
            </w:pPr>
            <w:r w:rsidRPr="00EF4839">
              <w:rPr>
                <w:sz w:val="22"/>
                <w:szCs w:val="22"/>
              </w:rPr>
              <w:t>11,141</w:t>
            </w:r>
          </w:p>
        </w:tc>
        <w:tc>
          <w:tcPr>
            <w:tcW w:w="1548" w:type="dxa"/>
            <w:shd w:val="clear" w:color="auto" w:fill="auto"/>
            <w:noWrap/>
            <w:vAlign w:val="bottom"/>
          </w:tcPr>
          <w:p w14:paraId="0BD5D53E" w14:textId="039AE3B3" w:rsidR="00EF4839" w:rsidRPr="006B6686" w:rsidRDefault="00EF4839" w:rsidP="00EF4839">
            <w:pPr>
              <w:spacing w:before="40"/>
              <w:jc w:val="right"/>
              <w:rPr>
                <w:sz w:val="22"/>
                <w:szCs w:val="22"/>
              </w:rPr>
            </w:pPr>
            <w:r>
              <w:rPr>
                <w:color w:val="000000"/>
                <w:sz w:val="22"/>
                <w:szCs w:val="22"/>
              </w:rPr>
              <w:t xml:space="preserve">10,153 </w:t>
            </w:r>
          </w:p>
        </w:tc>
        <w:tc>
          <w:tcPr>
            <w:tcW w:w="1548" w:type="dxa"/>
            <w:shd w:val="clear" w:color="auto" w:fill="auto"/>
            <w:noWrap/>
            <w:vAlign w:val="bottom"/>
          </w:tcPr>
          <w:p w14:paraId="2562752E" w14:textId="5ECFEF59" w:rsidR="00EF4839" w:rsidRPr="002B51C1" w:rsidRDefault="00EF4839" w:rsidP="00EF4839">
            <w:pPr>
              <w:spacing w:before="40"/>
              <w:jc w:val="right"/>
              <w:rPr>
                <w:sz w:val="22"/>
                <w:szCs w:val="22"/>
              </w:rPr>
            </w:pPr>
            <w:r>
              <w:rPr>
                <w:color w:val="000000"/>
                <w:sz w:val="22"/>
                <w:szCs w:val="22"/>
              </w:rPr>
              <w:t xml:space="preserve">8,251 </w:t>
            </w:r>
          </w:p>
        </w:tc>
      </w:tr>
      <w:tr w:rsidR="00EF4839" w:rsidRPr="002B51C1" w14:paraId="6A9C7CF6" w14:textId="77777777" w:rsidTr="005101BC">
        <w:trPr>
          <w:trHeight w:val="283"/>
        </w:trPr>
        <w:tc>
          <w:tcPr>
            <w:tcW w:w="4775" w:type="dxa"/>
            <w:shd w:val="clear" w:color="auto" w:fill="auto"/>
            <w:vAlign w:val="center"/>
          </w:tcPr>
          <w:p w14:paraId="329E9383" w14:textId="598464C6" w:rsidR="00EF4839" w:rsidRPr="0020502A" w:rsidRDefault="00EF4839" w:rsidP="00EF4839">
            <w:pPr>
              <w:spacing w:before="40"/>
              <w:rPr>
                <w:sz w:val="22"/>
                <w:szCs w:val="22"/>
                <w:highlight w:val="yellow"/>
              </w:rPr>
            </w:pPr>
            <w:r>
              <w:rPr>
                <w:color w:val="000000"/>
                <w:sz w:val="22"/>
                <w:szCs w:val="22"/>
              </w:rPr>
              <w:t>Depreciation</w:t>
            </w:r>
          </w:p>
        </w:tc>
        <w:tc>
          <w:tcPr>
            <w:tcW w:w="1547" w:type="dxa"/>
            <w:shd w:val="clear" w:color="auto" w:fill="auto"/>
            <w:noWrap/>
            <w:vAlign w:val="bottom"/>
          </w:tcPr>
          <w:p w14:paraId="088DD29F" w14:textId="3A972E09" w:rsidR="00EF4839" w:rsidRPr="00EF4839" w:rsidRDefault="00EF4839" w:rsidP="00EF4839">
            <w:pPr>
              <w:spacing w:before="40"/>
              <w:jc w:val="right"/>
              <w:rPr>
                <w:b/>
                <w:bCs/>
                <w:sz w:val="22"/>
                <w:szCs w:val="22"/>
                <w:highlight w:val="yellow"/>
              </w:rPr>
            </w:pPr>
            <w:r w:rsidRPr="00EF4839">
              <w:rPr>
                <w:sz w:val="22"/>
                <w:szCs w:val="22"/>
              </w:rPr>
              <w:t>122</w:t>
            </w:r>
          </w:p>
        </w:tc>
        <w:tc>
          <w:tcPr>
            <w:tcW w:w="1548" w:type="dxa"/>
            <w:shd w:val="clear" w:color="auto" w:fill="auto"/>
            <w:noWrap/>
            <w:vAlign w:val="bottom"/>
          </w:tcPr>
          <w:p w14:paraId="43D5E2EC" w14:textId="6A1E130E" w:rsidR="00EF4839" w:rsidRPr="0020502A" w:rsidRDefault="00EF4839" w:rsidP="00EF4839">
            <w:pPr>
              <w:spacing w:before="40"/>
              <w:jc w:val="right"/>
              <w:rPr>
                <w:sz w:val="22"/>
                <w:szCs w:val="22"/>
                <w:highlight w:val="yellow"/>
              </w:rPr>
            </w:pPr>
            <w:r>
              <w:rPr>
                <w:color w:val="000000"/>
                <w:sz w:val="22"/>
                <w:szCs w:val="22"/>
              </w:rPr>
              <w:t xml:space="preserve">137 </w:t>
            </w:r>
          </w:p>
        </w:tc>
        <w:tc>
          <w:tcPr>
            <w:tcW w:w="1548" w:type="dxa"/>
            <w:shd w:val="clear" w:color="auto" w:fill="auto"/>
            <w:noWrap/>
            <w:vAlign w:val="bottom"/>
          </w:tcPr>
          <w:p w14:paraId="7F6F444F" w14:textId="5BE0373D" w:rsidR="00EF4839" w:rsidRPr="0020502A" w:rsidRDefault="00EF4839" w:rsidP="00EF4839">
            <w:pPr>
              <w:spacing w:before="40"/>
              <w:jc w:val="right"/>
              <w:rPr>
                <w:sz w:val="22"/>
                <w:szCs w:val="22"/>
                <w:highlight w:val="yellow"/>
              </w:rPr>
            </w:pPr>
            <w:r>
              <w:rPr>
                <w:color w:val="000000"/>
                <w:sz w:val="22"/>
                <w:szCs w:val="22"/>
              </w:rPr>
              <w:t xml:space="preserve">164 </w:t>
            </w:r>
          </w:p>
        </w:tc>
      </w:tr>
      <w:tr w:rsidR="00EF4839" w:rsidRPr="002B51C1" w14:paraId="41C8ACBE" w14:textId="77777777" w:rsidTr="005101BC">
        <w:trPr>
          <w:trHeight w:val="283"/>
        </w:trPr>
        <w:tc>
          <w:tcPr>
            <w:tcW w:w="4775" w:type="dxa"/>
            <w:shd w:val="clear" w:color="auto" w:fill="auto"/>
            <w:vAlign w:val="center"/>
          </w:tcPr>
          <w:p w14:paraId="198FA9D6" w14:textId="68A2381C" w:rsidR="00EF4839" w:rsidRDefault="00EF4839" w:rsidP="00EF4839">
            <w:pPr>
              <w:spacing w:before="40"/>
              <w:rPr>
                <w:color w:val="000000"/>
                <w:sz w:val="22"/>
                <w:szCs w:val="22"/>
              </w:rPr>
            </w:pPr>
            <w:r>
              <w:rPr>
                <w:color w:val="000000"/>
                <w:sz w:val="22"/>
                <w:szCs w:val="22"/>
              </w:rPr>
              <w:t>Property taxes, other taxes and fees</w:t>
            </w:r>
          </w:p>
        </w:tc>
        <w:tc>
          <w:tcPr>
            <w:tcW w:w="1547" w:type="dxa"/>
            <w:shd w:val="clear" w:color="auto" w:fill="auto"/>
            <w:noWrap/>
            <w:vAlign w:val="bottom"/>
          </w:tcPr>
          <w:p w14:paraId="37734126" w14:textId="7C51D35F" w:rsidR="00EF4839" w:rsidRPr="00EF4839" w:rsidRDefault="00EF4839" w:rsidP="00EF4839">
            <w:pPr>
              <w:spacing w:before="40"/>
              <w:jc w:val="right"/>
              <w:rPr>
                <w:b/>
                <w:bCs/>
                <w:sz w:val="22"/>
                <w:szCs w:val="22"/>
                <w:highlight w:val="yellow"/>
              </w:rPr>
            </w:pPr>
            <w:r w:rsidRPr="00EF4839">
              <w:rPr>
                <w:sz w:val="22"/>
                <w:szCs w:val="22"/>
              </w:rPr>
              <w:t>6,197</w:t>
            </w:r>
          </w:p>
        </w:tc>
        <w:tc>
          <w:tcPr>
            <w:tcW w:w="1548" w:type="dxa"/>
            <w:shd w:val="clear" w:color="auto" w:fill="auto"/>
            <w:noWrap/>
            <w:vAlign w:val="bottom"/>
          </w:tcPr>
          <w:p w14:paraId="5B971071" w14:textId="43B41672" w:rsidR="00EF4839" w:rsidRPr="006B6686" w:rsidRDefault="00EF4839" w:rsidP="00EF4839">
            <w:pPr>
              <w:spacing w:before="40"/>
              <w:jc w:val="right"/>
              <w:rPr>
                <w:sz w:val="22"/>
                <w:szCs w:val="22"/>
              </w:rPr>
            </w:pPr>
            <w:r>
              <w:rPr>
                <w:color w:val="000000"/>
                <w:sz w:val="22"/>
                <w:szCs w:val="22"/>
              </w:rPr>
              <w:t xml:space="preserve">6,866 </w:t>
            </w:r>
          </w:p>
        </w:tc>
        <w:tc>
          <w:tcPr>
            <w:tcW w:w="1548" w:type="dxa"/>
            <w:shd w:val="clear" w:color="auto" w:fill="auto"/>
            <w:noWrap/>
            <w:vAlign w:val="bottom"/>
          </w:tcPr>
          <w:p w14:paraId="4D5E9D63" w14:textId="6E109CE7" w:rsidR="00EF4839" w:rsidRPr="002B51C1" w:rsidRDefault="00EF4839" w:rsidP="00EF4839">
            <w:pPr>
              <w:spacing w:before="40"/>
              <w:jc w:val="right"/>
              <w:rPr>
                <w:sz w:val="22"/>
                <w:szCs w:val="22"/>
              </w:rPr>
            </w:pPr>
            <w:r>
              <w:rPr>
                <w:color w:val="000000"/>
                <w:sz w:val="22"/>
                <w:szCs w:val="22"/>
              </w:rPr>
              <w:t xml:space="preserve">5,826 </w:t>
            </w:r>
          </w:p>
        </w:tc>
      </w:tr>
      <w:tr w:rsidR="00EF4839" w:rsidRPr="002B51C1" w14:paraId="02A06BA3" w14:textId="77777777" w:rsidTr="005101BC">
        <w:trPr>
          <w:trHeight w:val="283"/>
        </w:trPr>
        <w:tc>
          <w:tcPr>
            <w:tcW w:w="4775" w:type="dxa"/>
            <w:shd w:val="clear" w:color="auto" w:fill="auto"/>
            <w:vAlign w:val="center"/>
          </w:tcPr>
          <w:p w14:paraId="1072E9B9" w14:textId="23E3815A" w:rsidR="00EF4839" w:rsidRPr="002B51C1" w:rsidRDefault="00EF4839" w:rsidP="00EF4839">
            <w:pPr>
              <w:spacing w:before="40"/>
              <w:rPr>
                <w:sz w:val="22"/>
                <w:szCs w:val="22"/>
              </w:rPr>
            </w:pPr>
            <w:r>
              <w:rPr>
                <w:color w:val="000000"/>
                <w:sz w:val="22"/>
                <w:szCs w:val="22"/>
              </w:rPr>
              <w:t>Others</w:t>
            </w:r>
          </w:p>
        </w:tc>
        <w:tc>
          <w:tcPr>
            <w:tcW w:w="1547" w:type="dxa"/>
            <w:shd w:val="clear" w:color="auto" w:fill="auto"/>
            <w:noWrap/>
            <w:vAlign w:val="bottom"/>
          </w:tcPr>
          <w:p w14:paraId="237D1774" w14:textId="3B4FFF08" w:rsidR="00EF4839" w:rsidRPr="00EF4839" w:rsidRDefault="00EF4839" w:rsidP="00EF4839">
            <w:pPr>
              <w:pBdr>
                <w:bottom w:val="single" w:sz="4" w:space="1" w:color="auto"/>
              </w:pBdr>
              <w:spacing w:before="40"/>
              <w:jc w:val="right"/>
              <w:rPr>
                <w:b/>
                <w:bCs/>
                <w:sz w:val="22"/>
                <w:szCs w:val="22"/>
                <w:highlight w:val="yellow"/>
              </w:rPr>
            </w:pPr>
            <w:r w:rsidRPr="00EF4839">
              <w:rPr>
                <w:sz w:val="22"/>
                <w:szCs w:val="22"/>
              </w:rPr>
              <w:t>4,66</w:t>
            </w:r>
            <w:r w:rsidR="00F17AF6">
              <w:rPr>
                <w:sz w:val="22"/>
                <w:szCs w:val="22"/>
              </w:rPr>
              <w:t>3</w:t>
            </w:r>
          </w:p>
        </w:tc>
        <w:tc>
          <w:tcPr>
            <w:tcW w:w="1548" w:type="dxa"/>
            <w:shd w:val="clear" w:color="auto" w:fill="auto"/>
            <w:noWrap/>
            <w:vAlign w:val="bottom"/>
          </w:tcPr>
          <w:p w14:paraId="10F98E4B" w14:textId="0E180138" w:rsidR="00EF4839" w:rsidRPr="006B6686" w:rsidRDefault="00EF4839" w:rsidP="00EF4839">
            <w:pPr>
              <w:pBdr>
                <w:bottom w:val="single" w:sz="4" w:space="1" w:color="auto"/>
              </w:pBdr>
              <w:spacing w:before="40"/>
              <w:jc w:val="right"/>
              <w:rPr>
                <w:sz w:val="22"/>
                <w:szCs w:val="22"/>
              </w:rPr>
            </w:pPr>
            <w:r>
              <w:rPr>
                <w:color w:val="000000"/>
                <w:sz w:val="22"/>
                <w:szCs w:val="22"/>
              </w:rPr>
              <w:t>3,91</w:t>
            </w:r>
            <w:r w:rsidR="00F17AF6">
              <w:rPr>
                <w:color w:val="000000"/>
                <w:sz w:val="22"/>
                <w:szCs w:val="22"/>
              </w:rPr>
              <w:t>4</w:t>
            </w:r>
            <w:r>
              <w:rPr>
                <w:color w:val="000000"/>
                <w:sz w:val="22"/>
                <w:szCs w:val="22"/>
              </w:rPr>
              <w:t xml:space="preserve"> </w:t>
            </w:r>
          </w:p>
        </w:tc>
        <w:tc>
          <w:tcPr>
            <w:tcW w:w="1548" w:type="dxa"/>
            <w:shd w:val="clear" w:color="auto" w:fill="auto"/>
            <w:noWrap/>
            <w:vAlign w:val="bottom"/>
          </w:tcPr>
          <w:p w14:paraId="50D47BDB" w14:textId="7561E3E3" w:rsidR="00EF4839" w:rsidRPr="002B51C1" w:rsidRDefault="00EF4839" w:rsidP="00EF4839">
            <w:pPr>
              <w:pBdr>
                <w:bottom w:val="single" w:sz="4" w:space="1" w:color="auto"/>
              </w:pBdr>
              <w:spacing w:before="40"/>
              <w:jc w:val="right"/>
              <w:rPr>
                <w:sz w:val="22"/>
                <w:szCs w:val="22"/>
              </w:rPr>
            </w:pPr>
            <w:r>
              <w:rPr>
                <w:color w:val="000000"/>
                <w:sz w:val="22"/>
                <w:szCs w:val="22"/>
              </w:rPr>
              <w:t xml:space="preserve">3,155 </w:t>
            </w:r>
          </w:p>
        </w:tc>
      </w:tr>
      <w:tr w:rsidR="00EF4839" w:rsidRPr="002B51C1" w14:paraId="2FD7A65A" w14:textId="77777777" w:rsidTr="005101BC">
        <w:trPr>
          <w:trHeight w:val="283"/>
        </w:trPr>
        <w:tc>
          <w:tcPr>
            <w:tcW w:w="4775" w:type="dxa"/>
            <w:shd w:val="clear" w:color="auto" w:fill="auto"/>
            <w:vAlign w:val="bottom"/>
          </w:tcPr>
          <w:p w14:paraId="5F4DEEFB" w14:textId="33BCB384" w:rsidR="00EF4839" w:rsidRPr="002B51C1" w:rsidRDefault="00EF4839" w:rsidP="00EF4839">
            <w:pPr>
              <w:spacing w:before="40"/>
              <w:rPr>
                <w:sz w:val="22"/>
                <w:szCs w:val="22"/>
              </w:rPr>
            </w:pPr>
          </w:p>
        </w:tc>
        <w:tc>
          <w:tcPr>
            <w:tcW w:w="1547" w:type="dxa"/>
            <w:shd w:val="clear" w:color="auto" w:fill="auto"/>
            <w:noWrap/>
            <w:vAlign w:val="bottom"/>
          </w:tcPr>
          <w:p w14:paraId="4BD5F7D0" w14:textId="04CB2071" w:rsidR="00EF4839" w:rsidRPr="00EF4839" w:rsidRDefault="00EF4839" w:rsidP="00EF4839">
            <w:pPr>
              <w:pBdr>
                <w:bottom w:val="double" w:sz="4" w:space="0" w:color="000000"/>
              </w:pBdr>
              <w:spacing w:before="40"/>
              <w:jc w:val="right"/>
              <w:rPr>
                <w:b/>
                <w:bCs/>
                <w:sz w:val="22"/>
                <w:szCs w:val="22"/>
                <w:highlight w:val="yellow"/>
              </w:rPr>
            </w:pPr>
            <w:r w:rsidRPr="00EF4839">
              <w:rPr>
                <w:sz w:val="22"/>
                <w:szCs w:val="22"/>
              </w:rPr>
              <w:t>74,601</w:t>
            </w:r>
          </w:p>
        </w:tc>
        <w:tc>
          <w:tcPr>
            <w:tcW w:w="1548" w:type="dxa"/>
            <w:shd w:val="clear" w:color="auto" w:fill="auto"/>
            <w:noWrap/>
            <w:vAlign w:val="bottom"/>
          </w:tcPr>
          <w:p w14:paraId="6A90D53B" w14:textId="4770603E" w:rsidR="00EF4839" w:rsidRPr="006B6686" w:rsidRDefault="00EF4839" w:rsidP="00EF4839">
            <w:pPr>
              <w:pBdr>
                <w:bottom w:val="double" w:sz="4" w:space="0" w:color="000000"/>
              </w:pBdr>
              <w:spacing w:before="40"/>
              <w:jc w:val="right"/>
              <w:rPr>
                <w:sz w:val="22"/>
                <w:szCs w:val="22"/>
              </w:rPr>
            </w:pPr>
            <w:r>
              <w:rPr>
                <w:color w:val="000000"/>
                <w:sz w:val="22"/>
                <w:szCs w:val="22"/>
              </w:rPr>
              <w:t xml:space="preserve">63,410 </w:t>
            </w:r>
          </w:p>
        </w:tc>
        <w:tc>
          <w:tcPr>
            <w:tcW w:w="1548" w:type="dxa"/>
            <w:shd w:val="clear" w:color="auto" w:fill="auto"/>
            <w:noWrap/>
            <w:vAlign w:val="bottom"/>
          </w:tcPr>
          <w:p w14:paraId="51511D23" w14:textId="6B5F6105" w:rsidR="00EF4839" w:rsidRPr="002B51C1" w:rsidRDefault="00EF4839" w:rsidP="00EF4839">
            <w:pPr>
              <w:pBdr>
                <w:bottom w:val="double" w:sz="4" w:space="0" w:color="000000"/>
              </w:pBdr>
              <w:spacing w:before="40"/>
              <w:jc w:val="right"/>
              <w:rPr>
                <w:sz w:val="22"/>
                <w:szCs w:val="22"/>
              </w:rPr>
            </w:pPr>
            <w:r>
              <w:rPr>
                <w:color w:val="000000"/>
                <w:sz w:val="22"/>
                <w:szCs w:val="22"/>
              </w:rPr>
              <w:t xml:space="preserve">70,891 </w:t>
            </w:r>
          </w:p>
        </w:tc>
      </w:tr>
    </w:tbl>
    <w:p w14:paraId="755B475B" w14:textId="77777777" w:rsidR="00EF7A99" w:rsidRDefault="00EF7A99" w:rsidP="00EF7A99">
      <w:pPr>
        <w:rPr>
          <w:b/>
          <w:bCs/>
          <w:sz w:val="22"/>
          <w:szCs w:val="22"/>
          <w:rtl/>
          <w:lang w:bidi="he-IL"/>
        </w:rPr>
      </w:pPr>
    </w:p>
    <w:p w14:paraId="6EB1AAB7" w14:textId="77777777" w:rsidR="00B3462C" w:rsidRDefault="00B3462C" w:rsidP="00EF7A99">
      <w:pPr>
        <w:rPr>
          <w:b/>
          <w:bCs/>
          <w:sz w:val="22"/>
          <w:szCs w:val="22"/>
          <w:rtl/>
          <w:lang w:bidi="he-IL"/>
        </w:rPr>
      </w:pPr>
    </w:p>
    <w:p w14:paraId="6124153C" w14:textId="77777777" w:rsidR="00B3462C" w:rsidRDefault="00B3462C" w:rsidP="00EF7A99">
      <w:pPr>
        <w:rPr>
          <w:b/>
          <w:bCs/>
          <w:sz w:val="22"/>
          <w:szCs w:val="22"/>
          <w:rtl/>
          <w:lang w:bidi="he-IL"/>
        </w:rPr>
      </w:pPr>
    </w:p>
    <w:p w14:paraId="3BF27288" w14:textId="77777777" w:rsidR="00B3462C" w:rsidRDefault="00B3462C" w:rsidP="00EF7A99">
      <w:pPr>
        <w:rPr>
          <w:b/>
          <w:bCs/>
          <w:sz w:val="22"/>
          <w:szCs w:val="22"/>
          <w:rtl/>
          <w:lang w:bidi="he-IL"/>
        </w:rPr>
      </w:pPr>
    </w:p>
    <w:p w14:paraId="2837B392" w14:textId="77777777" w:rsidR="00B3462C" w:rsidRDefault="00B3462C" w:rsidP="00EF7A99">
      <w:pPr>
        <w:rPr>
          <w:b/>
          <w:bCs/>
          <w:sz w:val="22"/>
          <w:szCs w:val="22"/>
          <w:rtl/>
          <w:lang w:bidi="he-IL"/>
        </w:rPr>
      </w:pPr>
    </w:p>
    <w:p w14:paraId="7628521A" w14:textId="77777777" w:rsidR="00B3462C" w:rsidRDefault="00B3462C" w:rsidP="00EF7A99">
      <w:pPr>
        <w:rPr>
          <w:b/>
          <w:bCs/>
          <w:sz w:val="22"/>
          <w:szCs w:val="22"/>
          <w:rtl/>
          <w:lang w:bidi="he-IL"/>
        </w:rPr>
      </w:pPr>
    </w:p>
    <w:p w14:paraId="38D38099" w14:textId="77777777" w:rsidR="00B3462C" w:rsidRDefault="00B3462C" w:rsidP="00EF7A99">
      <w:pPr>
        <w:rPr>
          <w:b/>
          <w:bCs/>
          <w:sz w:val="22"/>
          <w:szCs w:val="22"/>
          <w:rtl/>
          <w:lang w:bidi="he-IL"/>
        </w:rPr>
      </w:pPr>
    </w:p>
    <w:p w14:paraId="5B64D54B" w14:textId="77777777" w:rsidR="00B3462C" w:rsidRDefault="00B3462C" w:rsidP="00EF7A99">
      <w:pPr>
        <w:rPr>
          <w:b/>
          <w:bCs/>
          <w:sz w:val="22"/>
          <w:szCs w:val="22"/>
          <w:rtl/>
          <w:lang w:bidi="he-IL"/>
        </w:rPr>
      </w:pPr>
    </w:p>
    <w:p w14:paraId="65EFD96B" w14:textId="77777777" w:rsidR="00B3462C" w:rsidRDefault="00B3462C" w:rsidP="00EF7A99">
      <w:pPr>
        <w:rPr>
          <w:b/>
          <w:bCs/>
          <w:sz w:val="22"/>
          <w:szCs w:val="22"/>
          <w:rtl/>
          <w:lang w:bidi="he-IL"/>
        </w:rPr>
      </w:pPr>
    </w:p>
    <w:p w14:paraId="2FEAFA70" w14:textId="77777777" w:rsidR="00B3462C" w:rsidRDefault="00B3462C" w:rsidP="00EF7A99">
      <w:pPr>
        <w:rPr>
          <w:b/>
          <w:bCs/>
          <w:sz w:val="22"/>
          <w:szCs w:val="22"/>
          <w:rtl/>
          <w:lang w:bidi="he-IL"/>
        </w:rPr>
      </w:pPr>
    </w:p>
    <w:p w14:paraId="415911F9" w14:textId="77777777" w:rsidR="00B3462C" w:rsidRDefault="00B3462C" w:rsidP="00EF7A99">
      <w:pPr>
        <w:rPr>
          <w:b/>
          <w:bCs/>
          <w:sz w:val="22"/>
          <w:szCs w:val="22"/>
          <w:rtl/>
          <w:lang w:bidi="he-IL"/>
        </w:rPr>
      </w:pPr>
    </w:p>
    <w:p w14:paraId="40928878" w14:textId="77777777" w:rsidR="00B3462C" w:rsidRPr="00B44120" w:rsidRDefault="00B3462C" w:rsidP="00EF7A99">
      <w:pPr>
        <w:rPr>
          <w:b/>
          <w:bCs/>
          <w:sz w:val="22"/>
          <w:szCs w:val="22"/>
          <w:lang w:bidi="he-IL"/>
        </w:rPr>
      </w:pPr>
    </w:p>
    <w:p w14:paraId="07F749E7" w14:textId="2A996290" w:rsidR="00030CEF" w:rsidRPr="0020502A" w:rsidRDefault="00030CEF" w:rsidP="0020502A">
      <w:pPr>
        <w:jc w:val="both"/>
        <w:outlineLvl w:val="2"/>
        <w:rPr>
          <w:b/>
          <w:bCs/>
          <w:sz w:val="22"/>
          <w:szCs w:val="22"/>
          <w:rtl/>
        </w:rPr>
      </w:pPr>
      <w:bookmarkStart w:id="176" w:name="H3_Note_17__Administrative_Expenses"/>
      <w:r w:rsidRPr="0020502A">
        <w:rPr>
          <w:b/>
          <w:bCs/>
          <w:sz w:val="22"/>
          <w:szCs w:val="22"/>
        </w:rPr>
        <w:t xml:space="preserve">Note </w:t>
      </w:r>
      <w:r w:rsidR="009971CB" w:rsidRPr="0020502A">
        <w:rPr>
          <w:b/>
          <w:bCs/>
          <w:sz w:val="22"/>
          <w:szCs w:val="22"/>
        </w:rPr>
        <w:t xml:space="preserve">17 </w:t>
      </w:r>
      <w:r w:rsidRPr="0020502A">
        <w:rPr>
          <w:b/>
          <w:bCs/>
          <w:sz w:val="22"/>
          <w:szCs w:val="22"/>
        </w:rPr>
        <w:t>- Administrative Expenses</w:t>
      </w:r>
    </w:p>
    <w:bookmarkEnd w:id="176"/>
    <w:p w14:paraId="34DACC5B" w14:textId="77777777" w:rsidR="00030CEF" w:rsidRPr="00340F50" w:rsidRDefault="00030CEF" w:rsidP="00030CEF">
      <w:pPr>
        <w:ind w:left="720"/>
        <w:rPr>
          <w:sz w:val="12"/>
          <w:szCs w:val="12"/>
          <w:rtl/>
        </w:rPr>
      </w:pPr>
    </w:p>
    <w:p w14:paraId="48DE83B1" w14:textId="77777777" w:rsidR="00030CEF" w:rsidRPr="00F02921" w:rsidRDefault="00030CEF" w:rsidP="00030CEF">
      <w:pPr>
        <w:ind w:left="720"/>
        <w:rPr>
          <w:rStyle w:val="Koteret"/>
          <w:b w:val="0"/>
          <w:bCs/>
          <w:i/>
          <w:iCs/>
        </w:rPr>
      </w:pPr>
      <w:r w:rsidRPr="00F02921">
        <w:rPr>
          <w:rStyle w:val="Koteret"/>
          <w:b w:val="0"/>
          <w:bCs/>
          <w:i/>
          <w:iCs/>
        </w:rPr>
        <w:t>In thousands of Euros</w:t>
      </w:r>
    </w:p>
    <w:tbl>
      <w:tblPr>
        <w:tblW w:w="9418" w:type="dxa"/>
        <w:tblInd w:w="720" w:type="dxa"/>
        <w:tblLayout w:type="fixed"/>
        <w:tblLook w:val="06A0" w:firstRow="1" w:lastRow="0" w:firstColumn="1" w:lastColumn="0" w:noHBand="1" w:noVBand="1"/>
        <w:tblCaption w:val="AHR02"/>
        <w:tblDescription w:val="Administrative Expenses"/>
      </w:tblPr>
      <w:tblGrid>
        <w:gridCol w:w="4775"/>
        <w:gridCol w:w="1547"/>
        <w:gridCol w:w="1548"/>
        <w:gridCol w:w="1548"/>
      </w:tblGrid>
      <w:tr w:rsidR="00030CEF" w:rsidRPr="002B51C1" w14:paraId="522F3EB5" w14:textId="77777777" w:rsidTr="005101BC">
        <w:trPr>
          <w:cantSplit/>
          <w:trHeight w:val="283"/>
          <w:tblHeader/>
        </w:trPr>
        <w:tc>
          <w:tcPr>
            <w:tcW w:w="4775" w:type="dxa"/>
            <w:shd w:val="clear" w:color="auto" w:fill="auto"/>
            <w:vAlign w:val="bottom"/>
            <w:hideMark/>
          </w:tcPr>
          <w:p w14:paraId="1B6F05D4" w14:textId="77777777" w:rsidR="00030CEF" w:rsidRPr="002B51C1" w:rsidRDefault="00030CEF" w:rsidP="00030CEF">
            <w:pPr>
              <w:spacing w:before="40"/>
              <w:rPr>
                <w:rFonts w:ascii="Arial" w:eastAsia="Arial" w:hAnsi="Arial" w:cs="Arial"/>
                <w:sz w:val="20"/>
              </w:rPr>
            </w:pPr>
            <w:bookmarkStart w:id="177" w:name="Title_41" w:colFirst="0" w:colLast="0"/>
          </w:p>
        </w:tc>
        <w:tc>
          <w:tcPr>
            <w:tcW w:w="4643" w:type="dxa"/>
            <w:gridSpan w:val="3"/>
            <w:shd w:val="clear" w:color="auto" w:fill="auto"/>
            <w:noWrap/>
            <w:vAlign w:val="bottom"/>
            <w:hideMark/>
          </w:tcPr>
          <w:p w14:paraId="0D3F5868" w14:textId="77777777" w:rsidR="00030CEF" w:rsidRPr="006B6686" w:rsidRDefault="00030CEF" w:rsidP="006B6686">
            <w:pPr>
              <w:pBdr>
                <w:bottom w:val="single" w:sz="4" w:space="0" w:color="000000"/>
              </w:pBdr>
              <w:jc w:val="center"/>
              <w:rPr>
                <w:rStyle w:val="Koteret"/>
                <w:rFonts w:cs="Miriam"/>
                <w:bCs/>
                <w:sz w:val="20"/>
              </w:rPr>
            </w:pPr>
            <w:r w:rsidRPr="006B6686">
              <w:rPr>
                <w:rStyle w:val="Koteret"/>
                <w:rFonts w:cs="Miriam"/>
                <w:bCs/>
                <w:sz w:val="20"/>
              </w:rPr>
              <w:t>For the year ended December 31,</w:t>
            </w:r>
          </w:p>
        </w:tc>
      </w:tr>
      <w:bookmarkEnd w:id="177"/>
      <w:tr w:rsidR="00C52BA0" w:rsidRPr="002B51C1" w14:paraId="14955E2E" w14:textId="77777777" w:rsidTr="005101BC">
        <w:trPr>
          <w:cantSplit/>
          <w:trHeight w:val="283"/>
          <w:tblHeader/>
        </w:trPr>
        <w:tc>
          <w:tcPr>
            <w:tcW w:w="4775" w:type="dxa"/>
            <w:shd w:val="clear" w:color="auto" w:fill="auto"/>
            <w:vAlign w:val="bottom"/>
            <w:hideMark/>
          </w:tcPr>
          <w:p w14:paraId="7985970B" w14:textId="77777777" w:rsidR="00C52BA0" w:rsidRPr="002B51C1" w:rsidRDefault="00C52BA0" w:rsidP="00C52BA0">
            <w:pPr>
              <w:spacing w:before="40"/>
              <w:rPr>
                <w:rFonts w:ascii="Arial" w:eastAsia="Arial" w:hAnsi="Arial" w:cs="Arial"/>
                <w:sz w:val="20"/>
              </w:rPr>
            </w:pPr>
          </w:p>
        </w:tc>
        <w:tc>
          <w:tcPr>
            <w:tcW w:w="1547" w:type="dxa"/>
            <w:shd w:val="clear" w:color="auto" w:fill="auto"/>
            <w:vAlign w:val="bottom"/>
            <w:hideMark/>
          </w:tcPr>
          <w:p w14:paraId="1500736A" w14:textId="3A8481A5" w:rsidR="00C52BA0" w:rsidRPr="006B6686" w:rsidRDefault="00C52BA0" w:rsidP="00C52BA0">
            <w:pPr>
              <w:pBdr>
                <w:bottom w:val="single" w:sz="4" w:space="0" w:color="000000"/>
              </w:pBdr>
              <w:jc w:val="center"/>
              <w:rPr>
                <w:rStyle w:val="Koteret"/>
                <w:rFonts w:cs="Miriam"/>
                <w:bCs/>
                <w:sz w:val="20"/>
              </w:rPr>
            </w:pPr>
            <w:r w:rsidRPr="006B6686">
              <w:rPr>
                <w:rStyle w:val="Koteret"/>
                <w:rFonts w:cs="Miriam"/>
                <w:bCs/>
                <w:sz w:val="20"/>
              </w:rPr>
              <w:t>202</w:t>
            </w:r>
            <w:r>
              <w:rPr>
                <w:rStyle w:val="Koteret"/>
                <w:rFonts w:cs="Miriam"/>
                <w:bCs/>
                <w:sz w:val="20"/>
              </w:rPr>
              <w:t>4</w:t>
            </w:r>
          </w:p>
        </w:tc>
        <w:tc>
          <w:tcPr>
            <w:tcW w:w="1548" w:type="dxa"/>
            <w:shd w:val="clear" w:color="auto" w:fill="auto"/>
            <w:vAlign w:val="bottom"/>
            <w:hideMark/>
          </w:tcPr>
          <w:p w14:paraId="4D586B12" w14:textId="0E348DFD" w:rsidR="00C52BA0" w:rsidRPr="006B6686" w:rsidRDefault="00C52BA0" w:rsidP="00C52BA0">
            <w:pPr>
              <w:pBdr>
                <w:bottom w:val="single" w:sz="4" w:space="0" w:color="000000"/>
              </w:pBdr>
              <w:jc w:val="center"/>
              <w:rPr>
                <w:rStyle w:val="Koteret"/>
                <w:rFonts w:cs="Miriam"/>
                <w:bCs/>
                <w:sz w:val="20"/>
              </w:rPr>
            </w:pPr>
            <w:r>
              <w:rPr>
                <w:rStyle w:val="Koteret"/>
                <w:rFonts w:cs="Miriam"/>
                <w:bCs/>
                <w:sz w:val="20"/>
              </w:rPr>
              <w:t>2023</w:t>
            </w:r>
          </w:p>
        </w:tc>
        <w:tc>
          <w:tcPr>
            <w:tcW w:w="1548" w:type="dxa"/>
            <w:shd w:val="clear" w:color="auto" w:fill="auto"/>
            <w:vAlign w:val="bottom"/>
            <w:hideMark/>
          </w:tcPr>
          <w:p w14:paraId="541068E8" w14:textId="27FA10B0" w:rsidR="00C52BA0" w:rsidRPr="006B6686" w:rsidRDefault="00C52BA0" w:rsidP="00C52BA0">
            <w:pPr>
              <w:pBdr>
                <w:bottom w:val="single" w:sz="4" w:space="0" w:color="000000"/>
              </w:pBdr>
              <w:jc w:val="center"/>
              <w:rPr>
                <w:rStyle w:val="Koteret"/>
                <w:rFonts w:cs="Miriam"/>
                <w:bCs/>
                <w:sz w:val="20"/>
              </w:rPr>
            </w:pPr>
            <w:r>
              <w:rPr>
                <w:rStyle w:val="Koteret"/>
                <w:rFonts w:cs="Miriam"/>
                <w:bCs/>
                <w:sz w:val="20"/>
              </w:rPr>
              <w:t>2022</w:t>
            </w:r>
          </w:p>
        </w:tc>
      </w:tr>
      <w:tr w:rsidR="00F17AF6" w:rsidRPr="002B51C1" w14:paraId="706A4F5C" w14:textId="77777777" w:rsidTr="005101BC">
        <w:trPr>
          <w:trHeight w:val="283"/>
        </w:trPr>
        <w:tc>
          <w:tcPr>
            <w:tcW w:w="4775" w:type="dxa"/>
            <w:shd w:val="clear" w:color="auto" w:fill="auto"/>
            <w:vAlign w:val="bottom"/>
            <w:hideMark/>
          </w:tcPr>
          <w:p w14:paraId="414AD2A4" w14:textId="77777777" w:rsidR="00F17AF6" w:rsidRPr="002B51C1" w:rsidRDefault="00F17AF6" w:rsidP="00F17AF6">
            <w:pPr>
              <w:spacing w:before="40"/>
              <w:rPr>
                <w:sz w:val="22"/>
                <w:szCs w:val="22"/>
              </w:rPr>
            </w:pPr>
            <w:r w:rsidRPr="002B51C1">
              <w:rPr>
                <w:color w:val="000000"/>
                <w:sz w:val="22"/>
                <w:szCs w:val="22"/>
              </w:rPr>
              <w:t>Wages and salaries</w:t>
            </w:r>
          </w:p>
        </w:tc>
        <w:tc>
          <w:tcPr>
            <w:tcW w:w="1547" w:type="dxa"/>
            <w:shd w:val="clear" w:color="auto" w:fill="auto"/>
            <w:noWrap/>
            <w:vAlign w:val="bottom"/>
          </w:tcPr>
          <w:p w14:paraId="6E7FC5CD" w14:textId="49F41C4D" w:rsidR="00F17AF6" w:rsidRPr="00F17AF6" w:rsidRDefault="00F17AF6" w:rsidP="00F17AF6">
            <w:pPr>
              <w:spacing w:before="40"/>
              <w:jc w:val="right"/>
              <w:rPr>
                <w:sz w:val="22"/>
                <w:szCs w:val="22"/>
                <w:highlight w:val="yellow"/>
              </w:rPr>
            </w:pPr>
            <w:r w:rsidRPr="00F17AF6">
              <w:rPr>
                <w:sz w:val="22"/>
                <w:szCs w:val="22"/>
              </w:rPr>
              <w:t>13,504</w:t>
            </w:r>
          </w:p>
        </w:tc>
        <w:tc>
          <w:tcPr>
            <w:tcW w:w="1548" w:type="dxa"/>
            <w:shd w:val="clear" w:color="auto" w:fill="auto"/>
            <w:noWrap/>
            <w:vAlign w:val="bottom"/>
          </w:tcPr>
          <w:p w14:paraId="36D43CB7" w14:textId="461209CB" w:rsidR="00F17AF6" w:rsidRPr="006B6686" w:rsidRDefault="00F17AF6" w:rsidP="00F17AF6">
            <w:pPr>
              <w:spacing w:before="40"/>
              <w:jc w:val="right"/>
              <w:rPr>
                <w:sz w:val="22"/>
                <w:szCs w:val="22"/>
              </w:rPr>
            </w:pPr>
            <w:r>
              <w:rPr>
                <w:sz w:val="22"/>
                <w:szCs w:val="22"/>
              </w:rPr>
              <w:t>9,376</w:t>
            </w:r>
          </w:p>
        </w:tc>
        <w:tc>
          <w:tcPr>
            <w:tcW w:w="1548" w:type="dxa"/>
            <w:shd w:val="clear" w:color="auto" w:fill="auto"/>
            <w:noWrap/>
            <w:vAlign w:val="bottom"/>
          </w:tcPr>
          <w:p w14:paraId="0729FA0C" w14:textId="735A3D7A" w:rsidR="00F17AF6" w:rsidRPr="002B51C1" w:rsidRDefault="00F17AF6" w:rsidP="00F17AF6">
            <w:pPr>
              <w:spacing w:before="40"/>
              <w:jc w:val="right"/>
              <w:rPr>
                <w:sz w:val="22"/>
                <w:szCs w:val="22"/>
              </w:rPr>
            </w:pPr>
            <w:r w:rsidRPr="006B6686">
              <w:rPr>
                <w:sz w:val="22"/>
                <w:szCs w:val="22"/>
              </w:rPr>
              <w:t>9,329</w:t>
            </w:r>
          </w:p>
        </w:tc>
      </w:tr>
      <w:tr w:rsidR="00F17AF6" w:rsidRPr="002B51C1" w14:paraId="67993FE8" w14:textId="77777777" w:rsidTr="005101BC">
        <w:trPr>
          <w:trHeight w:val="283"/>
        </w:trPr>
        <w:tc>
          <w:tcPr>
            <w:tcW w:w="4775" w:type="dxa"/>
            <w:shd w:val="clear" w:color="auto" w:fill="auto"/>
            <w:vAlign w:val="bottom"/>
          </w:tcPr>
          <w:p w14:paraId="3FB6D473" w14:textId="2055CD51" w:rsidR="00F17AF6" w:rsidRPr="002B51C1" w:rsidRDefault="00F17AF6" w:rsidP="00F17AF6">
            <w:pPr>
              <w:spacing w:before="40"/>
              <w:rPr>
                <w:color w:val="000000"/>
                <w:sz w:val="22"/>
                <w:szCs w:val="22"/>
              </w:rPr>
            </w:pPr>
            <w:r w:rsidRPr="007B60E8">
              <w:rPr>
                <w:color w:val="000000"/>
                <w:sz w:val="22"/>
                <w:szCs w:val="22"/>
              </w:rPr>
              <w:t>Share based payment</w:t>
            </w:r>
          </w:p>
        </w:tc>
        <w:tc>
          <w:tcPr>
            <w:tcW w:w="1547" w:type="dxa"/>
            <w:shd w:val="clear" w:color="auto" w:fill="auto"/>
            <w:noWrap/>
            <w:vAlign w:val="bottom"/>
          </w:tcPr>
          <w:p w14:paraId="64010F59" w14:textId="3D526448" w:rsidR="00F17AF6" w:rsidRPr="00F17AF6" w:rsidRDefault="00F17AF6" w:rsidP="00F17AF6">
            <w:pPr>
              <w:spacing w:before="40"/>
              <w:jc w:val="right"/>
              <w:rPr>
                <w:sz w:val="22"/>
                <w:szCs w:val="22"/>
                <w:highlight w:val="yellow"/>
              </w:rPr>
            </w:pPr>
            <w:r w:rsidRPr="00F17AF6">
              <w:rPr>
                <w:sz w:val="22"/>
                <w:szCs w:val="22"/>
              </w:rPr>
              <w:t>-</w:t>
            </w:r>
          </w:p>
        </w:tc>
        <w:tc>
          <w:tcPr>
            <w:tcW w:w="1548" w:type="dxa"/>
            <w:shd w:val="clear" w:color="auto" w:fill="auto"/>
            <w:noWrap/>
            <w:vAlign w:val="bottom"/>
          </w:tcPr>
          <w:p w14:paraId="17B6C5CA" w14:textId="67F5768A" w:rsidR="00F17AF6" w:rsidRPr="006B6686" w:rsidRDefault="00F17AF6" w:rsidP="00F17AF6">
            <w:pPr>
              <w:spacing w:before="40"/>
              <w:jc w:val="right"/>
              <w:rPr>
                <w:sz w:val="22"/>
                <w:szCs w:val="22"/>
              </w:rPr>
            </w:pPr>
            <w:r>
              <w:rPr>
                <w:sz w:val="22"/>
                <w:szCs w:val="22"/>
              </w:rPr>
              <w:t>-</w:t>
            </w:r>
          </w:p>
        </w:tc>
        <w:tc>
          <w:tcPr>
            <w:tcW w:w="1548" w:type="dxa"/>
            <w:shd w:val="clear" w:color="auto" w:fill="auto"/>
            <w:noWrap/>
            <w:vAlign w:val="bottom"/>
          </w:tcPr>
          <w:p w14:paraId="59CEA4E8" w14:textId="57C81380" w:rsidR="00F17AF6" w:rsidRPr="00237FC5" w:rsidRDefault="00F17AF6" w:rsidP="00F17AF6">
            <w:pPr>
              <w:spacing w:before="40"/>
              <w:jc w:val="right"/>
              <w:rPr>
                <w:b/>
                <w:bCs/>
                <w:sz w:val="22"/>
                <w:szCs w:val="22"/>
              </w:rPr>
            </w:pPr>
            <w:r w:rsidRPr="006B6686">
              <w:rPr>
                <w:sz w:val="22"/>
                <w:szCs w:val="22"/>
              </w:rPr>
              <w:t>4,005</w:t>
            </w:r>
          </w:p>
        </w:tc>
      </w:tr>
      <w:tr w:rsidR="00F17AF6" w:rsidRPr="002B51C1" w14:paraId="2774906A" w14:textId="77777777" w:rsidTr="005101BC">
        <w:trPr>
          <w:trHeight w:val="283"/>
        </w:trPr>
        <w:tc>
          <w:tcPr>
            <w:tcW w:w="4775" w:type="dxa"/>
            <w:shd w:val="clear" w:color="auto" w:fill="auto"/>
            <w:vAlign w:val="bottom"/>
            <w:hideMark/>
          </w:tcPr>
          <w:p w14:paraId="397374AF" w14:textId="77777777" w:rsidR="00F17AF6" w:rsidRPr="002B51C1" w:rsidRDefault="00F17AF6" w:rsidP="00F17AF6">
            <w:pPr>
              <w:spacing w:before="40"/>
              <w:rPr>
                <w:sz w:val="22"/>
                <w:szCs w:val="22"/>
              </w:rPr>
            </w:pPr>
            <w:r w:rsidRPr="002B51C1">
              <w:rPr>
                <w:color w:val="000000"/>
                <w:sz w:val="22"/>
                <w:szCs w:val="22"/>
              </w:rPr>
              <w:t>Professional services</w:t>
            </w:r>
          </w:p>
        </w:tc>
        <w:tc>
          <w:tcPr>
            <w:tcW w:w="1547" w:type="dxa"/>
            <w:shd w:val="clear" w:color="auto" w:fill="auto"/>
            <w:noWrap/>
            <w:vAlign w:val="bottom"/>
          </w:tcPr>
          <w:p w14:paraId="1D502595" w14:textId="086BFB3D" w:rsidR="00F17AF6" w:rsidRPr="00F17AF6" w:rsidRDefault="00F17AF6" w:rsidP="00F17AF6">
            <w:pPr>
              <w:spacing w:before="40"/>
              <w:jc w:val="right"/>
              <w:rPr>
                <w:sz w:val="22"/>
                <w:szCs w:val="22"/>
                <w:highlight w:val="yellow"/>
              </w:rPr>
            </w:pPr>
            <w:r w:rsidRPr="00F17AF6">
              <w:rPr>
                <w:sz w:val="22"/>
                <w:szCs w:val="22"/>
              </w:rPr>
              <w:t>4,172</w:t>
            </w:r>
          </w:p>
        </w:tc>
        <w:tc>
          <w:tcPr>
            <w:tcW w:w="1548" w:type="dxa"/>
            <w:shd w:val="clear" w:color="auto" w:fill="auto"/>
            <w:noWrap/>
            <w:vAlign w:val="bottom"/>
          </w:tcPr>
          <w:p w14:paraId="26BE8DF6" w14:textId="31A0F496" w:rsidR="00F17AF6" w:rsidRPr="006B6686" w:rsidRDefault="00F17AF6" w:rsidP="00F17AF6">
            <w:pPr>
              <w:spacing w:before="40"/>
              <w:jc w:val="right"/>
              <w:rPr>
                <w:sz w:val="22"/>
                <w:szCs w:val="22"/>
              </w:rPr>
            </w:pPr>
            <w:r>
              <w:rPr>
                <w:sz w:val="22"/>
                <w:szCs w:val="22"/>
              </w:rPr>
              <w:t>2,622</w:t>
            </w:r>
          </w:p>
        </w:tc>
        <w:tc>
          <w:tcPr>
            <w:tcW w:w="1548" w:type="dxa"/>
            <w:shd w:val="clear" w:color="auto" w:fill="auto"/>
            <w:noWrap/>
            <w:vAlign w:val="bottom"/>
          </w:tcPr>
          <w:p w14:paraId="7758DF1F" w14:textId="0A0DA788" w:rsidR="00F17AF6" w:rsidRPr="002B51C1" w:rsidRDefault="00F17AF6" w:rsidP="00F17AF6">
            <w:pPr>
              <w:spacing w:before="40"/>
              <w:jc w:val="right"/>
              <w:rPr>
                <w:sz w:val="22"/>
                <w:szCs w:val="22"/>
              </w:rPr>
            </w:pPr>
            <w:r w:rsidRPr="006B6686">
              <w:rPr>
                <w:sz w:val="22"/>
                <w:szCs w:val="22"/>
              </w:rPr>
              <w:t>3,861</w:t>
            </w:r>
          </w:p>
        </w:tc>
      </w:tr>
      <w:tr w:rsidR="00F17AF6" w:rsidRPr="002B51C1" w14:paraId="0CFD18F2" w14:textId="77777777" w:rsidTr="005101BC">
        <w:trPr>
          <w:trHeight w:val="283"/>
        </w:trPr>
        <w:tc>
          <w:tcPr>
            <w:tcW w:w="4775" w:type="dxa"/>
            <w:shd w:val="clear" w:color="auto" w:fill="auto"/>
            <w:vAlign w:val="bottom"/>
            <w:hideMark/>
          </w:tcPr>
          <w:p w14:paraId="3DD4F891" w14:textId="77777777" w:rsidR="00F17AF6" w:rsidRPr="002B51C1" w:rsidRDefault="00F17AF6" w:rsidP="00F17AF6">
            <w:pPr>
              <w:spacing w:before="40"/>
              <w:rPr>
                <w:sz w:val="22"/>
                <w:szCs w:val="22"/>
              </w:rPr>
            </w:pPr>
            <w:r w:rsidRPr="002B51C1">
              <w:rPr>
                <w:color w:val="000000"/>
                <w:sz w:val="22"/>
                <w:szCs w:val="22"/>
              </w:rPr>
              <w:t>Depreciation</w:t>
            </w:r>
          </w:p>
        </w:tc>
        <w:tc>
          <w:tcPr>
            <w:tcW w:w="1547" w:type="dxa"/>
            <w:shd w:val="clear" w:color="auto" w:fill="auto"/>
            <w:noWrap/>
            <w:vAlign w:val="bottom"/>
          </w:tcPr>
          <w:p w14:paraId="2E50A626" w14:textId="49495612" w:rsidR="00F17AF6" w:rsidRPr="00F17AF6" w:rsidRDefault="00F17AF6" w:rsidP="00F17AF6">
            <w:pPr>
              <w:spacing w:before="40"/>
              <w:jc w:val="right"/>
              <w:rPr>
                <w:sz w:val="22"/>
                <w:szCs w:val="22"/>
                <w:highlight w:val="yellow"/>
              </w:rPr>
            </w:pPr>
            <w:r w:rsidRPr="00F17AF6">
              <w:rPr>
                <w:sz w:val="22"/>
                <w:szCs w:val="22"/>
              </w:rPr>
              <w:t>1,100</w:t>
            </w:r>
          </w:p>
        </w:tc>
        <w:tc>
          <w:tcPr>
            <w:tcW w:w="1548" w:type="dxa"/>
            <w:shd w:val="clear" w:color="auto" w:fill="auto"/>
            <w:noWrap/>
            <w:vAlign w:val="bottom"/>
          </w:tcPr>
          <w:p w14:paraId="6702C09E" w14:textId="48E0CE7E" w:rsidR="00F17AF6" w:rsidRPr="006B6686" w:rsidRDefault="00F17AF6" w:rsidP="00F17AF6">
            <w:pPr>
              <w:spacing w:before="40"/>
              <w:jc w:val="right"/>
              <w:rPr>
                <w:sz w:val="22"/>
                <w:szCs w:val="22"/>
              </w:rPr>
            </w:pPr>
            <w:r>
              <w:rPr>
                <w:sz w:val="22"/>
                <w:szCs w:val="22"/>
              </w:rPr>
              <w:t>713</w:t>
            </w:r>
          </w:p>
        </w:tc>
        <w:tc>
          <w:tcPr>
            <w:tcW w:w="1548" w:type="dxa"/>
            <w:shd w:val="clear" w:color="auto" w:fill="auto"/>
            <w:noWrap/>
            <w:vAlign w:val="bottom"/>
          </w:tcPr>
          <w:p w14:paraId="6FA44BCE" w14:textId="0F35B800" w:rsidR="00F17AF6" w:rsidRPr="002B51C1" w:rsidRDefault="00F17AF6" w:rsidP="00F17AF6">
            <w:pPr>
              <w:spacing w:before="40"/>
              <w:jc w:val="right"/>
              <w:rPr>
                <w:sz w:val="22"/>
                <w:szCs w:val="22"/>
              </w:rPr>
            </w:pPr>
            <w:r w:rsidRPr="006B6686">
              <w:rPr>
                <w:sz w:val="22"/>
                <w:szCs w:val="22"/>
              </w:rPr>
              <w:t>652</w:t>
            </w:r>
          </w:p>
        </w:tc>
      </w:tr>
      <w:tr w:rsidR="00F17AF6" w:rsidRPr="002B51C1" w14:paraId="06032DFF" w14:textId="77777777" w:rsidTr="005101BC">
        <w:trPr>
          <w:trHeight w:val="283"/>
        </w:trPr>
        <w:tc>
          <w:tcPr>
            <w:tcW w:w="4775" w:type="dxa"/>
            <w:shd w:val="clear" w:color="auto" w:fill="auto"/>
            <w:vAlign w:val="bottom"/>
            <w:hideMark/>
          </w:tcPr>
          <w:p w14:paraId="64B2C02C" w14:textId="77777777" w:rsidR="00F17AF6" w:rsidRPr="002B51C1" w:rsidRDefault="00F17AF6" w:rsidP="00F17AF6">
            <w:pPr>
              <w:spacing w:before="40"/>
              <w:rPr>
                <w:sz w:val="22"/>
                <w:szCs w:val="22"/>
              </w:rPr>
            </w:pPr>
            <w:r w:rsidRPr="002B51C1">
              <w:rPr>
                <w:color w:val="000000"/>
                <w:sz w:val="22"/>
                <w:szCs w:val="22"/>
              </w:rPr>
              <w:t>Legal and audit fees</w:t>
            </w:r>
          </w:p>
        </w:tc>
        <w:tc>
          <w:tcPr>
            <w:tcW w:w="1547" w:type="dxa"/>
            <w:shd w:val="clear" w:color="auto" w:fill="auto"/>
            <w:noWrap/>
            <w:vAlign w:val="bottom"/>
          </w:tcPr>
          <w:p w14:paraId="38834408" w14:textId="15657664" w:rsidR="00F17AF6" w:rsidRPr="00F17AF6" w:rsidRDefault="00F17AF6" w:rsidP="00F17AF6">
            <w:pPr>
              <w:spacing w:before="40"/>
              <w:jc w:val="right"/>
              <w:rPr>
                <w:sz w:val="22"/>
                <w:szCs w:val="22"/>
                <w:highlight w:val="yellow"/>
              </w:rPr>
            </w:pPr>
            <w:r w:rsidRPr="00F17AF6">
              <w:rPr>
                <w:sz w:val="22"/>
                <w:szCs w:val="22"/>
              </w:rPr>
              <w:t>1,477</w:t>
            </w:r>
          </w:p>
        </w:tc>
        <w:tc>
          <w:tcPr>
            <w:tcW w:w="1548" w:type="dxa"/>
            <w:shd w:val="clear" w:color="auto" w:fill="auto"/>
            <w:noWrap/>
            <w:vAlign w:val="bottom"/>
          </w:tcPr>
          <w:p w14:paraId="1ED5BDE6" w14:textId="1AE0A28E" w:rsidR="00F17AF6" w:rsidRPr="006B6686" w:rsidRDefault="00F17AF6" w:rsidP="00F17AF6">
            <w:pPr>
              <w:spacing w:before="40"/>
              <w:jc w:val="right"/>
              <w:rPr>
                <w:sz w:val="22"/>
                <w:szCs w:val="22"/>
              </w:rPr>
            </w:pPr>
            <w:r>
              <w:rPr>
                <w:sz w:val="22"/>
                <w:szCs w:val="22"/>
              </w:rPr>
              <w:t>1,522</w:t>
            </w:r>
          </w:p>
        </w:tc>
        <w:tc>
          <w:tcPr>
            <w:tcW w:w="1548" w:type="dxa"/>
            <w:shd w:val="clear" w:color="auto" w:fill="auto"/>
            <w:noWrap/>
            <w:vAlign w:val="bottom"/>
          </w:tcPr>
          <w:p w14:paraId="08E2F5FA" w14:textId="55D887FC" w:rsidR="00F17AF6" w:rsidRPr="002B51C1" w:rsidRDefault="00F17AF6" w:rsidP="00F17AF6">
            <w:pPr>
              <w:spacing w:before="40"/>
              <w:jc w:val="right"/>
              <w:rPr>
                <w:sz w:val="22"/>
                <w:szCs w:val="22"/>
              </w:rPr>
            </w:pPr>
            <w:r w:rsidRPr="006B6686">
              <w:rPr>
                <w:sz w:val="22"/>
                <w:szCs w:val="22"/>
              </w:rPr>
              <w:t>1,083</w:t>
            </w:r>
          </w:p>
        </w:tc>
      </w:tr>
      <w:tr w:rsidR="00F17AF6" w:rsidRPr="002B51C1" w14:paraId="2A2042FF" w14:textId="77777777" w:rsidTr="005101BC">
        <w:trPr>
          <w:trHeight w:val="283"/>
        </w:trPr>
        <w:tc>
          <w:tcPr>
            <w:tcW w:w="4775" w:type="dxa"/>
            <w:shd w:val="clear" w:color="auto" w:fill="auto"/>
            <w:vAlign w:val="bottom"/>
            <w:hideMark/>
          </w:tcPr>
          <w:p w14:paraId="43084FA0" w14:textId="77777777" w:rsidR="00F17AF6" w:rsidRPr="002B51C1" w:rsidRDefault="00F17AF6" w:rsidP="00F17AF6">
            <w:pPr>
              <w:spacing w:before="40"/>
              <w:rPr>
                <w:sz w:val="22"/>
                <w:szCs w:val="22"/>
              </w:rPr>
            </w:pPr>
            <w:r w:rsidRPr="002B51C1">
              <w:rPr>
                <w:color w:val="000000"/>
                <w:sz w:val="22"/>
                <w:szCs w:val="22"/>
              </w:rPr>
              <w:t>Rent</w:t>
            </w:r>
          </w:p>
        </w:tc>
        <w:tc>
          <w:tcPr>
            <w:tcW w:w="1547" w:type="dxa"/>
            <w:shd w:val="clear" w:color="auto" w:fill="auto"/>
            <w:noWrap/>
            <w:vAlign w:val="bottom"/>
          </w:tcPr>
          <w:p w14:paraId="30E38B9C" w14:textId="4FD93F8D" w:rsidR="00F17AF6" w:rsidRPr="00F17AF6" w:rsidRDefault="00F17AF6" w:rsidP="00F17AF6">
            <w:pPr>
              <w:spacing w:before="40"/>
              <w:jc w:val="right"/>
              <w:rPr>
                <w:sz w:val="22"/>
                <w:szCs w:val="22"/>
                <w:highlight w:val="yellow"/>
              </w:rPr>
            </w:pPr>
            <w:r w:rsidRPr="00F17AF6">
              <w:rPr>
                <w:sz w:val="22"/>
                <w:szCs w:val="22"/>
              </w:rPr>
              <w:t>55</w:t>
            </w:r>
          </w:p>
        </w:tc>
        <w:tc>
          <w:tcPr>
            <w:tcW w:w="1548" w:type="dxa"/>
            <w:shd w:val="clear" w:color="auto" w:fill="auto"/>
            <w:noWrap/>
            <w:vAlign w:val="bottom"/>
          </w:tcPr>
          <w:p w14:paraId="246FBB63" w14:textId="6EE5C36F" w:rsidR="00F17AF6" w:rsidRPr="006B6686" w:rsidRDefault="00F17AF6" w:rsidP="00F17AF6">
            <w:pPr>
              <w:spacing w:before="40"/>
              <w:jc w:val="right"/>
              <w:rPr>
                <w:sz w:val="22"/>
                <w:szCs w:val="22"/>
              </w:rPr>
            </w:pPr>
            <w:r>
              <w:rPr>
                <w:sz w:val="22"/>
                <w:szCs w:val="22"/>
              </w:rPr>
              <w:t>190</w:t>
            </w:r>
          </w:p>
        </w:tc>
        <w:tc>
          <w:tcPr>
            <w:tcW w:w="1548" w:type="dxa"/>
            <w:shd w:val="clear" w:color="auto" w:fill="auto"/>
            <w:noWrap/>
            <w:vAlign w:val="bottom"/>
          </w:tcPr>
          <w:p w14:paraId="6D748507" w14:textId="079F2C36" w:rsidR="00F17AF6" w:rsidRPr="002B51C1" w:rsidRDefault="00F17AF6" w:rsidP="00F17AF6">
            <w:pPr>
              <w:spacing w:before="40"/>
              <w:jc w:val="right"/>
              <w:rPr>
                <w:sz w:val="22"/>
                <w:szCs w:val="22"/>
              </w:rPr>
            </w:pPr>
            <w:r w:rsidRPr="006B6686">
              <w:rPr>
                <w:sz w:val="22"/>
                <w:szCs w:val="22"/>
              </w:rPr>
              <w:t>170</w:t>
            </w:r>
          </w:p>
        </w:tc>
      </w:tr>
      <w:tr w:rsidR="00F17AF6" w:rsidRPr="002B51C1" w14:paraId="6FA363F7" w14:textId="77777777" w:rsidTr="005101BC">
        <w:trPr>
          <w:trHeight w:val="283"/>
        </w:trPr>
        <w:tc>
          <w:tcPr>
            <w:tcW w:w="4775" w:type="dxa"/>
            <w:shd w:val="clear" w:color="auto" w:fill="auto"/>
            <w:vAlign w:val="bottom"/>
            <w:hideMark/>
          </w:tcPr>
          <w:p w14:paraId="32B70861" w14:textId="77777777" w:rsidR="00F17AF6" w:rsidRPr="002B51C1" w:rsidRDefault="00F17AF6" w:rsidP="00F17AF6">
            <w:pPr>
              <w:spacing w:before="40"/>
              <w:rPr>
                <w:sz w:val="22"/>
                <w:szCs w:val="22"/>
              </w:rPr>
            </w:pPr>
            <w:r w:rsidRPr="002B51C1">
              <w:rPr>
                <w:color w:val="000000"/>
                <w:sz w:val="22"/>
                <w:szCs w:val="22"/>
              </w:rPr>
              <w:t>Other administrative expenses</w:t>
            </w:r>
          </w:p>
        </w:tc>
        <w:tc>
          <w:tcPr>
            <w:tcW w:w="1547" w:type="dxa"/>
            <w:shd w:val="clear" w:color="auto" w:fill="auto"/>
            <w:noWrap/>
            <w:vAlign w:val="bottom"/>
          </w:tcPr>
          <w:p w14:paraId="32C93F9D" w14:textId="1620F01C" w:rsidR="00F17AF6" w:rsidRPr="00B3462C" w:rsidRDefault="00F17AF6" w:rsidP="00F17AF6">
            <w:pPr>
              <w:pBdr>
                <w:bottom w:val="single" w:sz="4" w:space="1" w:color="auto"/>
              </w:pBdr>
              <w:spacing w:before="40"/>
              <w:jc w:val="right"/>
              <w:rPr>
                <w:sz w:val="22"/>
                <w:szCs w:val="22"/>
              </w:rPr>
            </w:pPr>
            <w:r w:rsidRPr="00B3462C">
              <w:rPr>
                <w:sz w:val="22"/>
                <w:szCs w:val="22"/>
              </w:rPr>
              <w:t>4,245</w:t>
            </w:r>
          </w:p>
        </w:tc>
        <w:tc>
          <w:tcPr>
            <w:tcW w:w="1548" w:type="dxa"/>
            <w:shd w:val="clear" w:color="auto" w:fill="auto"/>
            <w:noWrap/>
            <w:vAlign w:val="bottom"/>
          </w:tcPr>
          <w:p w14:paraId="6D9A43B9" w14:textId="006FD6AF" w:rsidR="00F17AF6" w:rsidRPr="006B6686" w:rsidRDefault="00F17AF6" w:rsidP="00F17AF6">
            <w:pPr>
              <w:pBdr>
                <w:bottom w:val="single" w:sz="4" w:space="1" w:color="auto"/>
              </w:pBdr>
              <w:spacing w:before="40"/>
              <w:jc w:val="right"/>
              <w:rPr>
                <w:sz w:val="22"/>
                <w:szCs w:val="22"/>
              </w:rPr>
            </w:pPr>
            <w:r>
              <w:rPr>
                <w:sz w:val="22"/>
                <w:szCs w:val="22"/>
              </w:rPr>
              <w:t>3,685</w:t>
            </w:r>
          </w:p>
        </w:tc>
        <w:tc>
          <w:tcPr>
            <w:tcW w:w="1548" w:type="dxa"/>
            <w:shd w:val="clear" w:color="auto" w:fill="auto"/>
            <w:noWrap/>
            <w:vAlign w:val="bottom"/>
          </w:tcPr>
          <w:p w14:paraId="5224FA4E" w14:textId="4FB29FFA" w:rsidR="00F17AF6" w:rsidRPr="002B51C1" w:rsidRDefault="00F17AF6" w:rsidP="00F17AF6">
            <w:pPr>
              <w:pBdr>
                <w:bottom w:val="single" w:sz="4" w:space="1" w:color="auto"/>
              </w:pBdr>
              <w:spacing w:before="40"/>
              <w:jc w:val="right"/>
              <w:rPr>
                <w:sz w:val="22"/>
                <w:szCs w:val="22"/>
              </w:rPr>
            </w:pPr>
            <w:r w:rsidRPr="006B6686">
              <w:rPr>
                <w:sz w:val="22"/>
                <w:szCs w:val="22"/>
              </w:rPr>
              <w:t>4,002</w:t>
            </w:r>
          </w:p>
        </w:tc>
      </w:tr>
      <w:tr w:rsidR="00C52BA0" w:rsidRPr="002B51C1" w14:paraId="3A70C487" w14:textId="77777777" w:rsidTr="005101BC">
        <w:trPr>
          <w:trHeight w:val="283"/>
        </w:trPr>
        <w:tc>
          <w:tcPr>
            <w:tcW w:w="4775" w:type="dxa"/>
            <w:shd w:val="clear" w:color="auto" w:fill="auto"/>
            <w:vAlign w:val="bottom"/>
            <w:hideMark/>
          </w:tcPr>
          <w:p w14:paraId="1ABC5772" w14:textId="77777777" w:rsidR="00C52BA0" w:rsidRPr="002B51C1" w:rsidRDefault="00C52BA0" w:rsidP="00C52BA0">
            <w:pPr>
              <w:spacing w:before="40"/>
              <w:rPr>
                <w:sz w:val="22"/>
                <w:szCs w:val="22"/>
              </w:rPr>
            </w:pPr>
            <w:r w:rsidRPr="002B51C1">
              <w:rPr>
                <w:color w:val="000000"/>
                <w:sz w:val="22"/>
                <w:szCs w:val="22"/>
              </w:rPr>
              <w:t xml:space="preserve"> </w:t>
            </w:r>
          </w:p>
        </w:tc>
        <w:tc>
          <w:tcPr>
            <w:tcW w:w="1547" w:type="dxa"/>
            <w:shd w:val="clear" w:color="auto" w:fill="auto"/>
            <w:noWrap/>
            <w:vAlign w:val="bottom"/>
          </w:tcPr>
          <w:p w14:paraId="467365EA" w14:textId="7861A27D" w:rsidR="00C52BA0" w:rsidRPr="00F17AF6" w:rsidRDefault="00F17AF6" w:rsidP="00F17AF6">
            <w:pPr>
              <w:pBdr>
                <w:bottom w:val="double" w:sz="4" w:space="0" w:color="000000"/>
              </w:pBdr>
              <w:spacing w:before="40"/>
              <w:jc w:val="right"/>
              <w:rPr>
                <w:sz w:val="22"/>
                <w:szCs w:val="22"/>
                <w:highlight w:val="yellow"/>
              </w:rPr>
            </w:pPr>
            <w:r w:rsidRPr="00F17AF6">
              <w:rPr>
                <w:sz w:val="22"/>
                <w:szCs w:val="22"/>
              </w:rPr>
              <w:t>24,553</w:t>
            </w:r>
          </w:p>
        </w:tc>
        <w:tc>
          <w:tcPr>
            <w:tcW w:w="1548" w:type="dxa"/>
            <w:shd w:val="clear" w:color="auto" w:fill="auto"/>
            <w:noWrap/>
            <w:vAlign w:val="bottom"/>
          </w:tcPr>
          <w:p w14:paraId="54199002" w14:textId="12B014B6" w:rsidR="00C52BA0" w:rsidRPr="006B6686" w:rsidRDefault="00C52BA0" w:rsidP="00C52BA0">
            <w:pPr>
              <w:pBdr>
                <w:bottom w:val="double" w:sz="4" w:space="0" w:color="000000"/>
              </w:pBdr>
              <w:spacing w:before="40"/>
              <w:jc w:val="right"/>
              <w:rPr>
                <w:sz w:val="22"/>
                <w:szCs w:val="22"/>
              </w:rPr>
            </w:pPr>
            <w:r>
              <w:rPr>
                <w:sz w:val="22"/>
                <w:szCs w:val="22"/>
              </w:rPr>
              <w:t>18,108</w:t>
            </w:r>
          </w:p>
        </w:tc>
        <w:tc>
          <w:tcPr>
            <w:tcW w:w="1548" w:type="dxa"/>
            <w:shd w:val="clear" w:color="auto" w:fill="auto"/>
            <w:noWrap/>
            <w:vAlign w:val="bottom"/>
          </w:tcPr>
          <w:p w14:paraId="73B679EF" w14:textId="00888C0A" w:rsidR="00C52BA0" w:rsidRPr="002B51C1" w:rsidRDefault="00C52BA0" w:rsidP="00C52BA0">
            <w:pPr>
              <w:pBdr>
                <w:bottom w:val="double" w:sz="4" w:space="0" w:color="000000"/>
              </w:pBdr>
              <w:spacing w:before="40"/>
              <w:jc w:val="right"/>
              <w:rPr>
                <w:sz w:val="22"/>
                <w:szCs w:val="22"/>
              </w:rPr>
            </w:pPr>
            <w:r w:rsidRPr="006B6686">
              <w:rPr>
                <w:sz w:val="22"/>
                <w:szCs w:val="22"/>
              </w:rPr>
              <w:t>23,102</w:t>
            </w:r>
          </w:p>
        </w:tc>
      </w:tr>
    </w:tbl>
    <w:p w14:paraId="733264BB" w14:textId="77777777" w:rsidR="001F1B26" w:rsidRDefault="001F1B26" w:rsidP="00BF2911">
      <w:pPr>
        <w:rPr>
          <w:b/>
          <w:bCs/>
          <w:sz w:val="22"/>
          <w:szCs w:val="22"/>
        </w:rPr>
      </w:pPr>
    </w:p>
    <w:p w14:paraId="3F4ECD6D" w14:textId="57DCAAC4" w:rsidR="00030CEF" w:rsidRPr="006B6686" w:rsidRDefault="00030CEF" w:rsidP="0020502A">
      <w:pPr>
        <w:jc w:val="both"/>
        <w:outlineLvl w:val="2"/>
        <w:rPr>
          <w:b/>
          <w:bCs/>
          <w:sz w:val="22"/>
          <w:szCs w:val="22"/>
        </w:rPr>
      </w:pPr>
      <w:r w:rsidRPr="006B6686">
        <w:rPr>
          <w:b/>
          <w:bCs/>
          <w:sz w:val="22"/>
          <w:szCs w:val="22"/>
        </w:rPr>
        <w:t xml:space="preserve">Note </w:t>
      </w:r>
      <w:r w:rsidR="009971CB" w:rsidRPr="006B6686">
        <w:rPr>
          <w:b/>
          <w:bCs/>
          <w:sz w:val="22"/>
          <w:szCs w:val="22"/>
        </w:rPr>
        <w:t xml:space="preserve">18 </w:t>
      </w:r>
      <w:r w:rsidRPr="006B6686">
        <w:rPr>
          <w:b/>
          <w:bCs/>
          <w:sz w:val="22"/>
          <w:szCs w:val="22"/>
        </w:rPr>
        <w:t>- Net Other Income (Expenses)</w:t>
      </w:r>
    </w:p>
    <w:p w14:paraId="4D2BB792" w14:textId="77777777" w:rsidR="00030CEF" w:rsidRPr="00340F50" w:rsidRDefault="00030CEF" w:rsidP="00030CEF">
      <w:pPr>
        <w:ind w:left="720"/>
        <w:rPr>
          <w:sz w:val="12"/>
          <w:szCs w:val="12"/>
          <w:rtl/>
        </w:rPr>
      </w:pPr>
    </w:p>
    <w:p w14:paraId="212E483D" w14:textId="77777777" w:rsidR="00030CEF" w:rsidRPr="00F02921" w:rsidRDefault="00030CEF" w:rsidP="00030CEF">
      <w:pPr>
        <w:ind w:left="720"/>
        <w:rPr>
          <w:rStyle w:val="Koteret"/>
          <w:b w:val="0"/>
          <w:bCs/>
          <w:i/>
          <w:iCs/>
        </w:rPr>
      </w:pPr>
      <w:r w:rsidRPr="00F02921">
        <w:rPr>
          <w:rStyle w:val="Koteret"/>
          <w:b w:val="0"/>
          <w:bCs/>
          <w:i/>
          <w:iCs/>
        </w:rPr>
        <w:t>In thousands of Euros</w:t>
      </w:r>
    </w:p>
    <w:tbl>
      <w:tblPr>
        <w:tblW w:w="0" w:type="auto"/>
        <w:tblInd w:w="720" w:type="dxa"/>
        <w:tblLook w:val="06A0" w:firstRow="1" w:lastRow="0" w:firstColumn="1" w:lastColumn="0" w:noHBand="1" w:noVBand="1"/>
        <w:tblCaption w:val="AHR02"/>
        <w:tblDescription w:val="Net Other Income "/>
      </w:tblPr>
      <w:tblGrid>
        <w:gridCol w:w="4808"/>
        <w:gridCol w:w="1358"/>
        <w:gridCol w:w="1335"/>
        <w:gridCol w:w="1417"/>
      </w:tblGrid>
      <w:tr w:rsidR="00030CEF" w:rsidRPr="002B51C1" w14:paraId="32A7D2AC" w14:textId="77777777" w:rsidTr="005101BC">
        <w:trPr>
          <w:cantSplit/>
          <w:trHeight w:val="283"/>
          <w:tblHeader/>
        </w:trPr>
        <w:tc>
          <w:tcPr>
            <w:tcW w:w="4808" w:type="dxa"/>
            <w:shd w:val="clear" w:color="auto" w:fill="auto"/>
            <w:vAlign w:val="bottom"/>
            <w:hideMark/>
          </w:tcPr>
          <w:p w14:paraId="07960ABB" w14:textId="77777777" w:rsidR="00030CEF" w:rsidRPr="002B51C1" w:rsidRDefault="00030CEF" w:rsidP="00030CEF">
            <w:pPr>
              <w:spacing w:before="40"/>
              <w:rPr>
                <w:rFonts w:ascii="Arial" w:eastAsia="Arial" w:hAnsi="Arial" w:cs="Arial"/>
                <w:sz w:val="20"/>
              </w:rPr>
            </w:pPr>
            <w:bookmarkStart w:id="178" w:name="Title_42" w:colFirst="0" w:colLast="0"/>
          </w:p>
        </w:tc>
        <w:tc>
          <w:tcPr>
            <w:tcW w:w="4110" w:type="dxa"/>
            <w:gridSpan w:val="3"/>
            <w:shd w:val="clear" w:color="auto" w:fill="auto"/>
            <w:vAlign w:val="bottom"/>
            <w:hideMark/>
          </w:tcPr>
          <w:p w14:paraId="22264EC0" w14:textId="77777777" w:rsidR="00030CEF" w:rsidRPr="006B6686" w:rsidRDefault="00030CEF" w:rsidP="006B6686">
            <w:pPr>
              <w:pBdr>
                <w:bottom w:val="single" w:sz="4" w:space="0" w:color="000000"/>
              </w:pBdr>
              <w:jc w:val="center"/>
              <w:rPr>
                <w:rStyle w:val="Koteret"/>
                <w:rFonts w:cs="Miriam"/>
                <w:bCs/>
                <w:sz w:val="20"/>
              </w:rPr>
            </w:pPr>
            <w:r w:rsidRPr="006B6686">
              <w:rPr>
                <w:rStyle w:val="Koteret"/>
                <w:rFonts w:cs="Miriam"/>
                <w:bCs/>
                <w:sz w:val="20"/>
              </w:rPr>
              <w:t>For the year ended December 31,</w:t>
            </w:r>
          </w:p>
        </w:tc>
      </w:tr>
      <w:bookmarkEnd w:id="178"/>
      <w:tr w:rsidR="00C52BA0" w:rsidRPr="002B51C1" w14:paraId="02F7D54A" w14:textId="77777777" w:rsidTr="005101BC">
        <w:trPr>
          <w:cantSplit/>
          <w:trHeight w:val="283"/>
          <w:tblHeader/>
        </w:trPr>
        <w:tc>
          <w:tcPr>
            <w:tcW w:w="4808" w:type="dxa"/>
            <w:shd w:val="clear" w:color="auto" w:fill="auto"/>
            <w:vAlign w:val="bottom"/>
            <w:hideMark/>
          </w:tcPr>
          <w:p w14:paraId="6B49EFCA" w14:textId="77777777" w:rsidR="00C52BA0" w:rsidRPr="002B51C1" w:rsidRDefault="00C52BA0" w:rsidP="00C52BA0">
            <w:pPr>
              <w:spacing w:before="40"/>
              <w:rPr>
                <w:rFonts w:ascii="Arial" w:eastAsia="Arial" w:hAnsi="Arial" w:cs="Arial"/>
                <w:sz w:val="20"/>
              </w:rPr>
            </w:pPr>
          </w:p>
        </w:tc>
        <w:tc>
          <w:tcPr>
            <w:tcW w:w="1358" w:type="dxa"/>
            <w:shd w:val="clear" w:color="auto" w:fill="auto"/>
            <w:vAlign w:val="bottom"/>
            <w:hideMark/>
          </w:tcPr>
          <w:p w14:paraId="0E811A63" w14:textId="64645137" w:rsidR="00C52BA0" w:rsidRPr="006B6686" w:rsidRDefault="00C52BA0" w:rsidP="00C52BA0">
            <w:pPr>
              <w:pBdr>
                <w:bottom w:val="single" w:sz="4" w:space="0" w:color="000000"/>
              </w:pBdr>
              <w:jc w:val="center"/>
              <w:rPr>
                <w:rStyle w:val="Koteret"/>
                <w:rFonts w:cs="Miriam"/>
                <w:bCs/>
                <w:sz w:val="20"/>
              </w:rPr>
            </w:pPr>
            <w:r w:rsidRPr="006B6686">
              <w:rPr>
                <w:rStyle w:val="Koteret"/>
                <w:rFonts w:cs="Miriam"/>
                <w:bCs/>
                <w:sz w:val="20"/>
              </w:rPr>
              <w:t>202</w:t>
            </w:r>
            <w:r>
              <w:rPr>
                <w:rStyle w:val="Koteret"/>
                <w:rFonts w:cs="Miriam"/>
                <w:bCs/>
                <w:sz w:val="20"/>
              </w:rPr>
              <w:t>4</w:t>
            </w:r>
          </w:p>
        </w:tc>
        <w:tc>
          <w:tcPr>
            <w:tcW w:w="1335" w:type="dxa"/>
            <w:shd w:val="clear" w:color="auto" w:fill="auto"/>
            <w:vAlign w:val="bottom"/>
            <w:hideMark/>
          </w:tcPr>
          <w:p w14:paraId="09DE0124" w14:textId="66DB666C" w:rsidR="00C52BA0" w:rsidRPr="006B6686" w:rsidRDefault="00C52BA0" w:rsidP="00C52BA0">
            <w:pPr>
              <w:pBdr>
                <w:bottom w:val="single" w:sz="4" w:space="0" w:color="000000"/>
              </w:pBdr>
              <w:jc w:val="center"/>
              <w:rPr>
                <w:rStyle w:val="Koteret"/>
                <w:rFonts w:cs="Miriam"/>
                <w:bCs/>
                <w:sz w:val="20"/>
              </w:rPr>
            </w:pPr>
            <w:r>
              <w:rPr>
                <w:rStyle w:val="Koteret"/>
                <w:rFonts w:cs="Miriam"/>
                <w:bCs/>
                <w:sz w:val="20"/>
              </w:rPr>
              <w:t>2023</w:t>
            </w:r>
          </w:p>
        </w:tc>
        <w:tc>
          <w:tcPr>
            <w:tcW w:w="1417" w:type="dxa"/>
            <w:shd w:val="clear" w:color="auto" w:fill="auto"/>
            <w:vAlign w:val="bottom"/>
            <w:hideMark/>
          </w:tcPr>
          <w:p w14:paraId="24DE65E5" w14:textId="1D06E89C" w:rsidR="00C52BA0" w:rsidRPr="006B6686" w:rsidRDefault="00C52BA0" w:rsidP="00C52BA0">
            <w:pPr>
              <w:pBdr>
                <w:bottom w:val="single" w:sz="4" w:space="0" w:color="000000"/>
              </w:pBdr>
              <w:jc w:val="center"/>
              <w:rPr>
                <w:rStyle w:val="Koteret"/>
                <w:rFonts w:cs="Miriam"/>
                <w:bCs/>
                <w:sz w:val="20"/>
              </w:rPr>
            </w:pPr>
            <w:r>
              <w:rPr>
                <w:rStyle w:val="Koteret"/>
                <w:rFonts w:cs="Miriam"/>
                <w:bCs/>
                <w:sz w:val="20"/>
              </w:rPr>
              <w:t>2022</w:t>
            </w:r>
          </w:p>
        </w:tc>
      </w:tr>
      <w:tr w:rsidR="002C4A97" w:rsidRPr="002B51C1" w14:paraId="311B1343" w14:textId="77777777" w:rsidTr="005101BC">
        <w:trPr>
          <w:trHeight w:val="283"/>
        </w:trPr>
        <w:tc>
          <w:tcPr>
            <w:tcW w:w="4808" w:type="dxa"/>
            <w:shd w:val="clear" w:color="auto" w:fill="auto"/>
            <w:vAlign w:val="bottom"/>
            <w:hideMark/>
          </w:tcPr>
          <w:p w14:paraId="382EA560" w14:textId="1B65BF0C" w:rsidR="002C4A97" w:rsidRPr="002C4A97" w:rsidRDefault="002C4A97" w:rsidP="002C4A97">
            <w:pPr>
              <w:spacing w:before="40"/>
              <w:rPr>
                <w:sz w:val="22"/>
                <w:szCs w:val="22"/>
              </w:rPr>
            </w:pPr>
            <w:r w:rsidRPr="002C4A97">
              <w:rPr>
                <w:color w:val="000000"/>
                <w:sz w:val="22"/>
                <w:szCs w:val="22"/>
              </w:rPr>
              <w:t>Income from temporary rent</w:t>
            </w:r>
          </w:p>
        </w:tc>
        <w:tc>
          <w:tcPr>
            <w:tcW w:w="1358" w:type="dxa"/>
            <w:shd w:val="clear" w:color="auto" w:fill="auto"/>
            <w:noWrap/>
            <w:vAlign w:val="bottom"/>
          </w:tcPr>
          <w:p w14:paraId="708B2D44" w14:textId="7E14C796" w:rsidR="002C4A97" w:rsidRPr="002C4A97" w:rsidRDefault="002C4A97" w:rsidP="002C4A97">
            <w:pPr>
              <w:spacing w:before="40"/>
              <w:jc w:val="right"/>
              <w:rPr>
                <w:sz w:val="22"/>
                <w:szCs w:val="22"/>
              </w:rPr>
            </w:pPr>
            <w:r w:rsidRPr="002C4A97">
              <w:rPr>
                <w:sz w:val="22"/>
                <w:szCs w:val="22"/>
              </w:rPr>
              <w:t>473</w:t>
            </w:r>
          </w:p>
        </w:tc>
        <w:tc>
          <w:tcPr>
            <w:tcW w:w="1335" w:type="dxa"/>
            <w:shd w:val="clear" w:color="auto" w:fill="auto"/>
            <w:noWrap/>
            <w:vAlign w:val="bottom"/>
          </w:tcPr>
          <w:p w14:paraId="26546EEF" w14:textId="7A2E4844" w:rsidR="002C4A97" w:rsidRPr="00543265" w:rsidRDefault="002C4A97" w:rsidP="002C4A97">
            <w:pPr>
              <w:spacing w:before="40"/>
              <w:jc w:val="right"/>
              <w:rPr>
                <w:sz w:val="22"/>
                <w:szCs w:val="22"/>
              </w:rPr>
            </w:pPr>
            <w:r>
              <w:rPr>
                <w:sz w:val="22"/>
                <w:szCs w:val="22"/>
              </w:rPr>
              <w:t>469</w:t>
            </w:r>
          </w:p>
        </w:tc>
        <w:tc>
          <w:tcPr>
            <w:tcW w:w="1417" w:type="dxa"/>
            <w:shd w:val="clear" w:color="auto" w:fill="auto"/>
            <w:noWrap/>
            <w:vAlign w:val="bottom"/>
          </w:tcPr>
          <w:p w14:paraId="10308997" w14:textId="36BE9CA5" w:rsidR="002C4A97" w:rsidRPr="002B51C1" w:rsidRDefault="002C4A97" w:rsidP="002C4A97">
            <w:pPr>
              <w:spacing w:before="40"/>
              <w:jc w:val="right"/>
              <w:rPr>
                <w:sz w:val="22"/>
                <w:szCs w:val="22"/>
              </w:rPr>
            </w:pPr>
            <w:r w:rsidRPr="00543265">
              <w:rPr>
                <w:sz w:val="22"/>
                <w:szCs w:val="22"/>
              </w:rPr>
              <w:t>444</w:t>
            </w:r>
          </w:p>
        </w:tc>
      </w:tr>
      <w:tr w:rsidR="002C4A97" w:rsidRPr="002B51C1" w14:paraId="2605DDE2" w14:textId="77777777" w:rsidTr="005101BC">
        <w:trPr>
          <w:trHeight w:val="283"/>
        </w:trPr>
        <w:tc>
          <w:tcPr>
            <w:tcW w:w="4808" w:type="dxa"/>
            <w:shd w:val="clear" w:color="auto" w:fill="auto"/>
            <w:vAlign w:val="bottom"/>
          </w:tcPr>
          <w:p w14:paraId="53A5C813" w14:textId="4EC833A6" w:rsidR="002C4A97" w:rsidRPr="002C4A97" w:rsidRDefault="002C4A97" w:rsidP="002C4A97">
            <w:pPr>
              <w:spacing w:before="40"/>
              <w:rPr>
                <w:color w:val="000000"/>
                <w:sz w:val="22"/>
                <w:szCs w:val="22"/>
              </w:rPr>
            </w:pPr>
            <w:r w:rsidRPr="002C4A97">
              <w:rPr>
                <w:color w:val="000000"/>
                <w:sz w:val="22"/>
                <w:szCs w:val="22"/>
              </w:rPr>
              <w:t>Revenue from Construction works for tenants</w:t>
            </w:r>
          </w:p>
        </w:tc>
        <w:tc>
          <w:tcPr>
            <w:tcW w:w="1358" w:type="dxa"/>
            <w:shd w:val="clear" w:color="auto" w:fill="auto"/>
            <w:noWrap/>
            <w:vAlign w:val="bottom"/>
          </w:tcPr>
          <w:p w14:paraId="19F95F64" w14:textId="0687F043" w:rsidR="002C4A97" w:rsidRPr="002C4A97" w:rsidRDefault="002C4A97" w:rsidP="002C4A97">
            <w:pPr>
              <w:spacing w:before="40"/>
              <w:jc w:val="right"/>
              <w:rPr>
                <w:sz w:val="22"/>
                <w:szCs w:val="22"/>
              </w:rPr>
            </w:pPr>
            <w:r w:rsidRPr="002C4A97">
              <w:rPr>
                <w:sz w:val="22"/>
                <w:szCs w:val="22"/>
              </w:rPr>
              <w:t>517</w:t>
            </w:r>
          </w:p>
        </w:tc>
        <w:tc>
          <w:tcPr>
            <w:tcW w:w="1335" w:type="dxa"/>
            <w:shd w:val="clear" w:color="auto" w:fill="auto"/>
            <w:noWrap/>
            <w:vAlign w:val="bottom"/>
          </w:tcPr>
          <w:p w14:paraId="0ECD34AE" w14:textId="498C3A03" w:rsidR="002C4A97" w:rsidRPr="00543265" w:rsidRDefault="002C4A97" w:rsidP="002C4A97">
            <w:pPr>
              <w:spacing w:before="40"/>
              <w:jc w:val="right"/>
              <w:rPr>
                <w:sz w:val="22"/>
                <w:szCs w:val="22"/>
              </w:rPr>
            </w:pPr>
            <w:r>
              <w:rPr>
                <w:sz w:val="22"/>
                <w:szCs w:val="22"/>
              </w:rPr>
              <w:t>794</w:t>
            </w:r>
          </w:p>
        </w:tc>
        <w:tc>
          <w:tcPr>
            <w:tcW w:w="1417" w:type="dxa"/>
            <w:shd w:val="clear" w:color="auto" w:fill="auto"/>
            <w:noWrap/>
            <w:vAlign w:val="bottom"/>
          </w:tcPr>
          <w:p w14:paraId="716AB746" w14:textId="73136F52" w:rsidR="002C4A97" w:rsidRDefault="002C4A97" w:rsidP="002C4A97">
            <w:pPr>
              <w:spacing w:before="40"/>
              <w:jc w:val="right"/>
              <w:rPr>
                <w:sz w:val="22"/>
                <w:szCs w:val="22"/>
              </w:rPr>
            </w:pPr>
            <w:r w:rsidRPr="00543265">
              <w:rPr>
                <w:sz w:val="22"/>
                <w:szCs w:val="22"/>
              </w:rPr>
              <w:t>373</w:t>
            </w:r>
          </w:p>
        </w:tc>
      </w:tr>
      <w:tr w:rsidR="002C4A97" w:rsidRPr="002B51C1" w14:paraId="7823535C" w14:textId="77777777" w:rsidTr="005101BC">
        <w:trPr>
          <w:trHeight w:val="283"/>
        </w:trPr>
        <w:tc>
          <w:tcPr>
            <w:tcW w:w="4808" w:type="dxa"/>
            <w:shd w:val="clear" w:color="auto" w:fill="auto"/>
            <w:vAlign w:val="bottom"/>
          </w:tcPr>
          <w:p w14:paraId="143A42F2" w14:textId="2E6A337B" w:rsidR="002C4A97" w:rsidRPr="002C4A97" w:rsidRDefault="002C4A97" w:rsidP="002C4A97">
            <w:pPr>
              <w:spacing w:before="40"/>
              <w:rPr>
                <w:color w:val="000000"/>
                <w:sz w:val="22"/>
                <w:szCs w:val="22"/>
              </w:rPr>
            </w:pPr>
            <w:r w:rsidRPr="002C4A97">
              <w:rPr>
                <w:color w:val="000000"/>
                <w:sz w:val="22"/>
                <w:szCs w:val="22"/>
              </w:rPr>
              <w:t>Closing a provision of a contingent claim</w:t>
            </w:r>
          </w:p>
        </w:tc>
        <w:tc>
          <w:tcPr>
            <w:tcW w:w="1358" w:type="dxa"/>
            <w:shd w:val="clear" w:color="auto" w:fill="auto"/>
            <w:noWrap/>
            <w:vAlign w:val="bottom"/>
          </w:tcPr>
          <w:p w14:paraId="1A26F1B1" w14:textId="6208DE55" w:rsidR="002C4A97" w:rsidRPr="002C4A97" w:rsidRDefault="002C4A97" w:rsidP="002C4A97">
            <w:pPr>
              <w:spacing w:before="40"/>
              <w:jc w:val="right"/>
              <w:rPr>
                <w:sz w:val="22"/>
                <w:szCs w:val="22"/>
              </w:rPr>
            </w:pPr>
            <w:r w:rsidRPr="002C4A97">
              <w:rPr>
                <w:sz w:val="22"/>
                <w:szCs w:val="22"/>
              </w:rPr>
              <w:t>-</w:t>
            </w:r>
          </w:p>
        </w:tc>
        <w:tc>
          <w:tcPr>
            <w:tcW w:w="1335" w:type="dxa"/>
            <w:shd w:val="clear" w:color="auto" w:fill="auto"/>
            <w:noWrap/>
            <w:vAlign w:val="bottom"/>
          </w:tcPr>
          <w:p w14:paraId="6312DA7B" w14:textId="4BA29AE5" w:rsidR="002C4A97" w:rsidRPr="00543265" w:rsidRDefault="002C4A97" w:rsidP="002C4A97">
            <w:pPr>
              <w:spacing w:before="40"/>
              <w:jc w:val="right"/>
              <w:rPr>
                <w:sz w:val="22"/>
                <w:szCs w:val="22"/>
              </w:rPr>
            </w:pPr>
            <w:r>
              <w:rPr>
                <w:b/>
                <w:bCs/>
                <w:sz w:val="22"/>
                <w:szCs w:val="22"/>
              </w:rPr>
              <w:t>-</w:t>
            </w:r>
          </w:p>
        </w:tc>
        <w:tc>
          <w:tcPr>
            <w:tcW w:w="1417" w:type="dxa"/>
            <w:shd w:val="clear" w:color="auto" w:fill="auto"/>
            <w:noWrap/>
            <w:vAlign w:val="bottom"/>
          </w:tcPr>
          <w:p w14:paraId="65548FF3" w14:textId="4E3AA13C" w:rsidR="002C4A97" w:rsidRPr="00D538F1" w:rsidRDefault="002C4A97" w:rsidP="002C4A97">
            <w:pPr>
              <w:spacing w:before="40"/>
              <w:jc w:val="right"/>
              <w:rPr>
                <w:sz w:val="22"/>
                <w:szCs w:val="22"/>
              </w:rPr>
            </w:pPr>
            <w:r w:rsidRPr="00543265">
              <w:rPr>
                <w:sz w:val="22"/>
                <w:szCs w:val="22"/>
              </w:rPr>
              <w:t>1,022</w:t>
            </w:r>
          </w:p>
        </w:tc>
      </w:tr>
      <w:tr w:rsidR="00425DB1" w:rsidRPr="002B51C1" w14:paraId="0FF12319" w14:textId="77777777" w:rsidTr="005101BC">
        <w:trPr>
          <w:trHeight w:val="283"/>
        </w:trPr>
        <w:tc>
          <w:tcPr>
            <w:tcW w:w="4808" w:type="dxa"/>
            <w:shd w:val="clear" w:color="auto" w:fill="auto"/>
          </w:tcPr>
          <w:p w14:paraId="0A4D30BC" w14:textId="210EABE7" w:rsidR="00425DB1" w:rsidRPr="002C4A97" w:rsidRDefault="00B3462C" w:rsidP="00425DB1">
            <w:pPr>
              <w:rPr>
                <w:color w:val="000000"/>
                <w:sz w:val="22"/>
                <w:szCs w:val="22"/>
                <w:highlight w:val="yellow"/>
              </w:rPr>
            </w:pPr>
            <w:r w:rsidRPr="00B3462C">
              <w:t>Compensation from cancellation of JV agreement</w:t>
            </w:r>
          </w:p>
        </w:tc>
        <w:tc>
          <w:tcPr>
            <w:tcW w:w="1358" w:type="dxa"/>
            <w:shd w:val="clear" w:color="auto" w:fill="auto"/>
            <w:noWrap/>
            <w:vAlign w:val="bottom"/>
          </w:tcPr>
          <w:p w14:paraId="4E535EC2" w14:textId="6B797821" w:rsidR="00425DB1" w:rsidRPr="002C4A97" w:rsidRDefault="00425DB1" w:rsidP="00425DB1">
            <w:pPr>
              <w:spacing w:before="40"/>
              <w:jc w:val="right"/>
              <w:rPr>
                <w:sz w:val="22"/>
                <w:szCs w:val="22"/>
              </w:rPr>
            </w:pPr>
            <w:r w:rsidRPr="002C4A97">
              <w:rPr>
                <w:sz w:val="22"/>
                <w:szCs w:val="22"/>
              </w:rPr>
              <w:t>650</w:t>
            </w:r>
          </w:p>
        </w:tc>
        <w:tc>
          <w:tcPr>
            <w:tcW w:w="1335" w:type="dxa"/>
            <w:shd w:val="clear" w:color="auto" w:fill="auto"/>
            <w:noWrap/>
            <w:vAlign w:val="bottom"/>
          </w:tcPr>
          <w:p w14:paraId="6F6716BC" w14:textId="0EF3F332" w:rsidR="00425DB1" w:rsidRDefault="00425DB1" w:rsidP="00425DB1">
            <w:pPr>
              <w:spacing w:before="40"/>
              <w:jc w:val="right"/>
              <w:rPr>
                <w:b/>
                <w:bCs/>
                <w:sz w:val="22"/>
                <w:szCs w:val="22"/>
              </w:rPr>
            </w:pPr>
            <w:r>
              <w:rPr>
                <w:b/>
                <w:bCs/>
                <w:sz w:val="22"/>
                <w:szCs w:val="22"/>
              </w:rPr>
              <w:t>-</w:t>
            </w:r>
          </w:p>
        </w:tc>
        <w:tc>
          <w:tcPr>
            <w:tcW w:w="1417" w:type="dxa"/>
            <w:shd w:val="clear" w:color="auto" w:fill="auto"/>
            <w:noWrap/>
            <w:vAlign w:val="bottom"/>
          </w:tcPr>
          <w:p w14:paraId="60E01777" w14:textId="167E1412" w:rsidR="00425DB1" w:rsidRPr="00543265" w:rsidRDefault="00425DB1" w:rsidP="00425DB1">
            <w:pPr>
              <w:spacing w:before="40"/>
              <w:jc w:val="right"/>
              <w:rPr>
                <w:sz w:val="22"/>
                <w:szCs w:val="22"/>
              </w:rPr>
            </w:pPr>
            <w:r>
              <w:rPr>
                <w:b/>
                <w:bCs/>
                <w:sz w:val="22"/>
                <w:szCs w:val="22"/>
              </w:rPr>
              <w:t>-</w:t>
            </w:r>
          </w:p>
        </w:tc>
      </w:tr>
      <w:tr w:rsidR="00425DB1" w:rsidRPr="002B51C1" w14:paraId="5F482E8C" w14:textId="77777777" w:rsidTr="005101BC">
        <w:trPr>
          <w:trHeight w:val="283"/>
        </w:trPr>
        <w:tc>
          <w:tcPr>
            <w:tcW w:w="4808" w:type="dxa"/>
            <w:shd w:val="clear" w:color="auto" w:fill="auto"/>
          </w:tcPr>
          <w:p w14:paraId="028ECA6D" w14:textId="75A799A4" w:rsidR="00425DB1" w:rsidRPr="002C4A97" w:rsidRDefault="00B3462C" w:rsidP="00425DB1">
            <w:pPr>
              <w:rPr>
                <w:color w:val="000000"/>
                <w:sz w:val="22"/>
                <w:szCs w:val="22"/>
                <w:highlight w:val="yellow"/>
              </w:rPr>
            </w:pPr>
            <w:r w:rsidRPr="00B3462C">
              <w:t>Gain from legal cases in Romania</w:t>
            </w:r>
          </w:p>
        </w:tc>
        <w:tc>
          <w:tcPr>
            <w:tcW w:w="1358" w:type="dxa"/>
            <w:shd w:val="clear" w:color="auto" w:fill="auto"/>
            <w:noWrap/>
            <w:vAlign w:val="bottom"/>
          </w:tcPr>
          <w:p w14:paraId="3AF85798" w14:textId="2D9CC3AD" w:rsidR="00425DB1" w:rsidRPr="002C4A97" w:rsidRDefault="00425DB1" w:rsidP="00425DB1">
            <w:pPr>
              <w:spacing w:before="40"/>
              <w:jc w:val="right"/>
              <w:rPr>
                <w:sz w:val="22"/>
                <w:szCs w:val="22"/>
              </w:rPr>
            </w:pPr>
            <w:r w:rsidRPr="002C4A97">
              <w:rPr>
                <w:sz w:val="22"/>
                <w:szCs w:val="22"/>
              </w:rPr>
              <w:t>1,984</w:t>
            </w:r>
          </w:p>
        </w:tc>
        <w:tc>
          <w:tcPr>
            <w:tcW w:w="1335" w:type="dxa"/>
            <w:shd w:val="clear" w:color="auto" w:fill="auto"/>
            <w:noWrap/>
            <w:vAlign w:val="bottom"/>
          </w:tcPr>
          <w:p w14:paraId="64452B33" w14:textId="3FC57DF6" w:rsidR="00425DB1" w:rsidRDefault="00425DB1" w:rsidP="00425DB1">
            <w:pPr>
              <w:spacing w:before="40"/>
              <w:jc w:val="right"/>
              <w:rPr>
                <w:b/>
                <w:bCs/>
                <w:sz w:val="22"/>
                <w:szCs w:val="22"/>
              </w:rPr>
            </w:pPr>
            <w:r>
              <w:rPr>
                <w:b/>
                <w:bCs/>
                <w:sz w:val="22"/>
                <w:szCs w:val="22"/>
              </w:rPr>
              <w:t>-</w:t>
            </w:r>
          </w:p>
        </w:tc>
        <w:tc>
          <w:tcPr>
            <w:tcW w:w="1417" w:type="dxa"/>
            <w:shd w:val="clear" w:color="auto" w:fill="auto"/>
            <w:noWrap/>
            <w:vAlign w:val="bottom"/>
          </w:tcPr>
          <w:p w14:paraId="4C973139" w14:textId="7DD4B7E0" w:rsidR="00425DB1" w:rsidRPr="00543265" w:rsidRDefault="00425DB1" w:rsidP="00425DB1">
            <w:pPr>
              <w:spacing w:before="40"/>
              <w:jc w:val="right"/>
              <w:rPr>
                <w:sz w:val="22"/>
                <w:szCs w:val="22"/>
              </w:rPr>
            </w:pPr>
            <w:r>
              <w:rPr>
                <w:b/>
                <w:bCs/>
                <w:sz w:val="22"/>
                <w:szCs w:val="22"/>
              </w:rPr>
              <w:t>-</w:t>
            </w:r>
          </w:p>
        </w:tc>
      </w:tr>
      <w:tr w:rsidR="002C4A97" w:rsidRPr="002B51C1" w14:paraId="3A1EAC08" w14:textId="77777777" w:rsidTr="005101BC">
        <w:trPr>
          <w:trHeight w:val="283"/>
        </w:trPr>
        <w:tc>
          <w:tcPr>
            <w:tcW w:w="4808" w:type="dxa"/>
            <w:shd w:val="clear" w:color="auto" w:fill="auto"/>
            <w:vAlign w:val="bottom"/>
          </w:tcPr>
          <w:p w14:paraId="010EDCE8" w14:textId="5D5F6865" w:rsidR="002C4A97" w:rsidRPr="002C4A97" w:rsidRDefault="002C4A97" w:rsidP="002C4A97">
            <w:pPr>
              <w:rPr>
                <w:color w:val="000000"/>
                <w:sz w:val="22"/>
                <w:szCs w:val="22"/>
                <w:lang w:bidi="he-IL"/>
              </w:rPr>
            </w:pPr>
            <w:r w:rsidRPr="002C4A97">
              <w:rPr>
                <w:color w:val="000000"/>
                <w:sz w:val="22"/>
                <w:szCs w:val="22"/>
              </w:rPr>
              <w:t>Gain from disposal of subsidiary, net</w:t>
            </w:r>
          </w:p>
        </w:tc>
        <w:tc>
          <w:tcPr>
            <w:tcW w:w="1358" w:type="dxa"/>
            <w:shd w:val="clear" w:color="auto" w:fill="auto"/>
            <w:noWrap/>
            <w:vAlign w:val="bottom"/>
          </w:tcPr>
          <w:p w14:paraId="323D701F" w14:textId="4179A873" w:rsidR="002C4A97" w:rsidRPr="002C4A97" w:rsidRDefault="002C4A97" w:rsidP="002C4A97">
            <w:pPr>
              <w:spacing w:before="40"/>
              <w:jc w:val="right"/>
              <w:rPr>
                <w:sz w:val="22"/>
                <w:szCs w:val="22"/>
              </w:rPr>
            </w:pPr>
            <w:r w:rsidRPr="002C4A97">
              <w:rPr>
                <w:sz w:val="22"/>
                <w:szCs w:val="22"/>
              </w:rPr>
              <w:t>-</w:t>
            </w:r>
          </w:p>
        </w:tc>
        <w:tc>
          <w:tcPr>
            <w:tcW w:w="1335" w:type="dxa"/>
            <w:shd w:val="clear" w:color="auto" w:fill="auto"/>
            <w:noWrap/>
            <w:vAlign w:val="bottom"/>
          </w:tcPr>
          <w:p w14:paraId="7A0325CF" w14:textId="3A4860C6" w:rsidR="002C4A97" w:rsidRPr="00543265" w:rsidRDefault="002C4A97" w:rsidP="002C4A97">
            <w:pPr>
              <w:spacing w:before="40"/>
              <w:jc w:val="right"/>
              <w:rPr>
                <w:sz w:val="22"/>
                <w:szCs w:val="22"/>
              </w:rPr>
            </w:pPr>
            <w:r>
              <w:rPr>
                <w:b/>
                <w:bCs/>
                <w:sz w:val="22"/>
                <w:szCs w:val="22"/>
              </w:rPr>
              <w:t>-</w:t>
            </w:r>
          </w:p>
        </w:tc>
        <w:tc>
          <w:tcPr>
            <w:tcW w:w="1417" w:type="dxa"/>
            <w:shd w:val="clear" w:color="auto" w:fill="auto"/>
            <w:noWrap/>
            <w:vAlign w:val="bottom"/>
          </w:tcPr>
          <w:p w14:paraId="65CE65A7" w14:textId="1C475A25" w:rsidR="002C4A97" w:rsidRPr="00440C55" w:rsidRDefault="002C4A97" w:rsidP="002C4A97">
            <w:pPr>
              <w:spacing w:before="40"/>
              <w:jc w:val="right"/>
              <w:rPr>
                <w:sz w:val="22"/>
                <w:szCs w:val="22"/>
              </w:rPr>
            </w:pPr>
            <w:r w:rsidRPr="00543265">
              <w:rPr>
                <w:sz w:val="22"/>
                <w:szCs w:val="22"/>
              </w:rPr>
              <w:t>299</w:t>
            </w:r>
          </w:p>
        </w:tc>
      </w:tr>
      <w:tr w:rsidR="002C4A97" w:rsidRPr="002B51C1" w14:paraId="0E4B9E19" w14:textId="77777777" w:rsidTr="005101BC">
        <w:trPr>
          <w:trHeight w:val="283"/>
        </w:trPr>
        <w:tc>
          <w:tcPr>
            <w:tcW w:w="4808" w:type="dxa"/>
            <w:shd w:val="clear" w:color="auto" w:fill="auto"/>
            <w:vAlign w:val="bottom"/>
            <w:hideMark/>
          </w:tcPr>
          <w:p w14:paraId="6FA5C508" w14:textId="77777777" w:rsidR="002C4A97" w:rsidRPr="002C4A97" w:rsidRDefault="002C4A97" w:rsidP="002C4A97">
            <w:pPr>
              <w:spacing w:before="40"/>
              <w:rPr>
                <w:sz w:val="22"/>
                <w:szCs w:val="22"/>
              </w:rPr>
            </w:pPr>
            <w:r w:rsidRPr="002C4A97">
              <w:rPr>
                <w:color w:val="000000"/>
                <w:sz w:val="22"/>
                <w:szCs w:val="22"/>
              </w:rPr>
              <w:t>Other</w:t>
            </w:r>
          </w:p>
        </w:tc>
        <w:tc>
          <w:tcPr>
            <w:tcW w:w="1358" w:type="dxa"/>
            <w:shd w:val="clear" w:color="auto" w:fill="auto"/>
            <w:noWrap/>
            <w:vAlign w:val="bottom"/>
          </w:tcPr>
          <w:p w14:paraId="4584C59B" w14:textId="7AC62A36" w:rsidR="002C4A97" w:rsidRPr="002C4A97" w:rsidRDefault="002C4A97" w:rsidP="002C4A97">
            <w:pPr>
              <w:pBdr>
                <w:bottom w:val="single" w:sz="4" w:space="0" w:color="000000"/>
              </w:pBdr>
              <w:spacing w:before="40"/>
              <w:jc w:val="right"/>
              <w:rPr>
                <w:sz w:val="22"/>
                <w:szCs w:val="22"/>
              </w:rPr>
            </w:pPr>
            <w:r w:rsidRPr="002C4A97">
              <w:rPr>
                <w:sz w:val="22"/>
                <w:szCs w:val="22"/>
              </w:rPr>
              <w:t>1,766</w:t>
            </w:r>
          </w:p>
        </w:tc>
        <w:tc>
          <w:tcPr>
            <w:tcW w:w="1335" w:type="dxa"/>
            <w:shd w:val="clear" w:color="auto" w:fill="auto"/>
            <w:noWrap/>
            <w:vAlign w:val="bottom"/>
          </w:tcPr>
          <w:p w14:paraId="119DB556" w14:textId="7859FBA1" w:rsidR="002C4A97" w:rsidRPr="00543265" w:rsidRDefault="002C4A97" w:rsidP="002C4A97">
            <w:pPr>
              <w:pBdr>
                <w:bottom w:val="single" w:sz="4" w:space="0" w:color="000000"/>
              </w:pBdr>
              <w:spacing w:before="40"/>
              <w:jc w:val="right"/>
              <w:rPr>
                <w:sz w:val="22"/>
                <w:szCs w:val="22"/>
              </w:rPr>
            </w:pPr>
            <w:r>
              <w:rPr>
                <w:sz w:val="22"/>
                <w:szCs w:val="22"/>
              </w:rPr>
              <w:t>1,661</w:t>
            </w:r>
          </w:p>
        </w:tc>
        <w:tc>
          <w:tcPr>
            <w:tcW w:w="1417" w:type="dxa"/>
            <w:shd w:val="clear" w:color="auto" w:fill="auto"/>
            <w:noWrap/>
            <w:vAlign w:val="bottom"/>
          </w:tcPr>
          <w:p w14:paraId="6A42588A" w14:textId="2AFA5AD4" w:rsidR="002C4A97" w:rsidRPr="002B51C1" w:rsidRDefault="002C4A97" w:rsidP="002C4A97">
            <w:pPr>
              <w:pBdr>
                <w:bottom w:val="single" w:sz="4" w:space="0" w:color="000000"/>
              </w:pBdr>
              <w:spacing w:before="40"/>
              <w:jc w:val="right"/>
              <w:rPr>
                <w:sz w:val="22"/>
                <w:szCs w:val="22"/>
              </w:rPr>
            </w:pPr>
            <w:r w:rsidRPr="00543265">
              <w:rPr>
                <w:sz w:val="22"/>
                <w:szCs w:val="22"/>
              </w:rPr>
              <w:t>1,471</w:t>
            </w:r>
          </w:p>
        </w:tc>
      </w:tr>
      <w:tr w:rsidR="002C4A97" w:rsidRPr="002B51C1" w14:paraId="700F5AFC" w14:textId="77777777" w:rsidTr="005101BC">
        <w:trPr>
          <w:trHeight w:val="283"/>
        </w:trPr>
        <w:tc>
          <w:tcPr>
            <w:tcW w:w="4808" w:type="dxa"/>
            <w:shd w:val="clear" w:color="auto" w:fill="auto"/>
            <w:vAlign w:val="bottom"/>
            <w:hideMark/>
          </w:tcPr>
          <w:p w14:paraId="05FCD125" w14:textId="77777777" w:rsidR="002C4A97" w:rsidRPr="002C4A97" w:rsidRDefault="002C4A97" w:rsidP="002C4A97">
            <w:pPr>
              <w:spacing w:before="40"/>
              <w:rPr>
                <w:sz w:val="22"/>
                <w:szCs w:val="22"/>
              </w:rPr>
            </w:pPr>
          </w:p>
        </w:tc>
        <w:tc>
          <w:tcPr>
            <w:tcW w:w="1358" w:type="dxa"/>
            <w:shd w:val="clear" w:color="auto" w:fill="auto"/>
            <w:noWrap/>
            <w:vAlign w:val="bottom"/>
          </w:tcPr>
          <w:p w14:paraId="4EF0246C" w14:textId="181E49FA" w:rsidR="002C4A97" w:rsidRPr="002C4A97" w:rsidRDefault="002C4A97" w:rsidP="002C4A97">
            <w:pPr>
              <w:pBdr>
                <w:bottom w:val="single" w:sz="4" w:space="0" w:color="000000"/>
              </w:pBdr>
              <w:spacing w:before="40"/>
              <w:jc w:val="right"/>
              <w:rPr>
                <w:sz w:val="22"/>
                <w:szCs w:val="22"/>
              </w:rPr>
            </w:pPr>
            <w:r w:rsidRPr="002C4A97">
              <w:rPr>
                <w:sz w:val="22"/>
                <w:szCs w:val="22"/>
              </w:rPr>
              <w:t>5,390</w:t>
            </w:r>
          </w:p>
        </w:tc>
        <w:tc>
          <w:tcPr>
            <w:tcW w:w="1335" w:type="dxa"/>
            <w:shd w:val="clear" w:color="auto" w:fill="auto"/>
            <w:noWrap/>
            <w:vAlign w:val="bottom"/>
          </w:tcPr>
          <w:p w14:paraId="6DB234F9" w14:textId="617B350E" w:rsidR="002C4A97" w:rsidRPr="00543265" w:rsidRDefault="002C4A97" w:rsidP="002C4A97">
            <w:pPr>
              <w:pBdr>
                <w:bottom w:val="single" w:sz="4" w:space="0" w:color="000000"/>
              </w:pBdr>
              <w:spacing w:before="40"/>
              <w:jc w:val="right"/>
              <w:rPr>
                <w:sz w:val="22"/>
                <w:szCs w:val="22"/>
              </w:rPr>
            </w:pPr>
            <w:r>
              <w:rPr>
                <w:sz w:val="22"/>
                <w:szCs w:val="22"/>
              </w:rPr>
              <w:t>2,924</w:t>
            </w:r>
          </w:p>
        </w:tc>
        <w:tc>
          <w:tcPr>
            <w:tcW w:w="1417" w:type="dxa"/>
            <w:shd w:val="clear" w:color="auto" w:fill="auto"/>
            <w:noWrap/>
            <w:vAlign w:val="bottom"/>
          </w:tcPr>
          <w:p w14:paraId="68A72A51" w14:textId="34B24263" w:rsidR="002C4A97" w:rsidRPr="002B51C1" w:rsidRDefault="002C4A97" w:rsidP="002C4A97">
            <w:pPr>
              <w:pBdr>
                <w:bottom w:val="single" w:sz="4" w:space="0" w:color="000000"/>
              </w:pBdr>
              <w:spacing w:before="40"/>
              <w:jc w:val="right"/>
              <w:rPr>
                <w:sz w:val="22"/>
                <w:szCs w:val="22"/>
              </w:rPr>
            </w:pPr>
            <w:r w:rsidRPr="00543265">
              <w:rPr>
                <w:sz w:val="22"/>
                <w:szCs w:val="22"/>
              </w:rPr>
              <w:t>3,609</w:t>
            </w:r>
          </w:p>
        </w:tc>
      </w:tr>
      <w:tr w:rsidR="002C4A97" w:rsidRPr="002B51C1" w14:paraId="1C30B009" w14:textId="77777777" w:rsidTr="005101BC">
        <w:trPr>
          <w:trHeight w:val="283"/>
        </w:trPr>
        <w:tc>
          <w:tcPr>
            <w:tcW w:w="4808" w:type="dxa"/>
            <w:shd w:val="clear" w:color="auto" w:fill="auto"/>
            <w:vAlign w:val="bottom"/>
          </w:tcPr>
          <w:p w14:paraId="5937743C" w14:textId="717252AD" w:rsidR="002C4A97" w:rsidRPr="002C4A97" w:rsidRDefault="002C4A97" w:rsidP="002C4A97">
            <w:pPr>
              <w:spacing w:before="40"/>
            </w:pPr>
            <w:r w:rsidRPr="002C4A97">
              <w:rPr>
                <w:color w:val="000000"/>
                <w:sz w:val="22"/>
                <w:szCs w:val="22"/>
              </w:rPr>
              <w:t>Cost from Construction works for tenants</w:t>
            </w:r>
          </w:p>
        </w:tc>
        <w:tc>
          <w:tcPr>
            <w:tcW w:w="1358" w:type="dxa"/>
            <w:shd w:val="clear" w:color="auto" w:fill="auto"/>
            <w:noWrap/>
            <w:vAlign w:val="bottom"/>
          </w:tcPr>
          <w:p w14:paraId="3F730261" w14:textId="5D08A8ED" w:rsidR="002C4A97" w:rsidRPr="002C4A97" w:rsidRDefault="002C4A97" w:rsidP="002C4A97">
            <w:pPr>
              <w:spacing w:before="40"/>
              <w:jc w:val="right"/>
              <w:rPr>
                <w:sz w:val="22"/>
                <w:szCs w:val="22"/>
              </w:rPr>
            </w:pPr>
            <w:r w:rsidRPr="002C4A97">
              <w:rPr>
                <w:sz w:val="22"/>
                <w:szCs w:val="22"/>
              </w:rPr>
              <w:t>(126)</w:t>
            </w:r>
          </w:p>
        </w:tc>
        <w:tc>
          <w:tcPr>
            <w:tcW w:w="1335" w:type="dxa"/>
            <w:shd w:val="clear" w:color="auto" w:fill="auto"/>
            <w:noWrap/>
            <w:vAlign w:val="bottom"/>
          </w:tcPr>
          <w:p w14:paraId="3A2F223F" w14:textId="35A9ACA7" w:rsidR="002C4A97" w:rsidRPr="00543265" w:rsidRDefault="002C4A97" w:rsidP="002C4A97">
            <w:pPr>
              <w:spacing w:before="40"/>
              <w:jc w:val="right"/>
              <w:rPr>
                <w:sz w:val="22"/>
                <w:szCs w:val="22"/>
              </w:rPr>
            </w:pPr>
            <w:r>
              <w:rPr>
                <w:sz w:val="22"/>
                <w:szCs w:val="22"/>
              </w:rPr>
              <w:t>(111)</w:t>
            </w:r>
          </w:p>
        </w:tc>
        <w:tc>
          <w:tcPr>
            <w:tcW w:w="1417" w:type="dxa"/>
            <w:shd w:val="clear" w:color="auto" w:fill="auto"/>
            <w:noWrap/>
            <w:vAlign w:val="bottom"/>
          </w:tcPr>
          <w:p w14:paraId="3D41B104" w14:textId="4F8DAD76" w:rsidR="002C4A97" w:rsidRDefault="002C4A97" w:rsidP="002C4A97">
            <w:pPr>
              <w:spacing w:before="40"/>
              <w:jc w:val="right"/>
              <w:rPr>
                <w:b/>
                <w:bCs/>
                <w:sz w:val="22"/>
                <w:szCs w:val="22"/>
              </w:rPr>
            </w:pPr>
            <w:r w:rsidRPr="00543265">
              <w:rPr>
                <w:sz w:val="22"/>
                <w:szCs w:val="22"/>
              </w:rPr>
              <w:t>(77)</w:t>
            </w:r>
          </w:p>
        </w:tc>
      </w:tr>
      <w:tr w:rsidR="002C4A97" w:rsidRPr="002B51C1" w14:paraId="0F3BF2CF" w14:textId="77777777" w:rsidTr="005101BC">
        <w:trPr>
          <w:trHeight w:val="283"/>
        </w:trPr>
        <w:tc>
          <w:tcPr>
            <w:tcW w:w="4808" w:type="dxa"/>
            <w:shd w:val="clear" w:color="auto" w:fill="auto"/>
          </w:tcPr>
          <w:p w14:paraId="73B69668" w14:textId="766AA320" w:rsidR="002C4A97" w:rsidRPr="002C4A97" w:rsidRDefault="002C4A97" w:rsidP="002C4A97">
            <w:pPr>
              <w:spacing w:before="40"/>
              <w:rPr>
                <w:color w:val="000000"/>
                <w:sz w:val="22"/>
                <w:szCs w:val="22"/>
              </w:rPr>
            </w:pPr>
            <w:r w:rsidRPr="002C4A97">
              <w:rPr>
                <w:sz w:val="22"/>
                <w:szCs w:val="22"/>
              </w:rPr>
              <w:t xml:space="preserve">Expenses related to purchase and </w:t>
            </w:r>
            <w:r w:rsidRPr="002C4A97">
              <w:rPr>
                <w:color w:val="000000"/>
                <w:sz w:val="22"/>
                <w:szCs w:val="22"/>
              </w:rPr>
              <w:t>consulting regarding new projects</w:t>
            </w:r>
          </w:p>
        </w:tc>
        <w:tc>
          <w:tcPr>
            <w:tcW w:w="1358" w:type="dxa"/>
            <w:shd w:val="clear" w:color="auto" w:fill="auto"/>
            <w:noWrap/>
            <w:vAlign w:val="bottom"/>
          </w:tcPr>
          <w:p w14:paraId="3EB4F63D" w14:textId="30457346" w:rsidR="002C4A97" w:rsidRPr="002C4A97" w:rsidDel="008A7080" w:rsidRDefault="002C4A97" w:rsidP="002C4A97">
            <w:pPr>
              <w:spacing w:before="40"/>
              <w:jc w:val="right"/>
              <w:rPr>
                <w:sz w:val="22"/>
                <w:szCs w:val="22"/>
              </w:rPr>
            </w:pPr>
            <w:r w:rsidRPr="002C4A97">
              <w:rPr>
                <w:sz w:val="22"/>
                <w:szCs w:val="22"/>
              </w:rPr>
              <w:t>(409)</w:t>
            </w:r>
          </w:p>
        </w:tc>
        <w:tc>
          <w:tcPr>
            <w:tcW w:w="1335" w:type="dxa"/>
            <w:shd w:val="clear" w:color="auto" w:fill="auto"/>
            <w:noWrap/>
            <w:vAlign w:val="bottom"/>
          </w:tcPr>
          <w:p w14:paraId="3F574FB6" w14:textId="09446455" w:rsidR="002C4A97" w:rsidRPr="00543265" w:rsidRDefault="002C4A97" w:rsidP="002C4A97">
            <w:pPr>
              <w:spacing w:before="40"/>
              <w:jc w:val="right"/>
              <w:rPr>
                <w:sz w:val="22"/>
                <w:szCs w:val="22"/>
              </w:rPr>
            </w:pPr>
            <w:r w:rsidRPr="007C2983">
              <w:rPr>
                <w:sz w:val="22"/>
                <w:szCs w:val="22"/>
              </w:rPr>
              <w:t>(</w:t>
            </w:r>
            <w:r>
              <w:rPr>
                <w:rFonts w:hint="cs"/>
                <w:sz w:val="22"/>
                <w:szCs w:val="22"/>
                <w:rtl/>
                <w:lang w:bidi="he-IL"/>
              </w:rPr>
              <w:t>169</w:t>
            </w:r>
            <w:r w:rsidRPr="007C2983">
              <w:rPr>
                <w:sz w:val="22"/>
                <w:szCs w:val="22"/>
              </w:rPr>
              <w:t>)</w:t>
            </w:r>
          </w:p>
        </w:tc>
        <w:tc>
          <w:tcPr>
            <w:tcW w:w="1417" w:type="dxa"/>
            <w:shd w:val="clear" w:color="auto" w:fill="auto"/>
            <w:noWrap/>
            <w:vAlign w:val="bottom"/>
          </w:tcPr>
          <w:p w14:paraId="1399D2E2" w14:textId="1B535F2A" w:rsidR="002C4A97" w:rsidRPr="00237FC5" w:rsidRDefault="002C4A97" w:rsidP="002C4A97">
            <w:pPr>
              <w:spacing w:before="40"/>
              <w:jc w:val="right"/>
              <w:rPr>
                <w:b/>
                <w:bCs/>
                <w:sz w:val="22"/>
                <w:szCs w:val="22"/>
              </w:rPr>
            </w:pPr>
            <w:r w:rsidRPr="00543265">
              <w:rPr>
                <w:sz w:val="22"/>
                <w:szCs w:val="22"/>
              </w:rPr>
              <w:t>(2,291)</w:t>
            </w:r>
          </w:p>
        </w:tc>
      </w:tr>
      <w:tr w:rsidR="002C4A97" w:rsidRPr="00BF5A84" w14:paraId="0B98E1C8" w14:textId="77777777" w:rsidTr="005101BC">
        <w:trPr>
          <w:trHeight w:val="283"/>
        </w:trPr>
        <w:tc>
          <w:tcPr>
            <w:tcW w:w="4808" w:type="dxa"/>
            <w:shd w:val="clear" w:color="auto" w:fill="auto"/>
            <w:vAlign w:val="bottom"/>
            <w:hideMark/>
          </w:tcPr>
          <w:p w14:paraId="32A1E3D2" w14:textId="77777777" w:rsidR="002C4A97" w:rsidRPr="002C4A97" w:rsidRDefault="002C4A97" w:rsidP="002C4A97">
            <w:pPr>
              <w:spacing w:before="40"/>
              <w:rPr>
                <w:sz w:val="22"/>
                <w:szCs w:val="22"/>
                <w:lang w:bidi="he-IL"/>
              </w:rPr>
            </w:pPr>
            <w:r w:rsidRPr="002C4A97">
              <w:rPr>
                <w:color w:val="000000"/>
                <w:sz w:val="22"/>
                <w:szCs w:val="22"/>
              </w:rPr>
              <w:t>Other</w:t>
            </w:r>
          </w:p>
        </w:tc>
        <w:tc>
          <w:tcPr>
            <w:tcW w:w="1358" w:type="dxa"/>
            <w:shd w:val="clear" w:color="auto" w:fill="auto"/>
            <w:noWrap/>
            <w:vAlign w:val="bottom"/>
          </w:tcPr>
          <w:p w14:paraId="07ADB1AE" w14:textId="736422D6" w:rsidR="002C4A97" w:rsidRPr="002C4A97" w:rsidRDefault="002C4A97" w:rsidP="002C4A97">
            <w:pPr>
              <w:pBdr>
                <w:bottom w:val="single" w:sz="4" w:space="0" w:color="000000"/>
              </w:pBdr>
              <w:spacing w:before="40"/>
              <w:jc w:val="right"/>
              <w:rPr>
                <w:sz w:val="22"/>
                <w:szCs w:val="22"/>
              </w:rPr>
            </w:pPr>
            <w:r w:rsidRPr="002C4A97">
              <w:rPr>
                <w:sz w:val="22"/>
                <w:szCs w:val="22"/>
              </w:rPr>
              <w:t>(2,034)</w:t>
            </w:r>
          </w:p>
        </w:tc>
        <w:tc>
          <w:tcPr>
            <w:tcW w:w="1335" w:type="dxa"/>
            <w:shd w:val="clear" w:color="auto" w:fill="auto"/>
            <w:noWrap/>
            <w:vAlign w:val="bottom"/>
          </w:tcPr>
          <w:p w14:paraId="2D861124" w14:textId="6876833B" w:rsidR="002C4A97" w:rsidRPr="00543265" w:rsidRDefault="002C4A97" w:rsidP="002C4A97">
            <w:pPr>
              <w:pBdr>
                <w:bottom w:val="single" w:sz="4" w:space="0" w:color="000000"/>
              </w:pBdr>
              <w:spacing w:before="40"/>
              <w:jc w:val="right"/>
              <w:rPr>
                <w:sz w:val="22"/>
                <w:szCs w:val="22"/>
              </w:rPr>
            </w:pPr>
            <w:r>
              <w:rPr>
                <w:sz w:val="22"/>
                <w:szCs w:val="22"/>
              </w:rPr>
              <w:t>(</w:t>
            </w:r>
            <w:r>
              <w:rPr>
                <w:rFonts w:hint="cs"/>
                <w:sz w:val="22"/>
                <w:szCs w:val="22"/>
                <w:rtl/>
                <w:lang w:bidi="he-IL"/>
              </w:rPr>
              <w:t>2</w:t>
            </w:r>
            <w:r>
              <w:rPr>
                <w:sz w:val="22"/>
                <w:szCs w:val="22"/>
              </w:rPr>
              <w:t>,</w:t>
            </w:r>
            <w:r>
              <w:rPr>
                <w:rFonts w:hint="cs"/>
                <w:sz w:val="22"/>
                <w:szCs w:val="22"/>
                <w:rtl/>
                <w:lang w:bidi="he-IL"/>
              </w:rPr>
              <w:t>541</w:t>
            </w:r>
            <w:r>
              <w:rPr>
                <w:sz w:val="22"/>
                <w:szCs w:val="22"/>
              </w:rPr>
              <w:t>)</w:t>
            </w:r>
          </w:p>
        </w:tc>
        <w:tc>
          <w:tcPr>
            <w:tcW w:w="1417" w:type="dxa"/>
            <w:shd w:val="clear" w:color="auto" w:fill="auto"/>
            <w:noWrap/>
            <w:vAlign w:val="bottom"/>
          </w:tcPr>
          <w:p w14:paraId="0B4C5D03" w14:textId="6D6C7B4B" w:rsidR="002C4A97" w:rsidRPr="008D69AD" w:rsidRDefault="002C4A97" w:rsidP="002C4A97">
            <w:pPr>
              <w:pBdr>
                <w:bottom w:val="single" w:sz="4" w:space="0" w:color="000000"/>
              </w:pBdr>
              <w:spacing w:before="40"/>
              <w:jc w:val="right"/>
              <w:rPr>
                <w:sz w:val="22"/>
                <w:szCs w:val="22"/>
              </w:rPr>
            </w:pPr>
            <w:r w:rsidRPr="00543265">
              <w:rPr>
                <w:sz w:val="22"/>
                <w:szCs w:val="22"/>
              </w:rPr>
              <w:t>(1,854)</w:t>
            </w:r>
          </w:p>
        </w:tc>
      </w:tr>
      <w:tr w:rsidR="002C4A97" w:rsidRPr="002B51C1" w14:paraId="09609BE9" w14:textId="77777777" w:rsidTr="005101BC">
        <w:trPr>
          <w:trHeight w:val="373"/>
        </w:trPr>
        <w:tc>
          <w:tcPr>
            <w:tcW w:w="4808" w:type="dxa"/>
            <w:shd w:val="clear" w:color="auto" w:fill="auto"/>
            <w:vAlign w:val="bottom"/>
            <w:hideMark/>
          </w:tcPr>
          <w:p w14:paraId="031A7726" w14:textId="77777777" w:rsidR="002C4A97" w:rsidRPr="002B51C1" w:rsidRDefault="002C4A97" w:rsidP="002C4A97">
            <w:pPr>
              <w:spacing w:before="40"/>
              <w:jc w:val="right"/>
              <w:rPr>
                <w:rFonts w:ascii="Arial" w:eastAsia="Arial" w:hAnsi="Arial" w:cs="Arial"/>
                <w:sz w:val="22"/>
                <w:szCs w:val="22"/>
              </w:rPr>
            </w:pPr>
          </w:p>
        </w:tc>
        <w:tc>
          <w:tcPr>
            <w:tcW w:w="1358" w:type="dxa"/>
            <w:shd w:val="clear" w:color="auto" w:fill="auto"/>
            <w:noWrap/>
            <w:vAlign w:val="bottom"/>
          </w:tcPr>
          <w:p w14:paraId="295996D7" w14:textId="0592BFC6" w:rsidR="002C4A97" w:rsidRPr="002C4A97" w:rsidRDefault="002C4A97" w:rsidP="002C4A97">
            <w:pPr>
              <w:pBdr>
                <w:bottom w:val="single" w:sz="4" w:space="1" w:color="auto"/>
              </w:pBdr>
              <w:tabs>
                <w:tab w:val="center" w:pos="571"/>
                <w:tab w:val="right" w:pos="1142"/>
              </w:tabs>
              <w:spacing w:before="40"/>
              <w:jc w:val="right"/>
              <w:rPr>
                <w:sz w:val="22"/>
                <w:szCs w:val="22"/>
              </w:rPr>
            </w:pPr>
            <w:r w:rsidRPr="002C4A97">
              <w:rPr>
                <w:sz w:val="22"/>
                <w:szCs w:val="22"/>
              </w:rPr>
              <w:t>(2,569)</w:t>
            </w:r>
          </w:p>
        </w:tc>
        <w:tc>
          <w:tcPr>
            <w:tcW w:w="1335" w:type="dxa"/>
            <w:shd w:val="clear" w:color="auto" w:fill="auto"/>
            <w:noWrap/>
            <w:vAlign w:val="bottom"/>
          </w:tcPr>
          <w:p w14:paraId="6CFC8C20" w14:textId="75C2E853" w:rsidR="002C4A97" w:rsidRPr="00543265" w:rsidRDefault="002C4A97" w:rsidP="002C4A97">
            <w:pPr>
              <w:pBdr>
                <w:bottom w:val="single" w:sz="4" w:space="1" w:color="auto"/>
              </w:pBdr>
              <w:spacing w:before="40"/>
              <w:jc w:val="right"/>
              <w:rPr>
                <w:sz w:val="22"/>
                <w:szCs w:val="22"/>
              </w:rPr>
            </w:pPr>
            <w:r>
              <w:rPr>
                <w:sz w:val="22"/>
                <w:szCs w:val="22"/>
              </w:rPr>
              <w:t>(2,821)</w:t>
            </w:r>
          </w:p>
        </w:tc>
        <w:tc>
          <w:tcPr>
            <w:tcW w:w="1417" w:type="dxa"/>
            <w:shd w:val="clear" w:color="auto" w:fill="auto"/>
            <w:noWrap/>
            <w:vAlign w:val="bottom"/>
          </w:tcPr>
          <w:p w14:paraId="2F988630" w14:textId="2C1D5A42" w:rsidR="002C4A97" w:rsidRPr="002B51C1" w:rsidRDefault="002C4A97" w:rsidP="002C4A97">
            <w:pPr>
              <w:pBdr>
                <w:bottom w:val="single" w:sz="4" w:space="1" w:color="auto"/>
              </w:pBdr>
              <w:spacing w:before="40"/>
              <w:jc w:val="right"/>
              <w:rPr>
                <w:sz w:val="22"/>
                <w:szCs w:val="22"/>
              </w:rPr>
            </w:pPr>
            <w:r w:rsidRPr="00543265">
              <w:rPr>
                <w:sz w:val="22"/>
                <w:szCs w:val="22"/>
              </w:rPr>
              <w:t>(4,222)</w:t>
            </w:r>
          </w:p>
        </w:tc>
      </w:tr>
    </w:tbl>
    <w:p w14:paraId="58B20638" w14:textId="66F33FE4" w:rsidR="00C52BA0" w:rsidRDefault="00C52BA0" w:rsidP="00F3746F">
      <w:pPr>
        <w:rPr>
          <w:b/>
          <w:bCs/>
          <w:sz w:val="26"/>
          <w:szCs w:val="26"/>
        </w:rPr>
      </w:pPr>
    </w:p>
    <w:p w14:paraId="5EB64B7A" w14:textId="2F90870D" w:rsidR="00030CEF" w:rsidRPr="00543265" w:rsidRDefault="00030CEF" w:rsidP="00C01E5D">
      <w:pPr>
        <w:outlineLvl w:val="2"/>
        <w:rPr>
          <w:b/>
          <w:bCs/>
          <w:sz w:val="22"/>
          <w:szCs w:val="22"/>
        </w:rPr>
      </w:pPr>
      <w:bookmarkStart w:id="179" w:name="H3_Note_19__Net_Financing_Costs"/>
      <w:r w:rsidRPr="00543265">
        <w:rPr>
          <w:b/>
          <w:bCs/>
          <w:sz w:val="22"/>
          <w:szCs w:val="22"/>
        </w:rPr>
        <w:t xml:space="preserve">Note </w:t>
      </w:r>
      <w:r w:rsidR="009971CB" w:rsidRPr="00543265">
        <w:rPr>
          <w:b/>
          <w:bCs/>
          <w:sz w:val="22"/>
          <w:szCs w:val="22"/>
        </w:rPr>
        <w:t xml:space="preserve">19 </w:t>
      </w:r>
      <w:r w:rsidRPr="00543265">
        <w:rPr>
          <w:b/>
          <w:bCs/>
          <w:sz w:val="22"/>
          <w:szCs w:val="22"/>
        </w:rPr>
        <w:t>- Net Financing Costs</w:t>
      </w:r>
    </w:p>
    <w:bookmarkEnd w:id="179"/>
    <w:p w14:paraId="127A8281" w14:textId="77777777" w:rsidR="00030CEF" w:rsidRPr="00340F50" w:rsidRDefault="00030CEF" w:rsidP="00030CEF">
      <w:pPr>
        <w:ind w:left="720"/>
        <w:rPr>
          <w:sz w:val="12"/>
          <w:szCs w:val="12"/>
          <w:rtl/>
          <w:lang w:bidi="he-IL"/>
        </w:rPr>
      </w:pPr>
    </w:p>
    <w:p w14:paraId="00ED5A05" w14:textId="77777777" w:rsidR="00030CEF" w:rsidRPr="00F02921" w:rsidRDefault="00030CEF" w:rsidP="00030CEF">
      <w:pPr>
        <w:ind w:left="720"/>
        <w:rPr>
          <w:rStyle w:val="Koteret"/>
          <w:b w:val="0"/>
          <w:bCs/>
          <w:i/>
          <w:iCs/>
        </w:rPr>
      </w:pPr>
      <w:r w:rsidRPr="00F02921">
        <w:rPr>
          <w:rStyle w:val="Koteret"/>
          <w:b w:val="0"/>
          <w:bCs/>
          <w:i/>
          <w:iCs/>
        </w:rPr>
        <w:t>In thousands of Euros</w:t>
      </w:r>
    </w:p>
    <w:tbl>
      <w:tblPr>
        <w:tblW w:w="8929" w:type="dxa"/>
        <w:tblInd w:w="720" w:type="dxa"/>
        <w:tblLayout w:type="fixed"/>
        <w:tblLook w:val="06A0" w:firstRow="1" w:lastRow="0" w:firstColumn="1" w:lastColumn="0" w:noHBand="1" w:noVBand="1"/>
        <w:tblCaption w:val="AHR02"/>
        <w:tblDescription w:val="Net Financing Costs"/>
      </w:tblPr>
      <w:tblGrid>
        <w:gridCol w:w="5102"/>
        <w:gridCol w:w="1276"/>
        <w:gridCol w:w="1275"/>
        <w:gridCol w:w="1276"/>
      </w:tblGrid>
      <w:tr w:rsidR="00030CEF" w:rsidRPr="002B51C1" w14:paraId="0A8B8AE1" w14:textId="77777777" w:rsidTr="005101BC">
        <w:trPr>
          <w:cantSplit/>
          <w:trHeight w:val="283"/>
          <w:tblHeader/>
        </w:trPr>
        <w:tc>
          <w:tcPr>
            <w:tcW w:w="5102" w:type="dxa"/>
            <w:shd w:val="clear" w:color="auto" w:fill="auto"/>
            <w:vAlign w:val="bottom"/>
            <w:hideMark/>
          </w:tcPr>
          <w:p w14:paraId="2CA32C69" w14:textId="77777777" w:rsidR="00030CEF" w:rsidRPr="002B51C1" w:rsidRDefault="00030CEF" w:rsidP="00030CEF">
            <w:pPr>
              <w:spacing w:before="40"/>
              <w:rPr>
                <w:rFonts w:ascii="Arial" w:eastAsia="Arial" w:hAnsi="Arial" w:cs="Arial"/>
                <w:sz w:val="20"/>
              </w:rPr>
            </w:pPr>
            <w:bookmarkStart w:id="180" w:name="Title_43" w:colFirst="0" w:colLast="0"/>
          </w:p>
        </w:tc>
        <w:tc>
          <w:tcPr>
            <w:tcW w:w="3827" w:type="dxa"/>
            <w:gridSpan w:val="3"/>
            <w:shd w:val="clear" w:color="auto" w:fill="auto"/>
            <w:vAlign w:val="bottom"/>
            <w:hideMark/>
          </w:tcPr>
          <w:p w14:paraId="0AEB93A3" w14:textId="77777777" w:rsidR="00030CEF" w:rsidRPr="002B51C1" w:rsidRDefault="00030CEF" w:rsidP="00543265">
            <w:pPr>
              <w:pBdr>
                <w:bottom w:val="single" w:sz="4" w:space="0" w:color="000000"/>
              </w:pBdr>
              <w:spacing w:before="40"/>
              <w:jc w:val="center"/>
              <w:rPr>
                <w:b/>
                <w:bCs/>
                <w:sz w:val="20"/>
              </w:rPr>
            </w:pPr>
            <w:r w:rsidRPr="002B51C1">
              <w:rPr>
                <w:b/>
                <w:bCs/>
                <w:color w:val="000000"/>
                <w:sz w:val="20"/>
              </w:rPr>
              <w:t>For the year ended December 31</w:t>
            </w:r>
            <w:r>
              <w:rPr>
                <w:b/>
                <w:bCs/>
                <w:sz w:val="20"/>
              </w:rPr>
              <w:t>,</w:t>
            </w:r>
          </w:p>
        </w:tc>
      </w:tr>
      <w:bookmarkEnd w:id="180"/>
      <w:tr w:rsidR="00AF1F66" w:rsidRPr="002B51C1" w14:paraId="4876AB6E" w14:textId="77777777" w:rsidTr="005101BC">
        <w:trPr>
          <w:cantSplit/>
          <w:trHeight w:val="283"/>
          <w:tblHeader/>
        </w:trPr>
        <w:tc>
          <w:tcPr>
            <w:tcW w:w="5102" w:type="dxa"/>
            <w:shd w:val="clear" w:color="auto" w:fill="auto"/>
            <w:vAlign w:val="bottom"/>
            <w:hideMark/>
          </w:tcPr>
          <w:p w14:paraId="265B8D7A" w14:textId="77777777" w:rsidR="00AF1F66" w:rsidRPr="002B51C1" w:rsidRDefault="00AF1F66" w:rsidP="00AF1F66">
            <w:pPr>
              <w:spacing w:before="40"/>
              <w:rPr>
                <w:rFonts w:ascii="Arial" w:eastAsia="Arial" w:hAnsi="Arial" w:cs="Arial"/>
                <w:sz w:val="20"/>
              </w:rPr>
            </w:pPr>
          </w:p>
        </w:tc>
        <w:tc>
          <w:tcPr>
            <w:tcW w:w="1276" w:type="dxa"/>
            <w:shd w:val="clear" w:color="auto" w:fill="auto"/>
            <w:vAlign w:val="bottom"/>
            <w:hideMark/>
          </w:tcPr>
          <w:p w14:paraId="214F5834" w14:textId="5367F030" w:rsidR="00AF1F66" w:rsidRPr="002B51C1" w:rsidRDefault="00C52BA0" w:rsidP="00C52BA0">
            <w:pPr>
              <w:pBdr>
                <w:bottom w:val="single" w:sz="4" w:space="0" w:color="000000"/>
              </w:pBdr>
              <w:spacing w:before="40"/>
              <w:ind w:left="57"/>
              <w:jc w:val="center"/>
              <w:rPr>
                <w:b/>
                <w:bCs/>
                <w:sz w:val="20"/>
              </w:rPr>
            </w:pPr>
            <w:r>
              <w:rPr>
                <w:b/>
                <w:bCs/>
                <w:color w:val="000000"/>
                <w:sz w:val="20"/>
              </w:rPr>
              <w:t>2024</w:t>
            </w:r>
          </w:p>
        </w:tc>
        <w:tc>
          <w:tcPr>
            <w:tcW w:w="1275" w:type="dxa"/>
            <w:shd w:val="clear" w:color="auto" w:fill="auto"/>
            <w:vAlign w:val="bottom"/>
            <w:hideMark/>
          </w:tcPr>
          <w:p w14:paraId="7BF77AAC" w14:textId="73CF1888" w:rsidR="00AF1F66" w:rsidRPr="002B51C1" w:rsidRDefault="00C52BA0" w:rsidP="00C52BA0">
            <w:pPr>
              <w:pBdr>
                <w:bottom w:val="single" w:sz="4" w:space="0" w:color="000000"/>
              </w:pBdr>
              <w:spacing w:before="40"/>
              <w:ind w:left="57"/>
              <w:jc w:val="center"/>
              <w:rPr>
                <w:b/>
                <w:bCs/>
                <w:sz w:val="20"/>
              </w:rPr>
            </w:pPr>
            <w:r>
              <w:rPr>
                <w:b/>
                <w:bCs/>
                <w:color w:val="000000"/>
                <w:sz w:val="20"/>
              </w:rPr>
              <w:t>2023</w:t>
            </w:r>
          </w:p>
        </w:tc>
        <w:tc>
          <w:tcPr>
            <w:tcW w:w="1276" w:type="dxa"/>
            <w:shd w:val="clear" w:color="auto" w:fill="auto"/>
            <w:vAlign w:val="bottom"/>
            <w:hideMark/>
          </w:tcPr>
          <w:p w14:paraId="602A0E62" w14:textId="57E69D37" w:rsidR="00AF1F66" w:rsidRPr="002B51C1" w:rsidRDefault="00C52BA0" w:rsidP="00C52BA0">
            <w:pPr>
              <w:pBdr>
                <w:bottom w:val="single" w:sz="4" w:space="0" w:color="000000"/>
              </w:pBdr>
              <w:spacing w:before="40"/>
              <w:ind w:left="57"/>
              <w:jc w:val="center"/>
              <w:rPr>
                <w:b/>
                <w:bCs/>
                <w:sz w:val="20"/>
              </w:rPr>
            </w:pPr>
            <w:r>
              <w:rPr>
                <w:b/>
                <w:bCs/>
                <w:color w:val="000000"/>
                <w:sz w:val="20"/>
              </w:rPr>
              <w:t>2022</w:t>
            </w:r>
          </w:p>
        </w:tc>
      </w:tr>
      <w:tr w:rsidR="00D058CA" w:rsidRPr="002B51C1" w14:paraId="5FFC5DA6" w14:textId="77777777" w:rsidTr="005101BC">
        <w:trPr>
          <w:trHeight w:val="283"/>
        </w:trPr>
        <w:tc>
          <w:tcPr>
            <w:tcW w:w="5102" w:type="dxa"/>
            <w:shd w:val="clear" w:color="auto" w:fill="auto"/>
            <w:vAlign w:val="bottom"/>
            <w:hideMark/>
          </w:tcPr>
          <w:p w14:paraId="0B9B6F09" w14:textId="2D4FD933" w:rsidR="00D058CA" w:rsidRPr="002B51C1" w:rsidRDefault="00D058CA" w:rsidP="00D058CA">
            <w:pPr>
              <w:spacing w:before="40"/>
              <w:rPr>
                <w:sz w:val="22"/>
                <w:szCs w:val="22"/>
              </w:rPr>
            </w:pPr>
            <w:r w:rsidRPr="003A49C4">
              <w:rPr>
                <w:color w:val="000000"/>
                <w:sz w:val="22"/>
                <w:szCs w:val="22"/>
              </w:rPr>
              <w:t>Bank interest expense (Gross)</w:t>
            </w:r>
          </w:p>
        </w:tc>
        <w:tc>
          <w:tcPr>
            <w:tcW w:w="1276" w:type="dxa"/>
            <w:shd w:val="clear" w:color="auto" w:fill="auto"/>
            <w:noWrap/>
            <w:vAlign w:val="bottom"/>
          </w:tcPr>
          <w:p w14:paraId="64FF581A" w14:textId="3932CFFA" w:rsidR="00D058CA" w:rsidRPr="00D058CA" w:rsidRDefault="00D058CA" w:rsidP="00D058CA">
            <w:pPr>
              <w:spacing w:before="40"/>
              <w:jc w:val="right"/>
              <w:rPr>
                <w:b/>
                <w:bCs/>
                <w:sz w:val="22"/>
                <w:szCs w:val="22"/>
              </w:rPr>
            </w:pPr>
            <w:r w:rsidRPr="00D058CA">
              <w:rPr>
                <w:sz w:val="22"/>
                <w:szCs w:val="22"/>
              </w:rPr>
              <w:t>56,922</w:t>
            </w:r>
          </w:p>
        </w:tc>
        <w:tc>
          <w:tcPr>
            <w:tcW w:w="1275" w:type="dxa"/>
            <w:shd w:val="clear" w:color="auto" w:fill="auto"/>
            <w:noWrap/>
            <w:vAlign w:val="bottom"/>
          </w:tcPr>
          <w:p w14:paraId="32E3C140" w14:textId="0EA34EF6" w:rsidR="00D058CA" w:rsidRPr="00543265" w:rsidRDefault="00D058CA" w:rsidP="00D058CA">
            <w:pPr>
              <w:spacing w:before="40"/>
              <w:jc w:val="right"/>
              <w:rPr>
                <w:sz w:val="22"/>
                <w:szCs w:val="22"/>
              </w:rPr>
            </w:pPr>
            <w:r>
              <w:rPr>
                <w:sz w:val="22"/>
                <w:szCs w:val="22"/>
              </w:rPr>
              <w:t>45,277</w:t>
            </w:r>
          </w:p>
        </w:tc>
        <w:tc>
          <w:tcPr>
            <w:tcW w:w="1276" w:type="dxa"/>
            <w:shd w:val="clear" w:color="auto" w:fill="auto"/>
            <w:noWrap/>
            <w:vAlign w:val="bottom"/>
          </w:tcPr>
          <w:p w14:paraId="66798BFD" w14:textId="178DC774" w:rsidR="00D058CA" w:rsidRPr="002B51C1" w:rsidRDefault="00D058CA" w:rsidP="00D058CA">
            <w:pPr>
              <w:spacing w:before="40"/>
              <w:jc w:val="right"/>
              <w:rPr>
                <w:sz w:val="22"/>
                <w:szCs w:val="22"/>
              </w:rPr>
            </w:pPr>
            <w:r w:rsidRPr="00543265">
              <w:rPr>
                <w:sz w:val="22"/>
                <w:szCs w:val="22"/>
              </w:rPr>
              <w:t>24,097</w:t>
            </w:r>
          </w:p>
        </w:tc>
      </w:tr>
      <w:tr w:rsidR="00D058CA" w:rsidRPr="002B51C1" w14:paraId="20D29452" w14:textId="77777777" w:rsidTr="005101BC">
        <w:trPr>
          <w:trHeight w:val="283"/>
        </w:trPr>
        <w:tc>
          <w:tcPr>
            <w:tcW w:w="5102" w:type="dxa"/>
            <w:shd w:val="clear" w:color="auto" w:fill="auto"/>
            <w:vAlign w:val="bottom"/>
            <w:hideMark/>
          </w:tcPr>
          <w:p w14:paraId="6FA182FE" w14:textId="284B1E26" w:rsidR="00D058CA" w:rsidRPr="002B51C1" w:rsidRDefault="00D058CA" w:rsidP="00D058CA">
            <w:pPr>
              <w:spacing w:before="40"/>
              <w:rPr>
                <w:sz w:val="22"/>
                <w:szCs w:val="22"/>
              </w:rPr>
            </w:pPr>
            <w:r w:rsidRPr="003A49C4">
              <w:rPr>
                <w:color w:val="000000"/>
                <w:sz w:val="22"/>
                <w:szCs w:val="22"/>
              </w:rPr>
              <w:t>Interest expenses to AFI Properties (Gross)</w:t>
            </w:r>
          </w:p>
        </w:tc>
        <w:tc>
          <w:tcPr>
            <w:tcW w:w="1276" w:type="dxa"/>
            <w:shd w:val="clear" w:color="auto" w:fill="auto"/>
            <w:noWrap/>
            <w:vAlign w:val="bottom"/>
          </w:tcPr>
          <w:p w14:paraId="222B3460" w14:textId="4D7E24AD" w:rsidR="00D058CA" w:rsidRPr="00D058CA" w:rsidRDefault="00D058CA" w:rsidP="00D058CA">
            <w:pPr>
              <w:spacing w:before="40"/>
              <w:jc w:val="right"/>
              <w:rPr>
                <w:b/>
                <w:bCs/>
                <w:sz w:val="22"/>
                <w:szCs w:val="22"/>
              </w:rPr>
            </w:pPr>
            <w:r w:rsidRPr="00D058CA">
              <w:rPr>
                <w:sz w:val="22"/>
                <w:szCs w:val="22"/>
              </w:rPr>
              <w:t>57,909</w:t>
            </w:r>
          </w:p>
        </w:tc>
        <w:tc>
          <w:tcPr>
            <w:tcW w:w="1275" w:type="dxa"/>
            <w:shd w:val="clear" w:color="auto" w:fill="auto"/>
            <w:noWrap/>
            <w:vAlign w:val="bottom"/>
          </w:tcPr>
          <w:p w14:paraId="6E850224" w14:textId="35297C57" w:rsidR="00D058CA" w:rsidRPr="00543265" w:rsidRDefault="00D058CA" w:rsidP="00D058CA">
            <w:pPr>
              <w:spacing w:before="40"/>
              <w:jc w:val="right"/>
              <w:rPr>
                <w:sz w:val="22"/>
                <w:szCs w:val="22"/>
              </w:rPr>
            </w:pPr>
            <w:r>
              <w:rPr>
                <w:sz w:val="22"/>
                <w:szCs w:val="22"/>
              </w:rPr>
              <w:t>49,009</w:t>
            </w:r>
          </w:p>
        </w:tc>
        <w:tc>
          <w:tcPr>
            <w:tcW w:w="1276" w:type="dxa"/>
            <w:shd w:val="clear" w:color="auto" w:fill="auto"/>
            <w:noWrap/>
            <w:vAlign w:val="bottom"/>
          </w:tcPr>
          <w:p w14:paraId="7FB012EA" w14:textId="2D4D1A7A" w:rsidR="00D058CA" w:rsidRPr="002B51C1" w:rsidRDefault="00D058CA" w:rsidP="00D058CA">
            <w:pPr>
              <w:spacing w:before="40"/>
              <w:jc w:val="right"/>
              <w:rPr>
                <w:sz w:val="22"/>
                <w:szCs w:val="22"/>
              </w:rPr>
            </w:pPr>
            <w:r w:rsidRPr="00543265">
              <w:rPr>
                <w:sz w:val="22"/>
                <w:szCs w:val="22"/>
              </w:rPr>
              <w:t>25,457</w:t>
            </w:r>
          </w:p>
        </w:tc>
      </w:tr>
      <w:tr w:rsidR="00D058CA" w:rsidRPr="002B51C1" w14:paraId="20E619FA" w14:textId="77777777" w:rsidTr="005101BC">
        <w:trPr>
          <w:trHeight w:val="283"/>
        </w:trPr>
        <w:tc>
          <w:tcPr>
            <w:tcW w:w="5102" w:type="dxa"/>
            <w:shd w:val="clear" w:color="auto" w:fill="auto"/>
            <w:vAlign w:val="bottom"/>
            <w:hideMark/>
          </w:tcPr>
          <w:p w14:paraId="4990C443" w14:textId="77777777" w:rsidR="00D058CA" w:rsidRPr="002B51C1" w:rsidRDefault="00D058CA" w:rsidP="00D058CA">
            <w:pPr>
              <w:spacing w:before="40"/>
              <w:rPr>
                <w:sz w:val="22"/>
                <w:szCs w:val="22"/>
              </w:rPr>
            </w:pPr>
            <w:r w:rsidRPr="002B51C1">
              <w:rPr>
                <w:color w:val="000000"/>
                <w:sz w:val="22"/>
                <w:szCs w:val="22"/>
              </w:rPr>
              <w:t>Leasing interest</w:t>
            </w:r>
          </w:p>
        </w:tc>
        <w:tc>
          <w:tcPr>
            <w:tcW w:w="1276" w:type="dxa"/>
            <w:shd w:val="clear" w:color="auto" w:fill="auto"/>
            <w:noWrap/>
            <w:vAlign w:val="bottom"/>
          </w:tcPr>
          <w:p w14:paraId="51C61A33" w14:textId="0CA1763C" w:rsidR="00D058CA" w:rsidRPr="00D058CA" w:rsidRDefault="00D058CA" w:rsidP="00D058CA">
            <w:pPr>
              <w:spacing w:before="40"/>
              <w:jc w:val="right"/>
              <w:rPr>
                <w:b/>
                <w:bCs/>
                <w:sz w:val="22"/>
                <w:szCs w:val="22"/>
              </w:rPr>
            </w:pPr>
            <w:r w:rsidRPr="00D058CA">
              <w:rPr>
                <w:sz w:val="22"/>
                <w:szCs w:val="22"/>
              </w:rPr>
              <w:t>2,780</w:t>
            </w:r>
          </w:p>
        </w:tc>
        <w:tc>
          <w:tcPr>
            <w:tcW w:w="1275" w:type="dxa"/>
            <w:shd w:val="clear" w:color="auto" w:fill="auto"/>
            <w:noWrap/>
            <w:vAlign w:val="bottom"/>
          </w:tcPr>
          <w:p w14:paraId="37E80AE4" w14:textId="01FD79B7" w:rsidR="00D058CA" w:rsidRPr="00543265" w:rsidRDefault="00D058CA" w:rsidP="00D058CA">
            <w:pPr>
              <w:spacing w:before="40"/>
              <w:jc w:val="right"/>
              <w:rPr>
                <w:sz w:val="22"/>
                <w:szCs w:val="22"/>
              </w:rPr>
            </w:pPr>
            <w:r>
              <w:rPr>
                <w:sz w:val="22"/>
                <w:szCs w:val="22"/>
              </w:rPr>
              <w:t>4,688</w:t>
            </w:r>
          </w:p>
        </w:tc>
        <w:tc>
          <w:tcPr>
            <w:tcW w:w="1276" w:type="dxa"/>
            <w:shd w:val="clear" w:color="auto" w:fill="auto"/>
            <w:noWrap/>
            <w:vAlign w:val="bottom"/>
          </w:tcPr>
          <w:p w14:paraId="5BF6AA0A" w14:textId="64CF22A9" w:rsidR="00D058CA" w:rsidRPr="002B51C1" w:rsidRDefault="00D058CA" w:rsidP="00D058CA">
            <w:pPr>
              <w:spacing w:before="40"/>
              <w:jc w:val="right"/>
              <w:rPr>
                <w:sz w:val="22"/>
                <w:szCs w:val="22"/>
              </w:rPr>
            </w:pPr>
            <w:r w:rsidRPr="00543265">
              <w:rPr>
                <w:sz w:val="22"/>
                <w:szCs w:val="22"/>
              </w:rPr>
              <w:t>1,249</w:t>
            </w:r>
          </w:p>
        </w:tc>
      </w:tr>
      <w:tr w:rsidR="00D058CA" w:rsidRPr="002B51C1" w14:paraId="0BD105E6" w14:textId="77777777" w:rsidTr="005101BC">
        <w:trPr>
          <w:trHeight w:val="283"/>
        </w:trPr>
        <w:tc>
          <w:tcPr>
            <w:tcW w:w="5102" w:type="dxa"/>
            <w:shd w:val="clear" w:color="auto" w:fill="auto"/>
            <w:vAlign w:val="bottom"/>
            <w:hideMark/>
          </w:tcPr>
          <w:p w14:paraId="367F4537" w14:textId="0BDCDBE7" w:rsidR="00D058CA" w:rsidRPr="002B51C1" w:rsidRDefault="00D058CA" w:rsidP="00D058CA">
            <w:pPr>
              <w:spacing w:before="40"/>
              <w:rPr>
                <w:sz w:val="22"/>
                <w:szCs w:val="22"/>
              </w:rPr>
            </w:pPr>
            <w:r w:rsidRPr="003A49C4">
              <w:rPr>
                <w:color w:val="000000"/>
                <w:sz w:val="22"/>
                <w:szCs w:val="22"/>
              </w:rPr>
              <w:t>Net foreign exchange loss (profit)</w:t>
            </w:r>
          </w:p>
        </w:tc>
        <w:tc>
          <w:tcPr>
            <w:tcW w:w="1276" w:type="dxa"/>
            <w:shd w:val="clear" w:color="auto" w:fill="auto"/>
            <w:noWrap/>
            <w:vAlign w:val="bottom"/>
          </w:tcPr>
          <w:p w14:paraId="4B8F2E10" w14:textId="55C8A394" w:rsidR="00D058CA" w:rsidRPr="00D058CA" w:rsidRDefault="00D058CA" w:rsidP="00D058CA">
            <w:pPr>
              <w:spacing w:before="40"/>
              <w:jc w:val="right"/>
              <w:rPr>
                <w:b/>
                <w:bCs/>
                <w:sz w:val="22"/>
                <w:szCs w:val="22"/>
              </w:rPr>
            </w:pPr>
            <w:r w:rsidRPr="00D058CA">
              <w:rPr>
                <w:sz w:val="22"/>
                <w:szCs w:val="22"/>
              </w:rPr>
              <w:t>5,546</w:t>
            </w:r>
          </w:p>
        </w:tc>
        <w:tc>
          <w:tcPr>
            <w:tcW w:w="1275" w:type="dxa"/>
            <w:shd w:val="clear" w:color="auto" w:fill="auto"/>
            <w:noWrap/>
            <w:vAlign w:val="bottom"/>
          </w:tcPr>
          <w:p w14:paraId="4EE708E8" w14:textId="7971A7E6" w:rsidR="00D058CA" w:rsidRPr="00543265" w:rsidRDefault="00D058CA" w:rsidP="00D058CA">
            <w:pPr>
              <w:spacing w:before="40"/>
              <w:jc w:val="right"/>
              <w:rPr>
                <w:sz w:val="22"/>
                <w:szCs w:val="22"/>
              </w:rPr>
            </w:pPr>
            <w:r>
              <w:rPr>
                <w:sz w:val="22"/>
                <w:szCs w:val="22"/>
              </w:rPr>
              <w:t>(6,701)</w:t>
            </w:r>
          </w:p>
        </w:tc>
        <w:tc>
          <w:tcPr>
            <w:tcW w:w="1276" w:type="dxa"/>
            <w:shd w:val="clear" w:color="auto" w:fill="auto"/>
            <w:noWrap/>
            <w:vAlign w:val="bottom"/>
          </w:tcPr>
          <w:p w14:paraId="104D981B" w14:textId="627F5F76" w:rsidR="00D058CA" w:rsidRPr="002B51C1" w:rsidRDefault="00D058CA" w:rsidP="00D058CA">
            <w:pPr>
              <w:spacing w:before="40"/>
              <w:jc w:val="right"/>
              <w:rPr>
                <w:sz w:val="22"/>
                <w:szCs w:val="22"/>
              </w:rPr>
            </w:pPr>
            <w:r w:rsidRPr="00543265">
              <w:rPr>
                <w:sz w:val="22"/>
                <w:szCs w:val="22"/>
              </w:rPr>
              <w:t>(7,069)</w:t>
            </w:r>
          </w:p>
        </w:tc>
      </w:tr>
      <w:tr w:rsidR="00D058CA" w:rsidRPr="002B51C1" w14:paraId="0D6CE9FC" w14:textId="77777777" w:rsidTr="005101BC">
        <w:trPr>
          <w:trHeight w:val="283"/>
        </w:trPr>
        <w:tc>
          <w:tcPr>
            <w:tcW w:w="5102" w:type="dxa"/>
            <w:shd w:val="clear" w:color="auto" w:fill="auto"/>
            <w:vAlign w:val="bottom"/>
          </w:tcPr>
          <w:p w14:paraId="12AD7A26" w14:textId="0991422E" w:rsidR="00D058CA" w:rsidRPr="003A49C4" w:rsidRDefault="00D058CA" w:rsidP="00D058CA">
            <w:pPr>
              <w:spacing w:before="40"/>
              <w:rPr>
                <w:color w:val="000000"/>
                <w:sz w:val="22"/>
                <w:szCs w:val="22"/>
                <w:highlight w:val="yellow"/>
              </w:rPr>
            </w:pPr>
            <w:r>
              <w:rPr>
                <w:color w:val="000000"/>
                <w:sz w:val="22"/>
                <w:szCs w:val="22"/>
              </w:rPr>
              <w:t>Loss (g</w:t>
            </w:r>
            <w:r w:rsidRPr="00723C15">
              <w:rPr>
                <w:color w:val="000000"/>
                <w:sz w:val="22"/>
                <w:szCs w:val="22"/>
              </w:rPr>
              <w:t>ain</w:t>
            </w:r>
            <w:r>
              <w:rPr>
                <w:color w:val="000000"/>
                <w:sz w:val="22"/>
                <w:szCs w:val="22"/>
              </w:rPr>
              <w:t>)</w:t>
            </w:r>
            <w:r w:rsidRPr="00723C15">
              <w:rPr>
                <w:color w:val="000000"/>
                <w:sz w:val="22"/>
                <w:szCs w:val="22"/>
              </w:rPr>
              <w:t xml:space="preserve"> from cash flow hedges</w:t>
            </w:r>
          </w:p>
        </w:tc>
        <w:tc>
          <w:tcPr>
            <w:tcW w:w="1276" w:type="dxa"/>
            <w:shd w:val="clear" w:color="auto" w:fill="auto"/>
            <w:noWrap/>
            <w:vAlign w:val="bottom"/>
          </w:tcPr>
          <w:p w14:paraId="2433C6CB" w14:textId="456FA7D2" w:rsidR="00D058CA" w:rsidRPr="00D058CA" w:rsidRDefault="00D058CA" w:rsidP="00D058CA">
            <w:pPr>
              <w:spacing w:before="40"/>
              <w:jc w:val="right"/>
              <w:rPr>
                <w:b/>
                <w:bCs/>
                <w:sz w:val="22"/>
                <w:szCs w:val="22"/>
              </w:rPr>
            </w:pPr>
            <w:r w:rsidRPr="00D058CA">
              <w:rPr>
                <w:sz w:val="22"/>
                <w:szCs w:val="22"/>
              </w:rPr>
              <w:t>509</w:t>
            </w:r>
          </w:p>
        </w:tc>
        <w:tc>
          <w:tcPr>
            <w:tcW w:w="1275" w:type="dxa"/>
            <w:shd w:val="clear" w:color="auto" w:fill="auto"/>
            <w:noWrap/>
            <w:vAlign w:val="bottom"/>
          </w:tcPr>
          <w:p w14:paraId="715E1C0E" w14:textId="4B7E17EB" w:rsidR="00D058CA" w:rsidRPr="00543265" w:rsidRDefault="00D058CA" w:rsidP="00D058CA">
            <w:pPr>
              <w:spacing w:before="40"/>
              <w:jc w:val="right"/>
              <w:rPr>
                <w:sz w:val="22"/>
                <w:szCs w:val="22"/>
              </w:rPr>
            </w:pPr>
            <w:r>
              <w:rPr>
                <w:sz w:val="22"/>
                <w:szCs w:val="22"/>
              </w:rPr>
              <w:t>12,368</w:t>
            </w:r>
          </w:p>
        </w:tc>
        <w:tc>
          <w:tcPr>
            <w:tcW w:w="1276" w:type="dxa"/>
            <w:shd w:val="clear" w:color="auto" w:fill="auto"/>
            <w:noWrap/>
            <w:vAlign w:val="bottom"/>
          </w:tcPr>
          <w:p w14:paraId="42673BC6" w14:textId="2650CB2B" w:rsidR="00D058CA" w:rsidRPr="00C9343E" w:rsidRDefault="00D058CA" w:rsidP="00D058CA">
            <w:pPr>
              <w:spacing w:before="40"/>
              <w:jc w:val="right"/>
              <w:rPr>
                <w:sz w:val="22"/>
                <w:szCs w:val="22"/>
              </w:rPr>
            </w:pPr>
            <w:r w:rsidRPr="00543265">
              <w:rPr>
                <w:sz w:val="22"/>
                <w:szCs w:val="22"/>
              </w:rPr>
              <w:t>(4,316)</w:t>
            </w:r>
          </w:p>
        </w:tc>
      </w:tr>
      <w:tr w:rsidR="00D058CA" w:rsidRPr="002B51C1" w14:paraId="1D09E0DD" w14:textId="77777777" w:rsidTr="005101BC">
        <w:trPr>
          <w:trHeight w:val="283"/>
        </w:trPr>
        <w:tc>
          <w:tcPr>
            <w:tcW w:w="5102" w:type="dxa"/>
            <w:shd w:val="clear" w:color="auto" w:fill="auto"/>
            <w:vAlign w:val="bottom"/>
            <w:hideMark/>
          </w:tcPr>
          <w:p w14:paraId="298D1934" w14:textId="6FD509A9" w:rsidR="00D058CA" w:rsidRPr="002B51C1" w:rsidRDefault="00D058CA" w:rsidP="00D058CA">
            <w:pPr>
              <w:spacing w:before="40"/>
              <w:rPr>
                <w:sz w:val="22"/>
                <w:szCs w:val="22"/>
              </w:rPr>
            </w:pPr>
            <w:r w:rsidRPr="002B51C1">
              <w:rPr>
                <w:color w:val="000000"/>
                <w:sz w:val="22"/>
                <w:szCs w:val="22"/>
              </w:rPr>
              <w:t xml:space="preserve">Commitments and other financing </w:t>
            </w:r>
            <w:r>
              <w:rPr>
                <w:color w:val="000000"/>
                <w:sz w:val="22"/>
                <w:szCs w:val="22"/>
              </w:rPr>
              <w:t>costs</w:t>
            </w:r>
            <w:r w:rsidRPr="002B51C1">
              <w:rPr>
                <w:color w:val="000000"/>
                <w:sz w:val="22"/>
                <w:szCs w:val="22"/>
              </w:rPr>
              <w:t xml:space="preserve"> </w:t>
            </w:r>
          </w:p>
        </w:tc>
        <w:tc>
          <w:tcPr>
            <w:tcW w:w="1276" w:type="dxa"/>
            <w:shd w:val="clear" w:color="auto" w:fill="auto"/>
            <w:noWrap/>
            <w:vAlign w:val="bottom"/>
          </w:tcPr>
          <w:p w14:paraId="250CB28A" w14:textId="1A1EAEBB" w:rsidR="00D058CA" w:rsidRPr="00D058CA" w:rsidRDefault="00D058CA" w:rsidP="00D058CA">
            <w:pPr>
              <w:spacing w:before="40"/>
              <w:jc w:val="right"/>
              <w:rPr>
                <w:b/>
                <w:bCs/>
                <w:sz w:val="22"/>
                <w:szCs w:val="22"/>
              </w:rPr>
            </w:pPr>
            <w:r w:rsidRPr="00D058CA">
              <w:rPr>
                <w:sz w:val="22"/>
                <w:szCs w:val="22"/>
              </w:rPr>
              <w:t>1,103</w:t>
            </w:r>
          </w:p>
        </w:tc>
        <w:tc>
          <w:tcPr>
            <w:tcW w:w="1275" w:type="dxa"/>
            <w:shd w:val="clear" w:color="auto" w:fill="auto"/>
            <w:noWrap/>
            <w:vAlign w:val="bottom"/>
          </w:tcPr>
          <w:p w14:paraId="732A1905" w14:textId="048EEF31" w:rsidR="00D058CA" w:rsidRPr="00543265" w:rsidRDefault="00D058CA" w:rsidP="00D058CA">
            <w:pPr>
              <w:spacing w:before="40"/>
              <w:jc w:val="right"/>
              <w:rPr>
                <w:sz w:val="22"/>
                <w:szCs w:val="22"/>
              </w:rPr>
            </w:pPr>
            <w:r>
              <w:rPr>
                <w:sz w:val="22"/>
                <w:szCs w:val="22"/>
              </w:rPr>
              <w:t>2,150</w:t>
            </w:r>
          </w:p>
        </w:tc>
        <w:tc>
          <w:tcPr>
            <w:tcW w:w="1276" w:type="dxa"/>
            <w:shd w:val="clear" w:color="auto" w:fill="auto"/>
            <w:noWrap/>
            <w:vAlign w:val="bottom"/>
          </w:tcPr>
          <w:p w14:paraId="310EBA32" w14:textId="54C85152" w:rsidR="00D058CA" w:rsidRPr="002B51C1" w:rsidRDefault="00D058CA" w:rsidP="00D058CA">
            <w:pPr>
              <w:bidi/>
              <w:rPr>
                <w:sz w:val="22"/>
                <w:szCs w:val="22"/>
              </w:rPr>
            </w:pPr>
            <w:r w:rsidRPr="00543265">
              <w:rPr>
                <w:sz w:val="22"/>
                <w:szCs w:val="22"/>
              </w:rPr>
              <w:t>902</w:t>
            </w:r>
          </w:p>
        </w:tc>
      </w:tr>
      <w:tr w:rsidR="00C52BA0" w:rsidRPr="002B51C1" w14:paraId="063A27A5" w14:textId="77777777" w:rsidTr="005101BC">
        <w:trPr>
          <w:trHeight w:val="283"/>
        </w:trPr>
        <w:tc>
          <w:tcPr>
            <w:tcW w:w="5102" w:type="dxa"/>
            <w:shd w:val="clear" w:color="auto" w:fill="auto"/>
            <w:vAlign w:val="bottom"/>
          </w:tcPr>
          <w:p w14:paraId="58410548" w14:textId="20AFE584" w:rsidR="00C52BA0" w:rsidRPr="00AD44AC" w:rsidRDefault="00C52BA0" w:rsidP="00C52BA0">
            <w:pPr>
              <w:spacing w:before="40"/>
              <w:rPr>
                <w:color w:val="000000"/>
                <w:sz w:val="22"/>
                <w:szCs w:val="22"/>
              </w:rPr>
            </w:pPr>
            <w:r w:rsidRPr="003A49C4">
              <w:rPr>
                <w:color w:val="000000"/>
                <w:sz w:val="22"/>
                <w:szCs w:val="22"/>
              </w:rPr>
              <w:t>Refinance fees</w:t>
            </w:r>
          </w:p>
        </w:tc>
        <w:tc>
          <w:tcPr>
            <w:tcW w:w="1276" w:type="dxa"/>
            <w:shd w:val="clear" w:color="auto" w:fill="auto"/>
            <w:noWrap/>
            <w:vAlign w:val="bottom"/>
          </w:tcPr>
          <w:p w14:paraId="517484E1" w14:textId="4DF8A129" w:rsidR="00C52BA0" w:rsidRPr="00D058CA" w:rsidRDefault="00D058CA" w:rsidP="00D058CA">
            <w:pPr>
              <w:spacing w:before="40"/>
              <w:jc w:val="right"/>
              <w:rPr>
                <w:b/>
                <w:bCs/>
                <w:sz w:val="22"/>
                <w:szCs w:val="22"/>
              </w:rPr>
            </w:pPr>
            <w:r w:rsidRPr="00D058CA">
              <w:rPr>
                <w:b/>
                <w:bCs/>
                <w:sz w:val="22"/>
                <w:szCs w:val="22"/>
              </w:rPr>
              <w:t>-</w:t>
            </w:r>
          </w:p>
        </w:tc>
        <w:tc>
          <w:tcPr>
            <w:tcW w:w="1275" w:type="dxa"/>
            <w:shd w:val="clear" w:color="auto" w:fill="auto"/>
            <w:noWrap/>
            <w:vAlign w:val="bottom"/>
          </w:tcPr>
          <w:p w14:paraId="7E1A90E3" w14:textId="23E4962D" w:rsidR="00C52BA0" w:rsidRPr="00543265" w:rsidRDefault="00C52BA0" w:rsidP="00C52BA0">
            <w:pPr>
              <w:spacing w:before="40"/>
              <w:jc w:val="right"/>
              <w:rPr>
                <w:sz w:val="22"/>
                <w:szCs w:val="22"/>
              </w:rPr>
            </w:pPr>
            <w:r>
              <w:rPr>
                <w:sz w:val="22"/>
                <w:szCs w:val="22"/>
              </w:rPr>
              <w:t>-</w:t>
            </w:r>
          </w:p>
        </w:tc>
        <w:tc>
          <w:tcPr>
            <w:tcW w:w="1276" w:type="dxa"/>
            <w:shd w:val="clear" w:color="auto" w:fill="auto"/>
            <w:noWrap/>
            <w:vAlign w:val="bottom"/>
          </w:tcPr>
          <w:p w14:paraId="5C355CE8" w14:textId="308A9432" w:rsidR="00C52BA0" w:rsidRPr="00003BBE" w:rsidRDefault="00C52BA0" w:rsidP="00C52BA0">
            <w:pPr>
              <w:spacing w:before="40"/>
              <w:jc w:val="right"/>
              <w:rPr>
                <w:sz w:val="22"/>
                <w:szCs w:val="22"/>
              </w:rPr>
            </w:pPr>
            <w:r w:rsidRPr="00543265">
              <w:rPr>
                <w:sz w:val="22"/>
                <w:szCs w:val="22"/>
              </w:rPr>
              <w:t>3,006</w:t>
            </w:r>
          </w:p>
        </w:tc>
      </w:tr>
      <w:tr w:rsidR="00C52BA0" w:rsidRPr="002B51C1" w14:paraId="2D500AC5" w14:textId="77777777" w:rsidTr="005101BC">
        <w:trPr>
          <w:trHeight w:val="283"/>
        </w:trPr>
        <w:tc>
          <w:tcPr>
            <w:tcW w:w="5102" w:type="dxa"/>
            <w:shd w:val="clear" w:color="auto" w:fill="auto"/>
            <w:vAlign w:val="bottom"/>
          </w:tcPr>
          <w:p w14:paraId="6B839DD1" w14:textId="3835B117" w:rsidR="00C52BA0" w:rsidRPr="001B2A66" w:rsidRDefault="00C52BA0" w:rsidP="00C52BA0">
            <w:pPr>
              <w:spacing w:before="40"/>
              <w:rPr>
                <w:color w:val="000000"/>
                <w:sz w:val="22"/>
                <w:szCs w:val="22"/>
              </w:rPr>
            </w:pPr>
            <w:r w:rsidRPr="003A49C4">
              <w:rPr>
                <w:color w:val="000000"/>
                <w:sz w:val="22"/>
                <w:szCs w:val="22"/>
              </w:rPr>
              <w:t>Loss from realization of translation reserves from disposal of subsidiaries</w:t>
            </w:r>
          </w:p>
        </w:tc>
        <w:tc>
          <w:tcPr>
            <w:tcW w:w="1276" w:type="dxa"/>
            <w:shd w:val="clear" w:color="auto" w:fill="auto"/>
            <w:noWrap/>
            <w:vAlign w:val="bottom"/>
          </w:tcPr>
          <w:p w14:paraId="334A598E" w14:textId="564B9043" w:rsidR="00C52BA0" w:rsidRPr="00D058CA" w:rsidRDefault="00D058CA" w:rsidP="00D058CA">
            <w:pPr>
              <w:pBdr>
                <w:bottom w:val="single" w:sz="4" w:space="0" w:color="000000"/>
              </w:pBdr>
              <w:tabs>
                <w:tab w:val="left" w:pos="1425"/>
                <w:tab w:val="right" w:pos="1568"/>
              </w:tabs>
              <w:spacing w:before="40"/>
              <w:jc w:val="right"/>
              <w:rPr>
                <w:b/>
                <w:bCs/>
                <w:sz w:val="22"/>
                <w:szCs w:val="22"/>
              </w:rPr>
            </w:pPr>
            <w:r w:rsidRPr="00D058CA">
              <w:rPr>
                <w:b/>
                <w:bCs/>
                <w:sz w:val="22"/>
                <w:szCs w:val="22"/>
              </w:rPr>
              <w:t>-</w:t>
            </w:r>
          </w:p>
        </w:tc>
        <w:tc>
          <w:tcPr>
            <w:tcW w:w="1275" w:type="dxa"/>
            <w:shd w:val="clear" w:color="auto" w:fill="auto"/>
            <w:noWrap/>
            <w:vAlign w:val="bottom"/>
          </w:tcPr>
          <w:p w14:paraId="465A7587" w14:textId="4F6405C0" w:rsidR="00C52BA0" w:rsidRPr="00543265" w:rsidRDefault="00C52BA0" w:rsidP="00C52BA0">
            <w:pPr>
              <w:pBdr>
                <w:bottom w:val="single" w:sz="4" w:space="0" w:color="000000"/>
              </w:pBdr>
              <w:spacing w:before="40"/>
              <w:jc w:val="right"/>
              <w:rPr>
                <w:sz w:val="22"/>
                <w:szCs w:val="22"/>
              </w:rPr>
            </w:pPr>
            <w:r>
              <w:rPr>
                <w:sz w:val="22"/>
                <w:szCs w:val="22"/>
              </w:rPr>
              <w:t>-</w:t>
            </w:r>
          </w:p>
        </w:tc>
        <w:tc>
          <w:tcPr>
            <w:tcW w:w="1276" w:type="dxa"/>
            <w:shd w:val="clear" w:color="auto" w:fill="auto"/>
            <w:noWrap/>
            <w:vAlign w:val="bottom"/>
          </w:tcPr>
          <w:p w14:paraId="175B86D3" w14:textId="0E296D23" w:rsidR="00C52BA0" w:rsidRPr="005862F2" w:rsidRDefault="00C52BA0" w:rsidP="00C52BA0">
            <w:pPr>
              <w:pBdr>
                <w:bottom w:val="single" w:sz="4" w:space="0" w:color="000000"/>
              </w:pBdr>
              <w:spacing w:before="40"/>
              <w:jc w:val="right"/>
              <w:rPr>
                <w:sz w:val="22"/>
                <w:szCs w:val="22"/>
              </w:rPr>
            </w:pPr>
            <w:r w:rsidRPr="00543265">
              <w:rPr>
                <w:sz w:val="22"/>
                <w:szCs w:val="22"/>
              </w:rPr>
              <w:t>744</w:t>
            </w:r>
          </w:p>
        </w:tc>
      </w:tr>
      <w:tr w:rsidR="00D058CA" w:rsidRPr="002B51C1" w14:paraId="38D1FEA2" w14:textId="77777777" w:rsidTr="005101BC">
        <w:trPr>
          <w:trHeight w:val="283"/>
        </w:trPr>
        <w:tc>
          <w:tcPr>
            <w:tcW w:w="5102" w:type="dxa"/>
            <w:shd w:val="clear" w:color="auto" w:fill="auto"/>
            <w:vAlign w:val="bottom"/>
          </w:tcPr>
          <w:p w14:paraId="60EF811C" w14:textId="77777777" w:rsidR="00D058CA" w:rsidRPr="001B2A66" w:rsidRDefault="00D058CA" w:rsidP="00D058CA">
            <w:pPr>
              <w:spacing w:before="40"/>
              <w:rPr>
                <w:color w:val="000000"/>
                <w:sz w:val="22"/>
                <w:szCs w:val="22"/>
              </w:rPr>
            </w:pPr>
          </w:p>
        </w:tc>
        <w:tc>
          <w:tcPr>
            <w:tcW w:w="1276" w:type="dxa"/>
            <w:shd w:val="clear" w:color="auto" w:fill="auto"/>
            <w:noWrap/>
            <w:vAlign w:val="bottom"/>
          </w:tcPr>
          <w:p w14:paraId="5F38E843" w14:textId="02FAF201" w:rsidR="00D058CA" w:rsidRPr="00D058CA" w:rsidRDefault="00D058CA" w:rsidP="00D058CA">
            <w:pPr>
              <w:pBdr>
                <w:bottom w:val="single" w:sz="4" w:space="0" w:color="000000"/>
              </w:pBdr>
              <w:spacing w:before="40"/>
              <w:jc w:val="right"/>
              <w:rPr>
                <w:b/>
                <w:bCs/>
                <w:sz w:val="22"/>
                <w:szCs w:val="22"/>
              </w:rPr>
            </w:pPr>
            <w:r w:rsidRPr="00D058CA">
              <w:rPr>
                <w:sz w:val="22"/>
                <w:szCs w:val="22"/>
              </w:rPr>
              <w:t>124,769</w:t>
            </w:r>
          </w:p>
        </w:tc>
        <w:tc>
          <w:tcPr>
            <w:tcW w:w="1275" w:type="dxa"/>
            <w:shd w:val="clear" w:color="auto" w:fill="auto"/>
            <w:noWrap/>
            <w:vAlign w:val="bottom"/>
          </w:tcPr>
          <w:p w14:paraId="25332B0F" w14:textId="664C8365" w:rsidR="00D058CA" w:rsidRPr="00543265" w:rsidRDefault="00D058CA" w:rsidP="00D058CA">
            <w:pPr>
              <w:pBdr>
                <w:bottom w:val="single" w:sz="4" w:space="0" w:color="000000"/>
              </w:pBdr>
              <w:spacing w:before="40"/>
              <w:jc w:val="right"/>
              <w:rPr>
                <w:sz w:val="22"/>
                <w:szCs w:val="22"/>
              </w:rPr>
            </w:pPr>
            <w:r>
              <w:rPr>
                <w:sz w:val="22"/>
                <w:szCs w:val="22"/>
              </w:rPr>
              <w:t>106,791</w:t>
            </w:r>
          </w:p>
        </w:tc>
        <w:tc>
          <w:tcPr>
            <w:tcW w:w="1276" w:type="dxa"/>
            <w:shd w:val="clear" w:color="auto" w:fill="auto"/>
            <w:noWrap/>
            <w:vAlign w:val="bottom"/>
          </w:tcPr>
          <w:p w14:paraId="37079453" w14:textId="2CA4FEB8" w:rsidR="00D058CA" w:rsidRPr="00FA64BB" w:rsidRDefault="00D058CA" w:rsidP="00D058CA">
            <w:pPr>
              <w:pBdr>
                <w:bottom w:val="single" w:sz="4" w:space="0" w:color="000000"/>
              </w:pBdr>
              <w:spacing w:before="40"/>
              <w:jc w:val="right"/>
              <w:rPr>
                <w:sz w:val="22"/>
                <w:szCs w:val="22"/>
              </w:rPr>
            </w:pPr>
            <w:r w:rsidRPr="00543265">
              <w:rPr>
                <w:sz w:val="22"/>
                <w:szCs w:val="22"/>
              </w:rPr>
              <w:t>44,070</w:t>
            </w:r>
          </w:p>
        </w:tc>
      </w:tr>
      <w:tr w:rsidR="00D058CA" w:rsidRPr="002B51C1" w14:paraId="0FA0CC0E" w14:textId="77777777" w:rsidTr="005101BC">
        <w:trPr>
          <w:trHeight w:val="283"/>
        </w:trPr>
        <w:tc>
          <w:tcPr>
            <w:tcW w:w="5102" w:type="dxa"/>
            <w:shd w:val="clear" w:color="auto" w:fill="auto"/>
            <w:vAlign w:val="bottom"/>
          </w:tcPr>
          <w:p w14:paraId="748DB214" w14:textId="2C176513" w:rsidR="00D058CA" w:rsidRPr="002B51C1" w:rsidRDefault="00D058CA" w:rsidP="00D058CA">
            <w:pPr>
              <w:spacing w:before="40"/>
              <w:rPr>
                <w:color w:val="000000"/>
                <w:sz w:val="22"/>
                <w:szCs w:val="22"/>
              </w:rPr>
            </w:pPr>
            <w:r w:rsidRPr="001B2A66">
              <w:rPr>
                <w:color w:val="000000"/>
                <w:sz w:val="22"/>
                <w:szCs w:val="22"/>
              </w:rPr>
              <w:t>Total capitalized interest</w:t>
            </w:r>
          </w:p>
        </w:tc>
        <w:tc>
          <w:tcPr>
            <w:tcW w:w="1276" w:type="dxa"/>
            <w:shd w:val="clear" w:color="auto" w:fill="auto"/>
            <w:noWrap/>
            <w:vAlign w:val="bottom"/>
          </w:tcPr>
          <w:p w14:paraId="7AF5AFD5" w14:textId="7022C7BC" w:rsidR="00D058CA" w:rsidRPr="00D058CA" w:rsidRDefault="00D058CA" w:rsidP="00D058CA">
            <w:pPr>
              <w:pBdr>
                <w:bottom w:val="single" w:sz="4" w:space="0" w:color="000000"/>
              </w:pBdr>
              <w:spacing w:before="40"/>
              <w:jc w:val="right"/>
              <w:rPr>
                <w:b/>
                <w:bCs/>
                <w:sz w:val="22"/>
                <w:szCs w:val="22"/>
              </w:rPr>
            </w:pPr>
            <w:r w:rsidRPr="00D058CA">
              <w:rPr>
                <w:sz w:val="22"/>
                <w:szCs w:val="22"/>
              </w:rPr>
              <w:t>(9,386)</w:t>
            </w:r>
          </w:p>
        </w:tc>
        <w:tc>
          <w:tcPr>
            <w:tcW w:w="1275" w:type="dxa"/>
            <w:shd w:val="clear" w:color="auto" w:fill="auto"/>
            <w:noWrap/>
            <w:vAlign w:val="bottom"/>
          </w:tcPr>
          <w:p w14:paraId="3E678746" w14:textId="50CCA678" w:rsidR="00D058CA" w:rsidRPr="00543265" w:rsidRDefault="00D058CA" w:rsidP="00D058CA">
            <w:pPr>
              <w:pBdr>
                <w:bottom w:val="single" w:sz="4" w:space="0" w:color="000000"/>
              </w:pBdr>
              <w:spacing w:before="40"/>
              <w:jc w:val="right"/>
              <w:rPr>
                <w:color w:val="000000"/>
                <w:sz w:val="22"/>
                <w:szCs w:val="22"/>
              </w:rPr>
            </w:pPr>
            <w:r>
              <w:rPr>
                <w:sz w:val="22"/>
                <w:szCs w:val="22"/>
              </w:rPr>
              <w:t>(10,125)</w:t>
            </w:r>
          </w:p>
        </w:tc>
        <w:tc>
          <w:tcPr>
            <w:tcW w:w="1276" w:type="dxa"/>
            <w:shd w:val="clear" w:color="auto" w:fill="auto"/>
            <w:noWrap/>
            <w:vAlign w:val="bottom"/>
          </w:tcPr>
          <w:p w14:paraId="24BD5CE0" w14:textId="6B339F19" w:rsidR="00D058CA" w:rsidRPr="002B51C1" w:rsidRDefault="00D058CA" w:rsidP="00D058CA">
            <w:pPr>
              <w:pBdr>
                <w:bottom w:val="single" w:sz="4" w:space="0" w:color="000000"/>
              </w:pBdr>
              <w:spacing w:before="40"/>
              <w:jc w:val="right"/>
              <w:rPr>
                <w:color w:val="000000"/>
                <w:sz w:val="22"/>
                <w:szCs w:val="22"/>
              </w:rPr>
            </w:pPr>
            <w:r w:rsidRPr="00543265">
              <w:rPr>
                <w:sz w:val="22"/>
                <w:szCs w:val="22"/>
              </w:rPr>
              <w:t>(12,194)</w:t>
            </w:r>
          </w:p>
        </w:tc>
      </w:tr>
      <w:tr w:rsidR="00D058CA" w:rsidRPr="002B51C1" w14:paraId="54548859" w14:textId="77777777" w:rsidTr="005101BC">
        <w:trPr>
          <w:trHeight w:val="283"/>
        </w:trPr>
        <w:tc>
          <w:tcPr>
            <w:tcW w:w="5102" w:type="dxa"/>
            <w:shd w:val="clear" w:color="auto" w:fill="auto"/>
            <w:vAlign w:val="bottom"/>
            <w:hideMark/>
          </w:tcPr>
          <w:p w14:paraId="1F0449D1" w14:textId="77777777" w:rsidR="00D058CA" w:rsidRPr="002B51C1" w:rsidRDefault="00D058CA" w:rsidP="00D058CA">
            <w:pPr>
              <w:spacing w:before="40"/>
              <w:rPr>
                <w:sz w:val="22"/>
                <w:szCs w:val="22"/>
              </w:rPr>
            </w:pPr>
          </w:p>
        </w:tc>
        <w:tc>
          <w:tcPr>
            <w:tcW w:w="1276" w:type="dxa"/>
            <w:shd w:val="clear" w:color="auto" w:fill="auto"/>
            <w:noWrap/>
            <w:vAlign w:val="bottom"/>
          </w:tcPr>
          <w:p w14:paraId="02908E01" w14:textId="426CA513" w:rsidR="00D058CA" w:rsidRPr="00D058CA" w:rsidRDefault="00D058CA" w:rsidP="00D058CA">
            <w:pPr>
              <w:pBdr>
                <w:bottom w:val="double" w:sz="4" w:space="0" w:color="000000"/>
              </w:pBdr>
              <w:spacing w:before="40"/>
              <w:jc w:val="right"/>
              <w:rPr>
                <w:b/>
                <w:bCs/>
                <w:sz w:val="22"/>
                <w:szCs w:val="22"/>
              </w:rPr>
            </w:pPr>
            <w:r w:rsidRPr="00D058CA">
              <w:rPr>
                <w:sz w:val="22"/>
                <w:szCs w:val="22"/>
              </w:rPr>
              <w:t>115,383</w:t>
            </w:r>
          </w:p>
        </w:tc>
        <w:tc>
          <w:tcPr>
            <w:tcW w:w="1275" w:type="dxa"/>
            <w:shd w:val="clear" w:color="auto" w:fill="auto"/>
            <w:noWrap/>
            <w:vAlign w:val="bottom"/>
          </w:tcPr>
          <w:p w14:paraId="7EA45CE1" w14:textId="366B5FF8" w:rsidR="00D058CA" w:rsidRPr="00543265" w:rsidRDefault="00D058CA" w:rsidP="00D058CA">
            <w:pPr>
              <w:pBdr>
                <w:bottom w:val="double" w:sz="4" w:space="0" w:color="000000"/>
              </w:pBdr>
              <w:spacing w:before="40"/>
              <w:jc w:val="right"/>
              <w:rPr>
                <w:sz w:val="22"/>
                <w:szCs w:val="22"/>
              </w:rPr>
            </w:pPr>
            <w:r>
              <w:rPr>
                <w:sz w:val="22"/>
                <w:szCs w:val="22"/>
              </w:rPr>
              <w:t>96,666</w:t>
            </w:r>
          </w:p>
        </w:tc>
        <w:tc>
          <w:tcPr>
            <w:tcW w:w="1276" w:type="dxa"/>
            <w:shd w:val="clear" w:color="auto" w:fill="auto"/>
            <w:noWrap/>
            <w:vAlign w:val="bottom"/>
          </w:tcPr>
          <w:p w14:paraId="028C1D81" w14:textId="46EE2B23" w:rsidR="00D058CA" w:rsidRPr="002B51C1" w:rsidRDefault="00D058CA" w:rsidP="00D058CA">
            <w:pPr>
              <w:pBdr>
                <w:bottom w:val="double" w:sz="4" w:space="0" w:color="000000"/>
              </w:pBdr>
              <w:spacing w:before="40"/>
              <w:jc w:val="right"/>
              <w:rPr>
                <w:sz w:val="22"/>
                <w:szCs w:val="22"/>
              </w:rPr>
            </w:pPr>
            <w:r w:rsidRPr="00543265">
              <w:rPr>
                <w:sz w:val="22"/>
                <w:szCs w:val="22"/>
              </w:rPr>
              <w:t>31,876</w:t>
            </w:r>
          </w:p>
        </w:tc>
      </w:tr>
    </w:tbl>
    <w:p w14:paraId="2D4A12BB" w14:textId="77777777" w:rsidR="001F1B26" w:rsidRPr="00543265" w:rsidRDefault="001F1B26" w:rsidP="0020502A">
      <w:pPr>
        <w:rPr>
          <w:b/>
          <w:bCs/>
          <w:sz w:val="22"/>
          <w:szCs w:val="22"/>
        </w:rPr>
      </w:pPr>
      <w:bookmarkStart w:id="181" w:name="H3_Note_20__Income_Tax_"/>
    </w:p>
    <w:p w14:paraId="63C1EA43" w14:textId="7123886E" w:rsidR="00030CEF" w:rsidRPr="005C7D15" w:rsidRDefault="00030CEF" w:rsidP="00C01E5D">
      <w:pPr>
        <w:outlineLvl w:val="2"/>
        <w:rPr>
          <w:b/>
          <w:bCs/>
          <w:sz w:val="22"/>
          <w:szCs w:val="22"/>
        </w:rPr>
      </w:pPr>
      <w:r w:rsidRPr="005C7D15">
        <w:rPr>
          <w:b/>
          <w:bCs/>
          <w:sz w:val="22"/>
          <w:szCs w:val="22"/>
        </w:rPr>
        <w:t xml:space="preserve">Note </w:t>
      </w:r>
      <w:r w:rsidR="009971CB" w:rsidRPr="005C7D15">
        <w:rPr>
          <w:b/>
          <w:bCs/>
          <w:sz w:val="22"/>
          <w:szCs w:val="22"/>
        </w:rPr>
        <w:t xml:space="preserve">20 </w:t>
      </w:r>
      <w:r w:rsidRPr="005C7D15">
        <w:rPr>
          <w:b/>
          <w:bCs/>
          <w:sz w:val="22"/>
          <w:szCs w:val="22"/>
        </w:rPr>
        <w:t xml:space="preserve">- </w:t>
      </w:r>
      <w:r w:rsidRPr="005C7D15">
        <w:rPr>
          <w:rStyle w:val="Beur"/>
          <w:sz w:val="22"/>
          <w:szCs w:val="22"/>
        </w:rPr>
        <w:t>Income Tax</w:t>
      </w:r>
      <w:r w:rsidRPr="005C7D15">
        <w:rPr>
          <w:b/>
          <w:bCs/>
          <w:sz w:val="22"/>
          <w:szCs w:val="22"/>
        </w:rPr>
        <w:t xml:space="preserve"> </w:t>
      </w:r>
    </w:p>
    <w:bookmarkEnd w:id="181"/>
    <w:p w14:paraId="2144FFF5" w14:textId="77777777" w:rsidR="00030CEF" w:rsidRPr="005C7D15" w:rsidRDefault="00030CEF" w:rsidP="00030CEF">
      <w:pPr>
        <w:rPr>
          <w:sz w:val="22"/>
          <w:szCs w:val="22"/>
        </w:rPr>
      </w:pPr>
    </w:p>
    <w:p w14:paraId="6F1C17E4" w14:textId="77777777" w:rsidR="00030CEF" w:rsidRPr="005C7D15" w:rsidRDefault="00030CEF" w:rsidP="00C01E5D">
      <w:pPr>
        <w:ind w:left="567" w:hanging="567"/>
        <w:jc w:val="both"/>
        <w:outlineLvl w:val="3"/>
        <w:rPr>
          <w:sz w:val="22"/>
          <w:szCs w:val="22"/>
        </w:rPr>
      </w:pPr>
      <w:bookmarkStart w:id="182" w:name="H4_ADetails_regarding_the_tax_environmen"/>
      <w:r w:rsidRPr="005C7D15">
        <w:rPr>
          <w:b/>
          <w:bCs/>
          <w:sz w:val="22"/>
          <w:szCs w:val="22"/>
        </w:rPr>
        <w:t>A.</w:t>
      </w:r>
      <w:r w:rsidRPr="005C7D15">
        <w:rPr>
          <w:b/>
          <w:bCs/>
          <w:sz w:val="22"/>
          <w:szCs w:val="22"/>
        </w:rPr>
        <w:tab/>
        <w:t>Details regarding the tax environment of the Group</w:t>
      </w:r>
    </w:p>
    <w:bookmarkEnd w:id="182"/>
    <w:p w14:paraId="23CD8762" w14:textId="77777777" w:rsidR="00030CEF" w:rsidRPr="005C7D15" w:rsidRDefault="00030CEF" w:rsidP="00030CEF">
      <w:pPr>
        <w:rPr>
          <w:sz w:val="22"/>
          <w:szCs w:val="22"/>
        </w:rPr>
      </w:pPr>
    </w:p>
    <w:p w14:paraId="1ECF7054" w14:textId="66322516" w:rsidR="00030CEF" w:rsidRPr="005C7D15" w:rsidRDefault="00030CEF" w:rsidP="00030CEF">
      <w:pPr>
        <w:ind w:left="567"/>
        <w:jc w:val="both"/>
        <w:rPr>
          <w:sz w:val="22"/>
          <w:szCs w:val="22"/>
        </w:rPr>
      </w:pPr>
      <w:r w:rsidRPr="005C7D15">
        <w:rPr>
          <w:sz w:val="22"/>
          <w:szCs w:val="22"/>
        </w:rPr>
        <w:t xml:space="preserve">The Group subsidiaries are taxable according to their individual tax regimes. Following the </w:t>
      </w:r>
      <w:r w:rsidR="00521543" w:rsidRPr="005C7D15">
        <w:rPr>
          <w:sz w:val="22"/>
          <w:szCs w:val="22"/>
        </w:rPr>
        <w:t>202</w:t>
      </w:r>
      <w:r w:rsidR="00660E64">
        <w:rPr>
          <w:sz w:val="22"/>
          <w:szCs w:val="22"/>
        </w:rPr>
        <w:t>4</w:t>
      </w:r>
      <w:r w:rsidR="00521543">
        <w:rPr>
          <w:sz w:val="22"/>
          <w:szCs w:val="22"/>
        </w:rPr>
        <w:t xml:space="preserve"> </w:t>
      </w:r>
      <w:r w:rsidRPr="005C7D15">
        <w:rPr>
          <w:sz w:val="22"/>
          <w:szCs w:val="22"/>
        </w:rPr>
        <w:t>applicable tax rates for the Group:</w:t>
      </w:r>
    </w:p>
    <w:p w14:paraId="1715030F" w14:textId="77777777" w:rsidR="00030CEF" w:rsidRPr="005C7D15" w:rsidRDefault="00030CEF" w:rsidP="00030CEF">
      <w:pPr>
        <w:rPr>
          <w:sz w:val="22"/>
          <w:szCs w:val="22"/>
        </w:rPr>
      </w:pPr>
    </w:p>
    <w:tbl>
      <w:tblPr>
        <w:tblW w:w="0" w:type="auto"/>
        <w:tblInd w:w="644" w:type="dxa"/>
        <w:tblLook w:val="06A0" w:firstRow="1" w:lastRow="0" w:firstColumn="1" w:lastColumn="0" w:noHBand="1" w:noVBand="1"/>
        <w:tblCaption w:val="AHR01"/>
        <w:tblDescription w:val="Details regarding the tax environment of the Group"/>
      </w:tblPr>
      <w:tblGrid>
        <w:gridCol w:w="5867"/>
        <w:gridCol w:w="1400"/>
      </w:tblGrid>
      <w:tr w:rsidR="00030CEF" w:rsidRPr="005C7D15" w14:paraId="30507619" w14:textId="77777777" w:rsidTr="005101BC">
        <w:trPr>
          <w:cantSplit/>
          <w:trHeight w:val="283"/>
          <w:tblHeader/>
        </w:trPr>
        <w:tc>
          <w:tcPr>
            <w:tcW w:w="5867" w:type="dxa"/>
            <w:shd w:val="clear" w:color="auto" w:fill="auto"/>
            <w:noWrap/>
            <w:vAlign w:val="bottom"/>
            <w:hideMark/>
          </w:tcPr>
          <w:p w14:paraId="1C23274D" w14:textId="77777777" w:rsidR="00030CEF" w:rsidRPr="005C7D15" w:rsidRDefault="00030CEF" w:rsidP="00030CEF">
            <w:pPr>
              <w:spacing w:before="40"/>
              <w:rPr>
                <w:rFonts w:ascii="Arial" w:eastAsia="Arial" w:hAnsi="Arial" w:cs="Arial"/>
                <w:sz w:val="22"/>
                <w:szCs w:val="22"/>
              </w:rPr>
            </w:pPr>
            <w:bookmarkStart w:id="183" w:name="Title_44" w:colFirst="0" w:colLast="0"/>
          </w:p>
        </w:tc>
        <w:tc>
          <w:tcPr>
            <w:tcW w:w="1400" w:type="dxa"/>
            <w:shd w:val="clear" w:color="auto" w:fill="auto"/>
            <w:noWrap/>
            <w:vAlign w:val="bottom"/>
            <w:hideMark/>
          </w:tcPr>
          <w:p w14:paraId="0BA76814" w14:textId="5EF153B8" w:rsidR="00030CEF" w:rsidRPr="005C7D15" w:rsidRDefault="004C1FBC" w:rsidP="00543265">
            <w:pPr>
              <w:pBdr>
                <w:bottom w:val="single" w:sz="4" w:space="0" w:color="000000"/>
              </w:pBdr>
              <w:spacing w:before="40"/>
              <w:jc w:val="center"/>
              <w:rPr>
                <w:b/>
                <w:bCs/>
                <w:sz w:val="20"/>
              </w:rPr>
            </w:pPr>
            <w:r w:rsidRPr="005C7D15">
              <w:rPr>
                <w:b/>
                <w:bCs/>
                <w:color w:val="000000"/>
                <w:sz w:val="20"/>
              </w:rPr>
              <w:t xml:space="preserve">Corporate </w:t>
            </w:r>
            <w:r w:rsidR="00030CEF" w:rsidRPr="005C7D15">
              <w:rPr>
                <w:b/>
                <w:bCs/>
                <w:color w:val="000000"/>
                <w:sz w:val="20"/>
              </w:rPr>
              <w:t>Tax rate</w:t>
            </w:r>
          </w:p>
        </w:tc>
      </w:tr>
      <w:bookmarkEnd w:id="183"/>
      <w:tr w:rsidR="00030CEF" w:rsidRPr="004C1FBC" w14:paraId="6DC2A4BD" w14:textId="77777777" w:rsidTr="005101BC">
        <w:trPr>
          <w:trHeight w:val="283"/>
        </w:trPr>
        <w:tc>
          <w:tcPr>
            <w:tcW w:w="5867" w:type="dxa"/>
            <w:shd w:val="clear" w:color="auto" w:fill="auto"/>
            <w:vAlign w:val="bottom"/>
            <w:hideMark/>
          </w:tcPr>
          <w:p w14:paraId="19CF64B7" w14:textId="77777777" w:rsidR="00030CEF" w:rsidRPr="005C7D15" w:rsidRDefault="00030CEF" w:rsidP="00030CEF">
            <w:pPr>
              <w:spacing w:before="40"/>
              <w:rPr>
                <w:sz w:val="22"/>
                <w:szCs w:val="22"/>
              </w:rPr>
            </w:pPr>
            <w:r w:rsidRPr="005C7D15">
              <w:rPr>
                <w:color w:val="000000"/>
                <w:sz w:val="22"/>
                <w:szCs w:val="22"/>
              </w:rPr>
              <w:t>Netherlands</w:t>
            </w:r>
          </w:p>
        </w:tc>
        <w:tc>
          <w:tcPr>
            <w:tcW w:w="1400" w:type="dxa"/>
            <w:shd w:val="clear" w:color="auto" w:fill="auto"/>
            <w:noWrap/>
            <w:vAlign w:val="bottom"/>
            <w:hideMark/>
          </w:tcPr>
          <w:p w14:paraId="44578CD5" w14:textId="4A4356E1" w:rsidR="00030CEF" w:rsidRPr="004C1FBC" w:rsidRDefault="00030CEF">
            <w:pPr>
              <w:spacing w:before="40"/>
              <w:jc w:val="right"/>
              <w:rPr>
                <w:sz w:val="22"/>
                <w:szCs w:val="22"/>
              </w:rPr>
            </w:pPr>
            <w:r w:rsidRPr="005C7D15">
              <w:rPr>
                <w:color w:val="000000"/>
                <w:sz w:val="22"/>
                <w:szCs w:val="22"/>
              </w:rPr>
              <w:t>25</w:t>
            </w:r>
            <w:r w:rsidR="009169E4" w:rsidRPr="005C7D15">
              <w:rPr>
                <w:color w:val="000000"/>
                <w:sz w:val="22"/>
                <w:szCs w:val="22"/>
              </w:rPr>
              <w:t>.8</w:t>
            </w:r>
            <w:r w:rsidRPr="005C7D15">
              <w:rPr>
                <w:color w:val="000000"/>
                <w:sz w:val="22"/>
                <w:szCs w:val="22"/>
              </w:rPr>
              <w:t>%</w:t>
            </w:r>
          </w:p>
        </w:tc>
      </w:tr>
      <w:tr w:rsidR="00030CEF" w:rsidRPr="004C1FBC" w14:paraId="251BBB19" w14:textId="77777777" w:rsidTr="005101BC">
        <w:trPr>
          <w:trHeight w:val="283"/>
        </w:trPr>
        <w:tc>
          <w:tcPr>
            <w:tcW w:w="5867" w:type="dxa"/>
            <w:shd w:val="clear" w:color="auto" w:fill="auto"/>
            <w:vAlign w:val="bottom"/>
            <w:hideMark/>
          </w:tcPr>
          <w:p w14:paraId="5F36CCF0" w14:textId="0AF3EF9D" w:rsidR="00030CEF" w:rsidRPr="004C1FBC" w:rsidRDefault="00030CEF" w:rsidP="00030CEF">
            <w:pPr>
              <w:spacing w:before="40"/>
              <w:rPr>
                <w:sz w:val="22"/>
                <w:szCs w:val="22"/>
              </w:rPr>
            </w:pPr>
            <w:r w:rsidRPr="004C1FBC">
              <w:rPr>
                <w:color w:val="000000"/>
                <w:sz w:val="22"/>
                <w:szCs w:val="22"/>
              </w:rPr>
              <w:t>Czech Republic</w:t>
            </w:r>
            <w:r w:rsidR="00C31227">
              <w:rPr>
                <w:color w:val="000000"/>
                <w:sz w:val="22"/>
                <w:szCs w:val="22"/>
              </w:rPr>
              <w:t xml:space="preserve"> (1)</w:t>
            </w:r>
          </w:p>
        </w:tc>
        <w:tc>
          <w:tcPr>
            <w:tcW w:w="1400" w:type="dxa"/>
            <w:shd w:val="clear" w:color="auto" w:fill="auto"/>
            <w:noWrap/>
            <w:vAlign w:val="bottom"/>
            <w:hideMark/>
          </w:tcPr>
          <w:p w14:paraId="5460EAC7" w14:textId="1CDE768B" w:rsidR="00030CEF" w:rsidRPr="004C1FBC" w:rsidRDefault="00660E64">
            <w:pPr>
              <w:spacing w:before="40"/>
              <w:jc w:val="right"/>
              <w:rPr>
                <w:sz w:val="22"/>
                <w:szCs w:val="22"/>
              </w:rPr>
            </w:pPr>
            <w:r>
              <w:rPr>
                <w:color w:val="000000"/>
                <w:sz w:val="22"/>
                <w:szCs w:val="22"/>
              </w:rPr>
              <w:t>21</w:t>
            </w:r>
            <w:r w:rsidR="00030CEF" w:rsidRPr="004C1FBC">
              <w:rPr>
                <w:color w:val="000000"/>
                <w:sz w:val="22"/>
                <w:szCs w:val="22"/>
              </w:rPr>
              <w:t>%</w:t>
            </w:r>
          </w:p>
        </w:tc>
      </w:tr>
      <w:tr w:rsidR="00030CEF" w:rsidRPr="004C1FBC" w14:paraId="085A6559" w14:textId="77777777" w:rsidTr="005101BC">
        <w:trPr>
          <w:trHeight w:val="283"/>
        </w:trPr>
        <w:tc>
          <w:tcPr>
            <w:tcW w:w="5867" w:type="dxa"/>
            <w:shd w:val="clear" w:color="auto" w:fill="auto"/>
            <w:vAlign w:val="bottom"/>
            <w:hideMark/>
          </w:tcPr>
          <w:p w14:paraId="33E569A7" w14:textId="77777777" w:rsidR="00030CEF" w:rsidRPr="004C1FBC" w:rsidRDefault="00030CEF" w:rsidP="00030CEF">
            <w:pPr>
              <w:spacing w:before="40"/>
              <w:rPr>
                <w:sz w:val="22"/>
                <w:szCs w:val="22"/>
              </w:rPr>
            </w:pPr>
            <w:r w:rsidRPr="004C1FBC">
              <w:rPr>
                <w:color w:val="000000"/>
                <w:sz w:val="22"/>
                <w:szCs w:val="22"/>
              </w:rPr>
              <w:t>Serbia</w:t>
            </w:r>
          </w:p>
        </w:tc>
        <w:tc>
          <w:tcPr>
            <w:tcW w:w="1400" w:type="dxa"/>
            <w:shd w:val="clear" w:color="auto" w:fill="auto"/>
            <w:noWrap/>
            <w:vAlign w:val="bottom"/>
            <w:hideMark/>
          </w:tcPr>
          <w:p w14:paraId="0312EEA8" w14:textId="625C5C81" w:rsidR="00030CEF" w:rsidRPr="004C1FBC" w:rsidRDefault="00030CEF">
            <w:pPr>
              <w:spacing w:before="40"/>
              <w:jc w:val="right"/>
              <w:rPr>
                <w:sz w:val="22"/>
                <w:szCs w:val="22"/>
              </w:rPr>
            </w:pPr>
            <w:r w:rsidRPr="004C1FBC">
              <w:rPr>
                <w:color w:val="000000"/>
                <w:sz w:val="22"/>
                <w:szCs w:val="22"/>
              </w:rPr>
              <w:t>15%</w:t>
            </w:r>
          </w:p>
        </w:tc>
      </w:tr>
      <w:tr w:rsidR="00030CEF" w:rsidRPr="004C1FBC" w14:paraId="0924A09D" w14:textId="77777777" w:rsidTr="005101BC">
        <w:trPr>
          <w:trHeight w:val="283"/>
        </w:trPr>
        <w:tc>
          <w:tcPr>
            <w:tcW w:w="5867" w:type="dxa"/>
            <w:shd w:val="clear" w:color="auto" w:fill="auto"/>
            <w:vAlign w:val="bottom"/>
            <w:hideMark/>
          </w:tcPr>
          <w:p w14:paraId="0EEEB14C" w14:textId="77777777" w:rsidR="00030CEF" w:rsidRPr="004C1FBC" w:rsidRDefault="00030CEF" w:rsidP="00030CEF">
            <w:pPr>
              <w:spacing w:before="40"/>
              <w:rPr>
                <w:sz w:val="22"/>
                <w:szCs w:val="22"/>
              </w:rPr>
            </w:pPr>
            <w:r w:rsidRPr="004C1FBC">
              <w:rPr>
                <w:color w:val="000000"/>
                <w:sz w:val="22"/>
                <w:szCs w:val="22"/>
              </w:rPr>
              <w:t>Bulgaria</w:t>
            </w:r>
          </w:p>
        </w:tc>
        <w:tc>
          <w:tcPr>
            <w:tcW w:w="1400" w:type="dxa"/>
            <w:shd w:val="clear" w:color="auto" w:fill="auto"/>
            <w:noWrap/>
            <w:vAlign w:val="bottom"/>
            <w:hideMark/>
          </w:tcPr>
          <w:p w14:paraId="76147049" w14:textId="0C55B561" w:rsidR="00030CEF" w:rsidRPr="004C1FBC" w:rsidRDefault="00030CEF">
            <w:pPr>
              <w:spacing w:before="40"/>
              <w:jc w:val="right"/>
              <w:rPr>
                <w:sz w:val="22"/>
                <w:szCs w:val="22"/>
              </w:rPr>
            </w:pPr>
            <w:r w:rsidRPr="004C1FBC">
              <w:rPr>
                <w:color w:val="000000"/>
                <w:sz w:val="22"/>
                <w:szCs w:val="22"/>
              </w:rPr>
              <w:t>10%</w:t>
            </w:r>
          </w:p>
        </w:tc>
      </w:tr>
      <w:tr w:rsidR="00030CEF" w:rsidRPr="004C1FBC" w14:paraId="18F4756D" w14:textId="77777777" w:rsidTr="005101BC">
        <w:trPr>
          <w:trHeight w:val="283"/>
        </w:trPr>
        <w:tc>
          <w:tcPr>
            <w:tcW w:w="5867" w:type="dxa"/>
            <w:shd w:val="clear" w:color="auto" w:fill="auto"/>
            <w:vAlign w:val="bottom"/>
            <w:hideMark/>
          </w:tcPr>
          <w:p w14:paraId="573AD9DB" w14:textId="77777777" w:rsidR="00030CEF" w:rsidRPr="004C1FBC" w:rsidRDefault="00030CEF" w:rsidP="00030CEF">
            <w:pPr>
              <w:spacing w:before="40"/>
              <w:rPr>
                <w:sz w:val="22"/>
                <w:szCs w:val="22"/>
              </w:rPr>
            </w:pPr>
            <w:r w:rsidRPr="004C1FBC">
              <w:rPr>
                <w:color w:val="000000"/>
                <w:sz w:val="22"/>
                <w:szCs w:val="22"/>
              </w:rPr>
              <w:t>Romania</w:t>
            </w:r>
          </w:p>
        </w:tc>
        <w:tc>
          <w:tcPr>
            <w:tcW w:w="1400" w:type="dxa"/>
            <w:shd w:val="clear" w:color="auto" w:fill="auto"/>
            <w:noWrap/>
            <w:vAlign w:val="bottom"/>
            <w:hideMark/>
          </w:tcPr>
          <w:p w14:paraId="07C48379" w14:textId="7D31694C" w:rsidR="00030CEF" w:rsidRPr="004C1FBC" w:rsidRDefault="00030CEF">
            <w:pPr>
              <w:spacing w:before="40"/>
              <w:jc w:val="right"/>
              <w:rPr>
                <w:sz w:val="22"/>
                <w:szCs w:val="22"/>
              </w:rPr>
            </w:pPr>
            <w:r w:rsidRPr="004C1FBC">
              <w:rPr>
                <w:color w:val="000000"/>
                <w:sz w:val="22"/>
                <w:szCs w:val="22"/>
              </w:rPr>
              <w:t>16%</w:t>
            </w:r>
          </w:p>
        </w:tc>
      </w:tr>
      <w:tr w:rsidR="00030CEF" w:rsidRPr="004C1FBC" w14:paraId="327D31D3" w14:textId="77777777" w:rsidTr="005101BC">
        <w:trPr>
          <w:trHeight w:val="283"/>
        </w:trPr>
        <w:tc>
          <w:tcPr>
            <w:tcW w:w="5867" w:type="dxa"/>
            <w:shd w:val="clear" w:color="auto" w:fill="auto"/>
            <w:vAlign w:val="bottom"/>
            <w:hideMark/>
          </w:tcPr>
          <w:p w14:paraId="20495279" w14:textId="67C9E289" w:rsidR="00030CEF" w:rsidRPr="004C1FBC" w:rsidRDefault="00030CEF" w:rsidP="00030CEF">
            <w:pPr>
              <w:spacing w:before="40"/>
              <w:rPr>
                <w:sz w:val="22"/>
                <w:szCs w:val="22"/>
              </w:rPr>
            </w:pPr>
            <w:r w:rsidRPr="004C1FBC">
              <w:rPr>
                <w:color w:val="000000"/>
                <w:sz w:val="22"/>
                <w:szCs w:val="22"/>
              </w:rPr>
              <w:t>Poland</w:t>
            </w:r>
            <w:r w:rsidR="00266416" w:rsidRPr="004C1FBC">
              <w:rPr>
                <w:color w:val="000000"/>
                <w:sz w:val="22"/>
                <w:szCs w:val="22"/>
              </w:rPr>
              <w:t xml:space="preserve"> (</w:t>
            </w:r>
            <w:r w:rsidR="00C31227">
              <w:rPr>
                <w:color w:val="000000"/>
                <w:sz w:val="22"/>
                <w:szCs w:val="22"/>
              </w:rPr>
              <w:t>2</w:t>
            </w:r>
            <w:r w:rsidR="00266416" w:rsidRPr="004C1FBC">
              <w:rPr>
                <w:color w:val="000000"/>
                <w:sz w:val="22"/>
                <w:szCs w:val="22"/>
              </w:rPr>
              <w:t>)</w:t>
            </w:r>
          </w:p>
        </w:tc>
        <w:tc>
          <w:tcPr>
            <w:tcW w:w="1400" w:type="dxa"/>
            <w:shd w:val="clear" w:color="auto" w:fill="auto"/>
            <w:noWrap/>
            <w:vAlign w:val="bottom"/>
            <w:hideMark/>
          </w:tcPr>
          <w:p w14:paraId="37EDA26E" w14:textId="33F9FE47" w:rsidR="00030CEF" w:rsidRPr="004C1FBC" w:rsidRDefault="00030CEF">
            <w:pPr>
              <w:spacing w:before="40"/>
              <w:jc w:val="right"/>
              <w:rPr>
                <w:sz w:val="22"/>
                <w:szCs w:val="22"/>
              </w:rPr>
            </w:pPr>
            <w:r w:rsidRPr="004C1FBC">
              <w:rPr>
                <w:color w:val="000000"/>
                <w:sz w:val="22"/>
                <w:szCs w:val="22"/>
              </w:rPr>
              <w:t>19%</w:t>
            </w:r>
            <w:r w:rsidR="00266416" w:rsidRPr="004C1FBC">
              <w:rPr>
                <w:color w:val="000000"/>
                <w:sz w:val="22"/>
                <w:szCs w:val="22"/>
              </w:rPr>
              <w:t>/9%</w:t>
            </w:r>
          </w:p>
        </w:tc>
      </w:tr>
      <w:tr w:rsidR="00030CEF" w:rsidRPr="004C1FBC" w14:paraId="7AFAC813" w14:textId="77777777" w:rsidTr="005101BC">
        <w:trPr>
          <w:trHeight w:val="283"/>
        </w:trPr>
        <w:tc>
          <w:tcPr>
            <w:tcW w:w="5867" w:type="dxa"/>
            <w:shd w:val="clear" w:color="auto" w:fill="auto"/>
            <w:vAlign w:val="bottom"/>
            <w:hideMark/>
          </w:tcPr>
          <w:p w14:paraId="07ED39A8" w14:textId="47048486" w:rsidR="00030CEF" w:rsidRPr="004C1FBC" w:rsidRDefault="00030CEF" w:rsidP="00030CEF">
            <w:pPr>
              <w:spacing w:before="40"/>
              <w:rPr>
                <w:sz w:val="22"/>
                <w:szCs w:val="22"/>
              </w:rPr>
            </w:pPr>
            <w:r w:rsidRPr="004C1FBC">
              <w:rPr>
                <w:color w:val="000000"/>
                <w:sz w:val="22"/>
                <w:szCs w:val="22"/>
              </w:rPr>
              <w:t>Latvia</w:t>
            </w:r>
            <w:r w:rsidR="00094C6F" w:rsidRPr="004C1FBC">
              <w:rPr>
                <w:sz w:val="22"/>
                <w:szCs w:val="22"/>
              </w:rPr>
              <w:t xml:space="preserve"> </w:t>
            </w:r>
            <w:r w:rsidR="004C1FBC">
              <w:rPr>
                <w:sz w:val="22"/>
                <w:szCs w:val="22"/>
              </w:rPr>
              <w:t>(</w:t>
            </w:r>
            <w:r w:rsidR="00C31227">
              <w:rPr>
                <w:sz w:val="22"/>
                <w:szCs w:val="22"/>
              </w:rPr>
              <w:t>3</w:t>
            </w:r>
            <w:r w:rsidR="004C1FBC">
              <w:rPr>
                <w:sz w:val="22"/>
                <w:szCs w:val="22"/>
              </w:rPr>
              <w:t>)</w:t>
            </w:r>
          </w:p>
        </w:tc>
        <w:tc>
          <w:tcPr>
            <w:tcW w:w="1400" w:type="dxa"/>
            <w:shd w:val="clear" w:color="auto" w:fill="auto"/>
            <w:noWrap/>
            <w:vAlign w:val="bottom"/>
            <w:hideMark/>
          </w:tcPr>
          <w:p w14:paraId="32C998E1" w14:textId="42DD1AD4" w:rsidR="00030CEF" w:rsidRPr="004C1FBC" w:rsidRDefault="00094C6F">
            <w:pPr>
              <w:spacing w:before="40"/>
              <w:jc w:val="right"/>
              <w:rPr>
                <w:sz w:val="22"/>
                <w:szCs w:val="22"/>
              </w:rPr>
            </w:pPr>
            <w:r w:rsidRPr="004C1FBC">
              <w:rPr>
                <w:color w:val="000000"/>
                <w:sz w:val="22"/>
                <w:szCs w:val="22"/>
              </w:rPr>
              <w:t>0</w:t>
            </w:r>
            <w:r w:rsidR="00030CEF" w:rsidRPr="004C1FBC">
              <w:rPr>
                <w:color w:val="000000"/>
                <w:sz w:val="22"/>
                <w:szCs w:val="22"/>
              </w:rPr>
              <w:t>%</w:t>
            </w:r>
          </w:p>
        </w:tc>
      </w:tr>
      <w:tr w:rsidR="00030CEF" w:rsidRPr="004C1FBC" w14:paraId="7D9A472D" w14:textId="77777777" w:rsidTr="005101BC">
        <w:trPr>
          <w:trHeight w:val="283"/>
        </w:trPr>
        <w:tc>
          <w:tcPr>
            <w:tcW w:w="5867" w:type="dxa"/>
            <w:shd w:val="clear" w:color="auto" w:fill="auto"/>
            <w:vAlign w:val="bottom"/>
            <w:hideMark/>
          </w:tcPr>
          <w:p w14:paraId="01DA8707" w14:textId="77777777" w:rsidR="00030CEF" w:rsidRPr="004C1FBC" w:rsidRDefault="00030CEF" w:rsidP="00030CEF">
            <w:pPr>
              <w:spacing w:before="40"/>
              <w:rPr>
                <w:sz w:val="22"/>
                <w:szCs w:val="22"/>
              </w:rPr>
            </w:pPr>
            <w:r w:rsidRPr="004C1FBC">
              <w:rPr>
                <w:color w:val="000000"/>
                <w:sz w:val="22"/>
                <w:szCs w:val="22"/>
              </w:rPr>
              <w:t xml:space="preserve">Cyprus </w:t>
            </w:r>
          </w:p>
        </w:tc>
        <w:tc>
          <w:tcPr>
            <w:tcW w:w="1400" w:type="dxa"/>
            <w:shd w:val="clear" w:color="auto" w:fill="auto"/>
            <w:noWrap/>
            <w:vAlign w:val="bottom"/>
            <w:hideMark/>
          </w:tcPr>
          <w:p w14:paraId="377AD06A" w14:textId="77777777" w:rsidR="00030CEF" w:rsidRPr="004C1FBC" w:rsidRDefault="00030CEF" w:rsidP="00030CEF">
            <w:pPr>
              <w:spacing w:before="40"/>
              <w:jc w:val="right"/>
              <w:rPr>
                <w:sz w:val="22"/>
                <w:szCs w:val="22"/>
              </w:rPr>
            </w:pPr>
            <w:r w:rsidRPr="004C1FBC">
              <w:rPr>
                <w:color w:val="000000"/>
                <w:sz w:val="22"/>
                <w:szCs w:val="22"/>
              </w:rPr>
              <w:t>12.5%</w:t>
            </w:r>
          </w:p>
        </w:tc>
      </w:tr>
      <w:tr w:rsidR="00030CEF" w:rsidRPr="004C1FBC" w14:paraId="4A109FC8" w14:textId="77777777" w:rsidTr="005101BC">
        <w:trPr>
          <w:trHeight w:val="283"/>
        </w:trPr>
        <w:tc>
          <w:tcPr>
            <w:tcW w:w="5867" w:type="dxa"/>
            <w:shd w:val="clear" w:color="auto" w:fill="auto"/>
            <w:noWrap/>
            <w:vAlign w:val="bottom"/>
            <w:hideMark/>
          </w:tcPr>
          <w:p w14:paraId="22A983EF" w14:textId="77777777" w:rsidR="00030CEF" w:rsidRPr="004C1FBC" w:rsidRDefault="00030CEF" w:rsidP="00030CEF">
            <w:pPr>
              <w:spacing w:before="40"/>
              <w:rPr>
                <w:rFonts w:ascii="Arial" w:eastAsia="Arial" w:hAnsi="Arial" w:cs="Arial"/>
                <w:sz w:val="22"/>
                <w:szCs w:val="22"/>
              </w:rPr>
            </w:pPr>
            <w:r w:rsidRPr="004C1FBC">
              <w:rPr>
                <w:color w:val="000000"/>
                <w:sz w:val="22"/>
                <w:szCs w:val="22"/>
              </w:rPr>
              <w:t>Israel</w:t>
            </w:r>
          </w:p>
        </w:tc>
        <w:tc>
          <w:tcPr>
            <w:tcW w:w="1400" w:type="dxa"/>
            <w:shd w:val="clear" w:color="auto" w:fill="auto"/>
            <w:noWrap/>
            <w:vAlign w:val="bottom"/>
            <w:hideMark/>
          </w:tcPr>
          <w:p w14:paraId="5C372198" w14:textId="3C184DEE" w:rsidR="00030CEF" w:rsidRPr="004C1FBC" w:rsidRDefault="00094C6F">
            <w:pPr>
              <w:spacing w:before="40"/>
              <w:jc w:val="right"/>
              <w:rPr>
                <w:sz w:val="22"/>
                <w:szCs w:val="22"/>
              </w:rPr>
            </w:pPr>
            <w:r w:rsidRPr="004C1FBC">
              <w:rPr>
                <w:color w:val="000000"/>
                <w:sz w:val="22"/>
                <w:szCs w:val="22"/>
              </w:rPr>
              <w:t>23</w:t>
            </w:r>
            <w:r w:rsidR="00030CEF" w:rsidRPr="004C1FBC">
              <w:rPr>
                <w:color w:val="000000"/>
                <w:sz w:val="22"/>
                <w:szCs w:val="22"/>
              </w:rPr>
              <w:t>%</w:t>
            </w:r>
          </w:p>
        </w:tc>
      </w:tr>
    </w:tbl>
    <w:p w14:paraId="591DAB50" w14:textId="77777777" w:rsidR="009971CB" w:rsidRPr="0020502A" w:rsidRDefault="009971CB" w:rsidP="00841DA6">
      <w:pPr>
        <w:rPr>
          <w:b/>
          <w:bCs/>
          <w:sz w:val="10"/>
          <w:szCs w:val="10"/>
        </w:rPr>
      </w:pPr>
    </w:p>
    <w:p w14:paraId="6EDD8246" w14:textId="1C2F2231" w:rsidR="00C31227" w:rsidRDefault="004A11B6" w:rsidP="00C5462B">
      <w:pPr>
        <w:pStyle w:val="af2"/>
        <w:numPr>
          <w:ilvl w:val="0"/>
          <w:numId w:val="16"/>
        </w:numPr>
        <w:rPr>
          <w:sz w:val="22"/>
          <w:szCs w:val="22"/>
        </w:rPr>
      </w:pPr>
      <w:r>
        <w:rPr>
          <w:sz w:val="22"/>
          <w:szCs w:val="22"/>
        </w:rPr>
        <w:t xml:space="preserve">Changed to 21% starting from 2024. </w:t>
      </w:r>
    </w:p>
    <w:p w14:paraId="198BB92F" w14:textId="683C5D8B" w:rsidR="009971CB" w:rsidRDefault="00266416" w:rsidP="00C5462B">
      <w:pPr>
        <w:pStyle w:val="af2"/>
        <w:numPr>
          <w:ilvl w:val="0"/>
          <w:numId w:val="16"/>
        </w:numPr>
        <w:rPr>
          <w:sz w:val="22"/>
          <w:szCs w:val="22"/>
        </w:rPr>
      </w:pPr>
      <w:r w:rsidRPr="004C1FBC">
        <w:rPr>
          <w:sz w:val="22"/>
          <w:szCs w:val="22"/>
        </w:rPr>
        <w:t>9% only for small entities</w:t>
      </w:r>
      <w:r w:rsidR="007B4774">
        <w:rPr>
          <w:sz w:val="22"/>
          <w:szCs w:val="22"/>
        </w:rPr>
        <w:t xml:space="preserve"> –</w:t>
      </w:r>
      <w:r w:rsidRPr="004C1FBC">
        <w:rPr>
          <w:sz w:val="22"/>
          <w:szCs w:val="22"/>
        </w:rPr>
        <w:t xml:space="preserve"> revenues up</w:t>
      </w:r>
      <w:r w:rsidRPr="00237FC5">
        <w:rPr>
          <w:sz w:val="22"/>
          <w:szCs w:val="22"/>
        </w:rPr>
        <w:t xml:space="preserve"> to 2M EUR</w:t>
      </w:r>
      <w:r>
        <w:rPr>
          <w:sz w:val="22"/>
          <w:szCs w:val="22"/>
        </w:rPr>
        <w:t>.</w:t>
      </w:r>
    </w:p>
    <w:p w14:paraId="7EFB15E8" w14:textId="77F31F47" w:rsidR="004C1FBC" w:rsidRPr="00237FC5" w:rsidRDefault="004C1FBC" w:rsidP="00C5462B">
      <w:pPr>
        <w:pStyle w:val="af2"/>
        <w:numPr>
          <w:ilvl w:val="0"/>
          <w:numId w:val="16"/>
        </w:numPr>
        <w:rPr>
          <w:sz w:val="22"/>
          <w:szCs w:val="22"/>
        </w:rPr>
      </w:pPr>
      <w:r>
        <w:rPr>
          <w:sz w:val="22"/>
          <w:szCs w:val="22"/>
        </w:rPr>
        <w:t xml:space="preserve">20% tax on corporate profits when distributed as dividends or deemed to be distributed. </w:t>
      </w:r>
    </w:p>
    <w:p w14:paraId="1EDCBB95" w14:textId="77777777" w:rsidR="007958E3" w:rsidRDefault="007958E3" w:rsidP="007958E3">
      <w:pPr>
        <w:jc w:val="both"/>
        <w:rPr>
          <w:sz w:val="22"/>
          <w:szCs w:val="18"/>
        </w:rPr>
      </w:pPr>
    </w:p>
    <w:p w14:paraId="62163D22" w14:textId="0EB8DFB6" w:rsidR="00030CEF" w:rsidRPr="00C435F7" w:rsidRDefault="00030CEF" w:rsidP="00C01E5D">
      <w:pPr>
        <w:jc w:val="both"/>
        <w:outlineLvl w:val="3"/>
        <w:rPr>
          <w:b/>
          <w:bCs/>
          <w:sz w:val="22"/>
          <w:szCs w:val="22"/>
        </w:rPr>
      </w:pPr>
      <w:bookmarkStart w:id="184" w:name="H4_BComposition_of_income_tax_expense"/>
      <w:r w:rsidRPr="00C435F7">
        <w:rPr>
          <w:b/>
          <w:bCs/>
          <w:sz w:val="22"/>
          <w:szCs w:val="22"/>
        </w:rPr>
        <w:t>B.</w:t>
      </w:r>
      <w:r w:rsidRPr="00C435F7">
        <w:rPr>
          <w:b/>
          <w:bCs/>
          <w:sz w:val="22"/>
          <w:szCs w:val="22"/>
        </w:rPr>
        <w:tab/>
        <w:t>Composition of income tax expense</w:t>
      </w:r>
    </w:p>
    <w:bookmarkEnd w:id="184"/>
    <w:p w14:paraId="0A343E8F" w14:textId="77777777" w:rsidR="00030CEF" w:rsidRDefault="00030CEF" w:rsidP="00030CEF">
      <w:pPr>
        <w:rPr>
          <w:sz w:val="22"/>
          <w:szCs w:val="22"/>
        </w:rPr>
      </w:pPr>
    </w:p>
    <w:p w14:paraId="1150BB6F" w14:textId="77777777" w:rsidR="00030CEF" w:rsidRPr="00F02921" w:rsidRDefault="00030CEF" w:rsidP="00030CEF">
      <w:pPr>
        <w:ind w:left="720"/>
        <w:rPr>
          <w:rStyle w:val="Koteret"/>
          <w:b w:val="0"/>
          <w:bCs/>
          <w:i/>
          <w:iCs/>
        </w:rPr>
      </w:pPr>
      <w:r w:rsidRPr="00F02921">
        <w:rPr>
          <w:rStyle w:val="Koteret"/>
          <w:b w:val="0"/>
          <w:bCs/>
          <w:i/>
          <w:iCs/>
        </w:rPr>
        <w:t>In thousands of Euros</w:t>
      </w:r>
    </w:p>
    <w:tbl>
      <w:tblPr>
        <w:tblW w:w="0" w:type="auto"/>
        <w:tblInd w:w="720" w:type="dxa"/>
        <w:tblLook w:val="06A0" w:firstRow="1" w:lastRow="0" w:firstColumn="1" w:lastColumn="0" w:noHBand="1" w:noVBand="1"/>
        <w:tblCaption w:val="AHR02"/>
        <w:tblDescription w:val="Composition of income tax expense&#10;&#10;"/>
      </w:tblPr>
      <w:tblGrid>
        <w:gridCol w:w="4815"/>
        <w:gridCol w:w="1359"/>
        <w:gridCol w:w="1359"/>
        <w:gridCol w:w="1385"/>
      </w:tblGrid>
      <w:tr w:rsidR="00030CEF" w:rsidRPr="00866299" w14:paraId="3AFC4EDE" w14:textId="77777777" w:rsidTr="005101BC">
        <w:trPr>
          <w:cantSplit/>
          <w:trHeight w:val="283"/>
          <w:tblHeader/>
        </w:trPr>
        <w:tc>
          <w:tcPr>
            <w:tcW w:w="4815" w:type="dxa"/>
            <w:shd w:val="clear" w:color="auto" w:fill="auto"/>
            <w:noWrap/>
            <w:vAlign w:val="bottom"/>
            <w:hideMark/>
          </w:tcPr>
          <w:p w14:paraId="61334FBD" w14:textId="77777777" w:rsidR="00030CEF" w:rsidRPr="00866299" w:rsidRDefault="00030CEF" w:rsidP="00030CEF">
            <w:pPr>
              <w:spacing w:before="40"/>
              <w:rPr>
                <w:rFonts w:ascii="Arial" w:eastAsia="Arial" w:hAnsi="Arial" w:cs="Arial"/>
                <w:sz w:val="20"/>
              </w:rPr>
            </w:pPr>
            <w:bookmarkStart w:id="185" w:name="Title_45" w:colFirst="0" w:colLast="0"/>
          </w:p>
        </w:tc>
        <w:tc>
          <w:tcPr>
            <w:tcW w:w="4103" w:type="dxa"/>
            <w:gridSpan w:val="3"/>
            <w:shd w:val="clear" w:color="auto" w:fill="auto"/>
            <w:vAlign w:val="bottom"/>
            <w:hideMark/>
          </w:tcPr>
          <w:p w14:paraId="0886EB44" w14:textId="77777777" w:rsidR="00030CEF" w:rsidRPr="00866299" w:rsidRDefault="00030CEF" w:rsidP="00543265">
            <w:pPr>
              <w:pBdr>
                <w:bottom w:val="single" w:sz="4" w:space="0" w:color="000000"/>
              </w:pBdr>
              <w:spacing w:before="40"/>
              <w:jc w:val="center"/>
              <w:rPr>
                <w:b/>
                <w:bCs/>
                <w:sz w:val="20"/>
              </w:rPr>
            </w:pPr>
            <w:r w:rsidRPr="00866299">
              <w:rPr>
                <w:b/>
                <w:bCs/>
                <w:color w:val="000000"/>
                <w:sz w:val="20"/>
              </w:rPr>
              <w:t>For the year ended December 31</w:t>
            </w:r>
            <w:r w:rsidRPr="00866299">
              <w:rPr>
                <w:b/>
                <w:bCs/>
                <w:sz w:val="20"/>
              </w:rPr>
              <w:t>,</w:t>
            </w:r>
          </w:p>
        </w:tc>
      </w:tr>
      <w:bookmarkEnd w:id="185"/>
      <w:tr w:rsidR="001660A5" w:rsidRPr="00866299" w14:paraId="1E171DE3" w14:textId="77777777" w:rsidTr="005101BC">
        <w:trPr>
          <w:cantSplit/>
          <w:trHeight w:val="283"/>
          <w:tblHeader/>
        </w:trPr>
        <w:tc>
          <w:tcPr>
            <w:tcW w:w="4815" w:type="dxa"/>
            <w:shd w:val="clear" w:color="auto" w:fill="auto"/>
            <w:noWrap/>
            <w:vAlign w:val="bottom"/>
            <w:hideMark/>
          </w:tcPr>
          <w:p w14:paraId="7C6A7934" w14:textId="77777777" w:rsidR="001660A5" w:rsidRPr="00866299" w:rsidRDefault="001660A5" w:rsidP="001660A5">
            <w:pPr>
              <w:spacing w:before="40"/>
              <w:rPr>
                <w:rFonts w:ascii="Arial" w:eastAsia="Arial" w:hAnsi="Arial" w:cs="Arial"/>
                <w:sz w:val="20"/>
              </w:rPr>
            </w:pPr>
          </w:p>
        </w:tc>
        <w:tc>
          <w:tcPr>
            <w:tcW w:w="1359" w:type="dxa"/>
            <w:shd w:val="clear" w:color="auto" w:fill="auto"/>
            <w:vAlign w:val="bottom"/>
            <w:hideMark/>
          </w:tcPr>
          <w:p w14:paraId="1BB8C8F0" w14:textId="70F23CA9" w:rsidR="001660A5" w:rsidRPr="00543265" w:rsidRDefault="00AD1E41" w:rsidP="00543265">
            <w:pPr>
              <w:pBdr>
                <w:bottom w:val="single" w:sz="4" w:space="0" w:color="000000"/>
              </w:pBdr>
              <w:spacing w:before="40"/>
              <w:jc w:val="center"/>
              <w:rPr>
                <w:b/>
                <w:bCs/>
                <w:color w:val="000000"/>
                <w:sz w:val="20"/>
              </w:rPr>
            </w:pPr>
            <w:r w:rsidRPr="00543265">
              <w:rPr>
                <w:b/>
                <w:bCs/>
                <w:color w:val="000000"/>
                <w:sz w:val="20"/>
              </w:rPr>
              <w:t>20</w:t>
            </w:r>
            <w:r w:rsidR="007958E3">
              <w:rPr>
                <w:b/>
                <w:bCs/>
                <w:color w:val="000000"/>
                <w:sz w:val="20"/>
              </w:rPr>
              <w:t>24</w:t>
            </w:r>
          </w:p>
        </w:tc>
        <w:tc>
          <w:tcPr>
            <w:tcW w:w="1359" w:type="dxa"/>
            <w:shd w:val="clear" w:color="auto" w:fill="auto"/>
            <w:vAlign w:val="bottom"/>
            <w:hideMark/>
          </w:tcPr>
          <w:p w14:paraId="1B015B35" w14:textId="490856EE" w:rsidR="001660A5" w:rsidRPr="00543265" w:rsidRDefault="007958E3" w:rsidP="00543265">
            <w:pPr>
              <w:pBdr>
                <w:bottom w:val="single" w:sz="4" w:space="0" w:color="000000"/>
              </w:pBdr>
              <w:bidi/>
              <w:spacing w:before="40"/>
              <w:ind w:left="57"/>
              <w:jc w:val="center"/>
              <w:rPr>
                <w:b/>
                <w:bCs/>
                <w:color w:val="000000"/>
                <w:sz w:val="20"/>
              </w:rPr>
            </w:pPr>
            <w:r>
              <w:rPr>
                <w:b/>
                <w:bCs/>
                <w:color w:val="000000"/>
                <w:sz w:val="20"/>
              </w:rPr>
              <w:t>2023</w:t>
            </w:r>
          </w:p>
        </w:tc>
        <w:tc>
          <w:tcPr>
            <w:tcW w:w="1385" w:type="dxa"/>
            <w:shd w:val="clear" w:color="auto" w:fill="auto"/>
            <w:vAlign w:val="bottom"/>
            <w:hideMark/>
          </w:tcPr>
          <w:p w14:paraId="1E14C6B0" w14:textId="4072A4C6" w:rsidR="001660A5" w:rsidRPr="00866299" w:rsidRDefault="007958E3" w:rsidP="00543265">
            <w:pPr>
              <w:pBdr>
                <w:bottom w:val="single" w:sz="4" w:space="0" w:color="000000"/>
              </w:pBdr>
              <w:bidi/>
              <w:spacing w:before="40"/>
              <w:ind w:left="57"/>
              <w:jc w:val="center"/>
              <w:rPr>
                <w:b/>
                <w:bCs/>
                <w:sz w:val="20"/>
              </w:rPr>
            </w:pPr>
            <w:r>
              <w:rPr>
                <w:b/>
                <w:bCs/>
                <w:color w:val="000000"/>
                <w:sz w:val="20"/>
              </w:rPr>
              <w:t>2022</w:t>
            </w:r>
          </w:p>
        </w:tc>
      </w:tr>
      <w:tr w:rsidR="001660A5" w:rsidRPr="00866299" w14:paraId="63CFD679" w14:textId="77777777" w:rsidTr="005101BC">
        <w:trPr>
          <w:trHeight w:val="283"/>
        </w:trPr>
        <w:tc>
          <w:tcPr>
            <w:tcW w:w="4815" w:type="dxa"/>
            <w:shd w:val="clear" w:color="auto" w:fill="auto"/>
            <w:noWrap/>
            <w:vAlign w:val="bottom"/>
            <w:hideMark/>
          </w:tcPr>
          <w:p w14:paraId="77E26008" w14:textId="77777777" w:rsidR="001660A5" w:rsidRPr="00866299" w:rsidRDefault="001660A5" w:rsidP="001660A5">
            <w:pPr>
              <w:spacing w:before="40"/>
              <w:rPr>
                <w:b/>
                <w:bCs/>
                <w:sz w:val="22"/>
                <w:szCs w:val="22"/>
              </w:rPr>
            </w:pPr>
            <w:r w:rsidRPr="00866299">
              <w:rPr>
                <w:b/>
                <w:bCs/>
                <w:color w:val="000000"/>
                <w:sz w:val="22"/>
                <w:szCs w:val="22"/>
              </w:rPr>
              <w:t>Current tax expense</w:t>
            </w:r>
          </w:p>
        </w:tc>
        <w:tc>
          <w:tcPr>
            <w:tcW w:w="1359" w:type="dxa"/>
            <w:shd w:val="clear" w:color="auto" w:fill="auto"/>
            <w:noWrap/>
            <w:vAlign w:val="bottom"/>
          </w:tcPr>
          <w:p w14:paraId="428B198D" w14:textId="77777777" w:rsidR="001660A5" w:rsidRPr="009349D6" w:rsidRDefault="001660A5" w:rsidP="001660A5">
            <w:pPr>
              <w:spacing w:before="40"/>
              <w:jc w:val="right"/>
              <w:rPr>
                <w:b/>
                <w:bCs/>
                <w:sz w:val="22"/>
                <w:szCs w:val="22"/>
                <w:highlight w:val="yellow"/>
              </w:rPr>
            </w:pPr>
          </w:p>
        </w:tc>
        <w:tc>
          <w:tcPr>
            <w:tcW w:w="1359" w:type="dxa"/>
            <w:shd w:val="clear" w:color="auto" w:fill="auto"/>
            <w:noWrap/>
            <w:vAlign w:val="bottom"/>
          </w:tcPr>
          <w:p w14:paraId="6D601FCB" w14:textId="77777777" w:rsidR="001660A5" w:rsidRPr="000943DD" w:rsidRDefault="001660A5" w:rsidP="001660A5">
            <w:pPr>
              <w:spacing w:before="40"/>
              <w:jc w:val="right"/>
              <w:rPr>
                <w:sz w:val="22"/>
                <w:szCs w:val="22"/>
              </w:rPr>
            </w:pPr>
          </w:p>
        </w:tc>
        <w:tc>
          <w:tcPr>
            <w:tcW w:w="1385" w:type="dxa"/>
            <w:shd w:val="clear" w:color="auto" w:fill="auto"/>
            <w:noWrap/>
            <w:vAlign w:val="bottom"/>
          </w:tcPr>
          <w:p w14:paraId="1BB0AC54" w14:textId="77777777" w:rsidR="001660A5" w:rsidRPr="00866299" w:rsidRDefault="001660A5" w:rsidP="001660A5">
            <w:pPr>
              <w:spacing w:before="40"/>
              <w:jc w:val="right"/>
              <w:rPr>
                <w:sz w:val="22"/>
                <w:szCs w:val="22"/>
              </w:rPr>
            </w:pPr>
          </w:p>
        </w:tc>
      </w:tr>
      <w:tr w:rsidR="00F675BD" w:rsidRPr="00866299" w14:paraId="22A24892" w14:textId="77777777" w:rsidTr="005101BC">
        <w:trPr>
          <w:trHeight w:val="283"/>
        </w:trPr>
        <w:tc>
          <w:tcPr>
            <w:tcW w:w="4815" w:type="dxa"/>
            <w:shd w:val="clear" w:color="auto" w:fill="auto"/>
            <w:noWrap/>
            <w:vAlign w:val="bottom"/>
          </w:tcPr>
          <w:p w14:paraId="3763D67F" w14:textId="3354A4F0" w:rsidR="00F675BD" w:rsidRPr="00866299" w:rsidRDefault="00F675BD" w:rsidP="00F675BD">
            <w:pPr>
              <w:spacing w:before="40"/>
              <w:rPr>
                <w:color w:val="000000"/>
                <w:sz w:val="22"/>
                <w:szCs w:val="22"/>
              </w:rPr>
            </w:pPr>
            <w:r w:rsidRPr="00493E12">
              <w:rPr>
                <w:color w:val="000000"/>
                <w:sz w:val="22"/>
                <w:szCs w:val="22"/>
              </w:rPr>
              <w:t>Current taxes</w:t>
            </w:r>
          </w:p>
        </w:tc>
        <w:tc>
          <w:tcPr>
            <w:tcW w:w="1359" w:type="dxa"/>
            <w:shd w:val="clear" w:color="auto" w:fill="auto"/>
            <w:noWrap/>
            <w:vAlign w:val="bottom"/>
          </w:tcPr>
          <w:p w14:paraId="0C288741" w14:textId="70D47DCB" w:rsidR="00F675BD" w:rsidRPr="00FA544D" w:rsidRDefault="00F675BD" w:rsidP="00F675BD">
            <w:pPr>
              <w:spacing w:before="40"/>
              <w:jc w:val="right"/>
              <w:rPr>
                <w:b/>
                <w:bCs/>
                <w:sz w:val="22"/>
                <w:szCs w:val="22"/>
                <w:highlight w:val="yellow"/>
                <w:lang w:bidi="he-IL"/>
              </w:rPr>
            </w:pPr>
            <w:r>
              <w:rPr>
                <w:sz w:val="22"/>
                <w:szCs w:val="22"/>
              </w:rPr>
              <w:t xml:space="preserve">12,435 </w:t>
            </w:r>
          </w:p>
        </w:tc>
        <w:tc>
          <w:tcPr>
            <w:tcW w:w="1359" w:type="dxa"/>
            <w:shd w:val="clear" w:color="auto" w:fill="auto"/>
            <w:noWrap/>
            <w:vAlign w:val="bottom"/>
          </w:tcPr>
          <w:p w14:paraId="09D9762C" w14:textId="2890AD21" w:rsidR="00F675BD" w:rsidRPr="009B28F5" w:rsidRDefault="00F675BD" w:rsidP="00F675BD">
            <w:pPr>
              <w:spacing w:before="40"/>
              <w:jc w:val="right"/>
              <w:rPr>
                <w:sz w:val="22"/>
                <w:szCs w:val="22"/>
              </w:rPr>
            </w:pPr>
            <w:r>
              <w:rPr>
                <w:sz w:val="22"/>
                <w:szCs w:val="22"/>
              </w:rPr>
              <w:t>10,570</w:t>
            </w:r>
          </w:p>
        </w:tc>
        <w:tc>
          <w:tcPr>
            <w:tcW w:w="1385" w:type="dxa"/>
            <w:shd w:val="clear" w:color="auto" w:fill="auto"/>
            <w:noWrap/>
            <w:vAlign w:val="bottom"/>
          </w:tcPr>
          <w:p w14:paraId="76973A3E" w14:textId="4C9B3E4A" w:rsidR="00F675BD" w:rsidRPr="00866299" w:rsidRDefault="00F675BD" w:rsidP="00F675BD">
            <w:pPr>
              <w:spacing w:before="40"/>
              <w:jc w:val="right"/>
              <w:rPr>
                <w:sz w:val="22"/>
                <w:szCs w:val="22"/>
              </w:rPr>
            </w:pPr>
            <w:r w:rsidRPr="00543265">
              <w:rPr>
                <w:sz w:val="22"/>
                <w:szCs w:val="22"/>
              </w:rPr>
              <w:t>9,932</w:t>
            </w:r>
          </w:p>
        </w:tc>
      </w:tr>
      <w:tr w:rsidR="00F675BD" w:rsidRPr="00866299" w14:paraId="63FDC61A" w14:textId="77777777" w:rsidTr="005101BC">
        <w:trPr>
          <w:trHeight w:val="283"/>
        </w:trPr>
        <w:tc>
          <w:tcPr>
            <w:tcW w:w="4815" w:type="dxa"/>
            <w:shd w:val="clear" w:color="auto" w:fill="auto"/>
            <w:noWrap/>
            <w:vAlign w:val="bottom"/>
          </w:tcPr>
          <w:p w14:paraId="46C6E02E" w14:textId="5BFD8EB8" w:rsidR="00F675BD" w:rsidRPr="00866299" w:rsidRDefault="00F675BD" w:rsidP="00F675BD">
            <w:pPr>
              <w:spacing w:before="40"/>
              <w:rPr>
                <w:color w:val="000000"/>
                <w:sz w:val="22"/>
                <w:szCs w:val="22"/>
              </w:rPr>
            </w:pPr>
            <w:r w:rsidRPr="00493E12">
              <w:rPr>
                <w:color w:val="000000"/>
                <w:sz w:val="22"/>
                <w:szCs w:val="22"/>
              </w:rPr>
              <w:t>Taxes in respect of previous years</w:t>
            </w:r>
          </w:p>
        </w:tc>
        <w:tc>
          <w:tcPr>
            <w:tcW w:w="1359" w:type="dxa"/>
            <w:shd w:val="clear" w:color="auto" w:fill="auto"/>
            <w:noWrap/>
            <w:vAlign w:val="bottom"/>
          </w:tcPr>
          <w:p w14:paraId="56932811" w14:textId="0B503D78" w:rsidR="00F675BD" w:rsidRPr="00FA544D" w:rsidRDefault="00F675BD" w:rsidP="00F675BD">
            <w:pPr>
              <w:pBdr>
                <w:bottom w:val="single" w:sz="4" w:space="0" w:color="000000"/>
              </w:pBdr>
              <w:spacing w:before="40"/>
              <w:jc w:val="right"/>
              <w:rPr>
                <w:b/>
                <w:bCs/>
                <w:sz w:val="22"/>
                <w:szCs w:val="22"/>
                <w:highlight w:val="yellow"/>
                <w:lang w:bidi="he-IL"/>
              </w:rPr>
            </w:pPr>
            <w:r>
              <w:rPr>
                <w:color w:val="000000"/>
                <w:sz w:val="22"/>
                <w:szCs w:val="22"/>
              </w:rPr>
              <w:t>(900)</w:t>
            </w:r>
          </w:p>
        </w:tc>
        <w:tc>
          <w:tcPr>
            <w:tcW w:w="1359" w:type="dxa"/>
            <w:shd w:val="clear" w:color="auto" w:fill="auto"/>
            <w:noWrap/>
            <w:vAlign w:val="bottom"/>
          </w:tcPr>
          <w:p w14:paraId="6674E878" w14:textId="7AB170F3" w:rsidR="00F675BD" w:rsidRPr="00543265" w:rsidRDefault="00F675BD" w:rsidP="00F675BD">
            <w:pPr>
              <w:pBdr>
                <w:bottom w:val="single" w:sz="4" w:space="0" w:color="000000"/>
              </w:pBdr>
              <w:spacing w:before="40"/>
              <w:jc w:val="right"/>
              <w:rPr>
                <w:sz w:val="22"/>
                <w:szCs w:val="22"/>
              </w:rPr>
            </w:pPr>
            <w:r>
              <w:rPr>
                <w:color w:val="000000"/>
                <w:sz w:val="22"/>
                <w:szCs w:val="22"/>
              </w:rPr>
              <w:t>(40)</w:t>
            </w:r>
          </w:p>
        </w:tc>
        <w:tc>
          <w:tcPr>
            <w:tcW w:w="1385" w:type="dxa"/>
            <w:shd w:val="clear" w:color="auto" w:fill="auto"/>
            <w:noWrap/>
            <w:vAlign w:val="bottom"/>
          </w:tcPr>
          <w:p w14:paraId="2E072AB2" w14:textId="35AA7F9F" w:rsidR="00F675BD" w:rsidRPr="00237FC5" w:rsidRDefault="00F675BD" w:rsidP="00F675BD">
            <w:pPr>
              <w:pBdr>
                <w:bottom w:val="single" w:sz="4" w:space="0" w:color="000000"/>
              </w:pBdr>
              <w:spacing w:before="40"/>
              <w:jc w:val="right"/>
              <w:rPr>
                <w:b/>
                <w:bCs/>
                <w:color w:val="000000"/>
                <w:sz w:val="22"/>
                <w:szCs w:val="22"/>
              </w:rPr>
            </w:pPr>
            <w:r w:rsidRPr="00543265">
              <w:rPr>
                <w:sz w:val="22"/>
                <w:szCs w:val="22"/>
              </w:rPr>
              <w:t>73</w:t>
            </w:r>
          </w:p>
        </w:tc>
      </w:tr>
      <w:tr w:rsidR="00D058CA" w:rsidRPr="00866299" w14:paraId="4A72F380" w14:textId="77777777" w:rsidTr="005101BC">
        <w:trPr>
          <w:trHeight w:val="283"/>
        </w:trPr>
        <w:tc>
          <w:tcPr>
            <w:tcW w:w="4815" w:type="dxa"/>
            <w:shd w:val="clear" w:color="auto" w:fill="auto"/>
            <w:noWrap/>
            <w:vAlign w:val="bottom"/>
            <w:hideMark/>
          </w:tcPr>
          <w:p w14:paraId="19A5D2AD" w14:textId="77777777" w:rsidR="00D058CA" w:rsidRPr="00866299" w:rsidRDefault="00D058CA" w:rsidP="00D058CA">
            <w:pPr>
              <w:spacing w:before="40"/>
              <w:rPr>
                <w:sz w:val="22"/>
                <w:szCs w:val="22"/>
              </w:rPr>
            </w:pPr>
          </w:p>
        </w:tc>
        <w:tc>
          <w:tcPr>
            <w:tcW w:w="1359" w:type="dxa"/>
            <w:shd w:val="clear" w:color="auto" w:fill="auto"/>
            <w:noWrap/>
            <w:vAlign w:val="bottom"/>
          </w:tcPr>
          <w:p w14:paraId="098FFAA9" w14:textId="38EA63CE" w:rsidR="00D058CA" w:rsidRPr="00D058CA" w:rsidRDefault="00D058CA" w:rsidP="00D058CA">
            <w:pPr>
              <w:pBdr>
                <w:bottom w:val="single" w:sz="4" w:space="0" w:color="000000"/>
              </w:pBdr>
              <w:spacing w:before="40"/>
              <w:jc w:val="right"/>
              <w:rPr>
                <w:b/>
                <w:bCs/>
                <w:sz w:val="22"/>
                <w:szCs w:val="22"/>
                <w:highlight w:val="yellow"/>
              </w:rPr>
            </w:pPr>
            <w:r w:rsidRPr="00D058CA">
              <w:rPr>
                <w:sz w:val="22"/>
                <w:szCs w:val="22"/>
              </w:rPr>
              <w:t>11,535</w:t>
            </w:r>
          </w:p>
        </w:tc>
        <w:tc>
          <w:tcPr>
            <w:tcW w:w="1359" w:type="dxa"/>
            <w:shd w:val="clear" w:color="auto" w:fill="auto"/>
            <w:noWrap/>
            <w:vAlign w:val="bottom"/>
          </w:tcPr>
          <w:p w14:paraId="738FE7A1" w14:textId="68EED578" w:rsidR="00D058CA" w:rsidRPr="009B28F5" w:rsidRDefault="00D058CA" w:rsidP="00D058CA">
            <w:pPr>
              <w:pBdr>
                <w:bottom w:val="single" w:sz="4" w:space="0" w:color="000000"/>
              </w:pBdr>
              <w:spacing w:before="40"/>
              <w:jc w:val="right"/>
              <w:rPr>
                <w:sz w:val="22"/>
                <w:szCs w:val="22"/>
              </w:rPr>
            </w:pPr>
            <w:r>
              <w:rPr>
                <w:sz w:val="22"/>
                <w:szCs w:val="22"/>
              </w:rPr>
              <w:t>10,530</w:t>
            </w:r>
          </w:p>
        </w:tc>
        <w:tc>
          <w:tcPr>
            <w:tcW w:w="1385" w:type="dxa"/>
            <w:shd w:val="clear" w:color="auto" w:fill="auto"/>
            <w:noWrap/>
            <w:vAlign w:val="bottom"/>
          </w:tcPr>
          <w:p w14:paraId="72B5FB34" w14:textId="2E1EEAAF" w:rsidR="00D058CA" w:rsidRPr="00866299" w:rsidRDefault="00D058CA" w:rsidP="00D058CA">
            <w:pPr>
              <w:pBdr>
                <w:bottom w:val="single" w:sz="4" w:space="0" w:color="000000"/>
              </w:pBdr>
              <w:spacing w:before="40"/>
              <w:jc w:val="right"/>
              <w:rPr>
                <w:sz w:val="22"/>
                <w:szCs w:val="22"/>
              </w:rPr>
            </w:pPr>
            <w:r w:rsidRPr="00543265">
              <w:rPr>
                <w:sz w:val="22"/>
                <w:szCs w:val="22"/>
              </w:rPr>
              <w:t>10,005</w:t>
            </w:r>
          </w:p>
        </w:tc>
      </w:tr>
      <w:tr w:rsidR="00D058CA" w:rsidRPr="00866299" w14:paraId="7140F4D3" w14:textId="77777777" w:rsidTr="005101BC">
        <w:trPr>
          <w:trHeight w:val="283"/>
        </w:trPr>
        <w:tc>
          <w:tcPr>
            <w:tcW w:w="4815" w:type="dxa"/>
            <w:shd w:val="clear" w:color="auto" w:fill="auto"/>
            <w:noWrap/>
            <w:vAlign w:val="bottom"/>
            <w:hideMark/>
          </w:tcPr>
          <w:p w14:paraId="36F447D9" w14:textId="77777777" w:rsidR="00D058CA" w:rsidRPr="00866299" w:rsidRDefault="00D058CA" w:rsidP="00D058CA">
            <w:pPr>
              <w:spacing w:before="40"/>
              <w:rPr>
                <w:b/>
                <w:bCs/>
                <w:sz w:val="22"/>
                <w:szCs w:val="22"/>
              </w:rPr>
            </w:pPr>
            <w:r w:rsidRPr="00866299">
              <w:rPr>
                <w:b/>
                <w:bCs/>
                <w:color w:val="000000"/>
                <w:sz w:val="22"/>
                <w:szCs w:val="22"/>
              </w:rPr>
              <w:t>Deferred tax expense</w:t>
            </w:r>
          </w:p>
        </w:tc>
        <w:tc>
          <w:tcPr>
            <w:tcW w:w="1359" w:type="dxa"/>
            <w:shd w:val="clear" w:color="auto" w:fill="auto"/>
            <w:noWrap/>
            <w:vAlign w:val="bottom"/>
          </w:tcPr>
          <w:p w14:paraId="54751B35" w14:textId="77777777" w:rsidR="00D058CA" w:rsidRPr="00D058CA" w:rsidRDefault="00D058CA" w:rsidP="00D058CA">
            <w:pPr>
              <w:spacing w:before="40"/>
              <w:jc w:val="right"/>
              <w:rPr>
                <w:b/>
                <w:bCs/>
                <w:sz w:val="22"/>
                <w:szCs w:val="22"/>
                <w:highlight w:val="yellow"/>
              </w:rPr>
            </w:pPr>
          </w:p>
        </w:tc>
        <w:tc>
          <w:tcPr>
            <w:tcW w:w="1359" w:type="dxa"/>
            <w:shd w:val="clear" w:color="auto" w:fill="auto"/>
            <w:noWrap/>
            <w:vAlign w:val="bottom"/>
          </w:tcPr>
          <w:p w14:paraId="2BA1B61E" w14:textId="77777777" w:rsidR="00D058CA" w:rsidRPr="009B28F5" w:rsidRDefault="00D058CA" w:rsidP="00D058CA">
            <w:pPr>
              <w:spacing w:before="40"/>
              <w:jc w:val="right"/>
              <w:rPr>
                <w:sz w:val="22"/>
                <w:szCs w:val="22"/>
              </w:rPr>
            </w:pPr>
          </w:p>
        </w:tc>
        <w:tc>
          <w:tcPr>
            <w:tcW w:w="1385" w:type="dxa"/>
            <w:shd w:val="clear" w:color="auto" w:fill="auto"/>
            <w:noWrap/>
            <w:vAlign w:val="bottom"/>
          </w:tcPr>
          <w:p w14:paraId="75D46C05" w14:textId="77777777" w:rsidR="00D058CA" w:rsidRPr="00866299" w:rsidRDefault="00D058CA" w:rsidP="00D058CA">
            <w:pPr>
              <w:spacing w:before="40"/>
              <w:jc w:val="right"/>
              <w:rPr>
                <w:sz w:val="22"/>
                <w:szCs w:val="22"/>
              </w:rPr>
            </w:pPr>
          </w:p>
        </w:tc>
      </w:tr>
      <w:tr w:rsidR="00D058CA" w:rsidRPr="00866299" w14:paraId="63931930" w14:textId="77777777" w:rsidTr="005101BC">
        <w:trPr>
          <w:trHeight w:val="283"/>
        </w:trPr>
        <w:tc>
          <w:tcPr>
            <w:tcW w:w="4815" w:type="dxa"/>
            <w:shd w:val="clear" w:color="auto" w:fill="auto"/>
            <w:noWrap/>
            <w:vAlign w:val="bottom"/>
            <w:hideMark/>
          </w:tcPr>
          <w:p w14:paraId="63FD29FA" w14:textId="141A029E" w:rsidR="00D058CA" w:rsidRPr="00866299" w:rsidRDefault="00D058CA" w:rsidP="00D058CA">
            <w:pPr>
              <w:spacing w:before="40"/>
              <w:rPr>
                <w:sz w:val="22"/>
                <w:szCs w:val="22"/>
              </w:rPr>
            </w:pPr>
            <w:r w:rsidRPr="00493E12">
              <w:rPr>
                <w:color w:val="000000"/>
                <w:sz w:val="22"/>
                <w:szCs w:val="22"/>
              </w:rPr>
              <w:t>Deferred taxes</w:t>
            </w:r>
          </w:p>
        </w:tc>
        <w:tc>
          <w:tcPr>
            <w:tcW w:w="1359" w:type="dxa"/>
            <w:shd w:val="clear" w:color="auto" w:fill="auto"/>
            <w:noWrap/>
            <w:vAlign w:val="bottom"/>
          </w:tcPr>
          <w:p w14:paraId="0240483F" w14:textId="0E15C16E" w:rsidR="00D058CA" w:rsidRPr="00D058CA" w:rsidRDefault="00D058CA" w:rsidP="00D058CA">
            <w:pPr>
              <w:spacing w:before="40"/>
              <w:jc w:val="right"/>
              <w:rPr>
                <w:b/>
                <w:bCs/>
                <w:sz w:val="22"/>
                <w:szCs w:val="22"/>
                <w:highlight w:val="yellow"/>
              </w:rPr>
            </w:pPr>
            <w:r w:rsidRPr="00D058CA">
              <w:rPr>
                <w:sz w:val="22"/>
                <w:szCs w:val="22"/>
              </w:rPr>
              <w:t>22,978</w:t>
            </w:r>
          </w:p>
        </w:tc>
        <w:tc>
          <w:tcPr>
            <w:tcW w:w="1359" w:type="dxa"/>
            <w:shd w:val="clear" w:color="auto" w:fill="auto"/>
            <w:noWrap/>
            <w:vAlign w:val="bottom"/>
          </w:tcPr>
          <w:p w14:paraId="772045FE" w14:textId="731DFBC9" w:rsidR="00D058CA" w:rsidRPr="009B28F5" w:rsidRDefault="00D058CA" w:rsidP="00D058CA">
            <w:pPr>
              <w:spacing w:before="40"/>
              <w:jc w:val="right"/>
              <w:rPr>
                <w:sz w:val="22"/>
                <w:szCs w:val="22"/>
              </w:rPr>
            </w:pPr>
            <w:r>
              <w:rPr>
                <w:sz w:val="22"/>
                <w:szCs w:val="22"/>
              </w:rPr>
              <w:t>(1,509)</w:t>
            </w:r>
          </w:p>
        </w:tc>
        <w:tc>
          <w:tcPr>
            <w:tcW w:w="1385" w:type="dxa"/>
            <w:shd w:val="clear" w:color="auto" w:fill="auto"/>
            <w:noWrap/>
            <w:vAlign w:val="bottom"/>
          </w:tcPr>
          <w:p w14:paraId="2C2A0874" w14:textId="2847287F" w:rsidR="00D058CA" w:rsidRPr="00866299" w:rsidRDefault="00D058CA" w:rsidP="00D058CA">
            <w:pPr>
              <w:spacing w:before="40"/>
              <w:jc w:val="right"/>
              <w:rPr>
                <w:sz w:val="22"/>
                <w:szCs w:val="22"/>
              </w:rPr>
            </w:pPr>
            <w:r w:rsidRPr="00543265">
              <w:rPr>
                <w:sz w:val="22"/>
                <w:szCs w:val="22"/>
              </w:rPr>
              <w:t>14,738</w:t>
            </w:r>
          </w:p>
        </w:tc>
      </w:tr>
      <w:tr w:rsidR="00D058CA" w:rsidRPr="00866299" w14:paraId="1961F1D8" w14:textId="77777777" w:rsidTr="005101BC">
        <w:trPr>
          <w:trHeight w:val="283"/>
        </w:trPr>
        <w:tc>
          <w:tcPr>
            <w:tcW w:w="4815" w:type="dxa"/>
            <w:shd w:val="clear" w:color="auto" w:fill="auto"/>
            <w:noWrap/>
            <w:vAlign w:val="bottom"/>
          </w:tcPr>
          <w:p w14:paraId="6AF0900A" w14:textId="5CE292C9" w:rsidR="00D058CA" w:rsidRPr="00866299" w:rsidRDefault="00D058CA" w:rsidP="00D058CA">
            <w:pPr>
              <w:spacing w:before="40"/>
              <w:rPr>
                <w:color w:val="000000"/>
                <w:sz w:val="22"/>
                <w:szCs w:val="22"/>
              </w:rPr>
            </w:pPr>
            <w:r w:rsidRPr="00493E12">
              <w:rPr>
                <w:color w:val="000000"/>
                <w:sz w:val="22"/>
                <w:szCs w:val="22"/>
              </w:rPr>
              <w:t>Adjustment of deferred tax balances following a change in tax rates</w:t>
            </w:r>
            <w:r>
              <w:rPr>
                <w:color w:val="000000"/>
                <w:sz w:val="22"/>
                <w:szCs w:val="22"/>
              </w:rPr>
              <w:t xml:space="preserve"> (see also Note 20</w:t>
            </w:r>
            <w:proofErr w:type="gramStart"/>
            <w:r>
              <w:rPr>
                <w:color w:val="000000"/>
                <w:sz w:val="22"/>
                <w:szCs w:val="22"/>
              </w:rPr>
              <w:t>A(</w:t>
            </w:r>
            <w:proofErr w:type="gramEnd"/>
            <w:r>
              <w:rPr>
                <w:color w:val="000000"/>
                <w:sz w:val="22"/>
                <w:szCs w:val="22"/>
              </w:rPr>
              <w:t>1))</w:t>
            </w:r>
          </w:p>
        </w:tc>
        <w:tc>
          <w:tcPr>
            <w:tcW w:w="1359" w:type="dxa"/>
            <w:shd w:val="clear" w:color="auto" w:fill="auto"/>
            <w:noWrap/>
            <w:vAlign w:val="bottom"/>
          </w:tcPr>
          <w:p w14:paraId="29D2C69F" w14:textId="686B4909" w:rsidR="00D058CA" w:rsidRPr="00D058CA" w:rsidRDefault="00D058CA" w:rsidP="00D058CA">
            <w:pPr>
              <w:pBdr>
                <w:bottom w:val="single" w:sz="4" w:space="0" w:color="000000"/>
              </w:pBdr>
              <w:spacing w:before="40"/>
              <w:jc w:val="right"/>
              <w:rPr>
                <w:b/>
                <w:bCs/>
                <w:sz w:val="22"/>
                <w:szCs w:val="22"/>
                <w:highlight w:val="yellow"/>
              </w:rPr>
            </w:pPr>
            <w:r w:rsidRPr="00D058CA">
              <w:rPr>
                <w:sz w:val="22"/>
                <w:szCs w:val="22"/>
              </w:rPr>
              <w:t>-</w:t>
            </w:r>
          </w:p>
        </w:tc>
        <w:tc>
          <w:tcPr>
            <w:tcW w:w="1359" w:type="dxa"/>
            <w:shd w:val="clear" w:color="auto" w:fill="auto"/>
            <w:noWrap/>
            <w:vAlign w:val="bottom"/>
          </w:tcPr>
          <w:p w14:paraId="161A8653" w14:textId="4CE95153" w:rsidR="00D058CA" w:rsidRPr="009B28F5" w:rsidRDefault="00D058CA" w:rsidP="00D058CA">
            <w:pPr>
              <w:pBdr>
                <w:bottom w:val="single" w:sz="4" w:space="0" w:color="000000"/>
              </w:pBdr>
              <w:spacing w:before="40"/>
              <w:jc w:val="right"/>
              <w:rPr>
                <w:sz w:val="22"/>
                <w:szCs w:val="22"/>
              </w:rPr>
            </w:pPr>
            <w:r>
              <w:rPr>
                <w:sz w:val="22"/>
                <w:szCs w:val="22"/>
              </w:rPr>
              <w:t xml:space="preserve">2,565 </w:t>
            </w:r>
          </w:p>
        </w:tc>
        <w:tc>
          <w:tcPr>
            <w:tcW w:w="1385" w:type="dxa"/>
            <w:shd w:val="clear" w:color="auto" w:fill="auto"/>
            <w:noWrap/>
            <w:vAlign w:val="bottom"/>
          </w:tcPr>
          <w:p w14:paraId="129FD959" w14:textId="475E3E22" w:rsidR="00D058CA" w:rsidRPr="00237FC5" w:rsidRDefault="00D058CA" w:rsidP="00D058CA">
            <w:pPr>
              <w:pBdr>
                <w:bottom w:val="single" w:sz="4" w:space="0" w:color="000000"/>
              </w:pBdr>
              <w:spacing w:before="40"/>
              <w:jc w:val="right"/>
              <w:rPr>
                <w:b/>
                <w:bCs/>
                <w:sz w:val="22"/>
                <w:szCs w:val="22"/>
              </w:rPr>
            </w:pPr>
            <w:r w:rsidRPr="00543265">
              <w:rPr>
                <w:sz w:val="22"/>
                <w:szCs w:val="22"/>
              </w:rPr>
              <w:t>(78)</w:t>
            </w:r>
          </w:p>
        </w:tc>
      </w:tr>
      <w:tr w:rsidR="00D058CA" w:rsidRPr="00866299" w14:paraId="1114F5DA" w14:textId="77777777" w:rsidTr="005101BC">
        <w:trPr>
          <w:trHeight w:val="283"/>
        </w:trPr>
        <w:tc>
          <w:tcPr>
            <w:tcW w:w="4815" w:type="dxa"/>
            <w:shd w:val="clear" w:color="auto" w:fill="auto"/>
            <w:noWrap/>
            <w:vAlign w:val="bottom"/>
            <w:hideMark/>
          </w:tcPr>
          <w:p w14:paraId="1D3A387B" w14:textId="77777777" w:rsidR="00D058CA" w:rsidRPr="00866299" w:rsidRDefault="00D058CA" w:rsidP="00D058CA">
            <w:pPr>
              <w:spacing w:before="40"/>
              <w:rPr>
                <w:sz w:val="22"/>
                <w:szCs w:val="22"/>
              </w:rPr>
            </w:pPr>
          </w:p>
        </w:tc>
        <w:tc>
          <w:tcPr>
            <w:tcW w:w="1359" w:type="dxa"/>
            <w:shd w:val="clear" w:color="auto" w:fill="auto"/>
            <w:noWrap/>
            <w:vAlign w:val="bottom"/>
          </w:tcPr>
          <w:p w14:paraId="5D958BB1" w14:textId="252EBEDB" w:rsidR="00D058CA" w:rsidRPr="00D058CA" w:rsidRDefault="004E6383" w:rsidP="00D058CA">
            <w:pPr>
              <w:pBdr>
                <w:bottom w:val="single" w:sz="4" w:space="1" w:color="auto"/>
              </w:pBdr>
              <w:spacing w:before="40"/>
              <w:jc w:val="right"/>
              <w:rPr>
                <w:sz w:val="22"/>
                <w:szCs w:val="22"/>
              </w:rPr>
            </w:pPr>
            <w:r>
              <w:rPr>
                <w:sz w:val="22"/>
                <w:szCs w:val="22"/>
              </w:rPr>
              <w:t>22,978</w:t>
            </w:r>
          </w:p>
        </w:tc>
        <w:tc>
          <w:tcPr>
            <w:tcW w:w="1359" w:type="dxa"/>
            <w:shd w:val="clear" w:color="auto" w:fill="auto"/>
            <w:noWrap/>
            <w:vAlign w:val="bottom"/>
          </w:tcPr>
          <w:p w14:paraId="4D1CEA4E" w14:textId="05828AC7" w:rsidR="00D058CA" w:rsidRPr="009B28F5" w:rsidRDefault="00D058CA" w:rsidP="00D058CA">
            <w:pPr>
              <w:pBdr>
                <w:bottom w:val="single" w:sz="4" w:space="1" w:color="auto"/>
              </w:pBdr>
              <w:spacing w:before="40"/>
              <w:jc w:val="right"/>
              <w:rPr>
                <w:sz w:val="22"/>
                <w:szCs w:val="22"/>
              </w:rPr>
            </w:pPr>
            <w:r>
              <w:rPr>
                <w:sz w:val="22"/>
                <w:szCs w:val="22"/>
              </w:rPr>
              <w:t>1,056</w:t>
            </w:r>
          </w:p>
        </w:tc>
        <w:tc>
          <w:tcPr>
            <w:tcW w:w="1385" w:type="dxa"/>
            <w:shd w:val="clear" w:color="auto" w:fill="auto"/>
            <w:noWrap/>
            <w:vAlign w:val="bottom"/>
          </w:tcPr>
          <w:p w14:paraId="6955867A" w14:textId="71C6AD3A" w:rsidR="00D058CA" w:rsidRPr="00866299" w:rsidRDefault="00D058CA" w:rsidP="00D058CA">
            <w:pPr>
              <w:pBdr>
                <w:bottom w:val="single" w:sz="4" w:space="1" w:color="auto"/>
              </w:pBdr>
              <w:spacing w:before="40"/>
              <w:jc w:val="right"/>
              <w:rPr>
                <w:sz w:val="22"/>
                <w:szCs w:val="22"/>
              </w:rPr>
            </w:pPr>
            <w:r w:rsidRPr="00543265">
              <w:rPr>
                <w:sz w:val="22"/>
                <w:szCs w:val="22"/>
              </w:rPr>
              <w:t>14,660</w:t>
            </w:r>
          </w:p>
        </w:tc>
      </w:tr>
      <w:tr w:rsidR="00D058CA" w:rsidRPr="00866299" w14:paraId="74873839" w14:textId="77777777" w:rsidTr="005101BC">
        <w:trPr>
          <w:trHeight w:val="283"/>
        </w:trPr>
        <w:tc>
          <w:tcPr>
            <w:tcW w:w="4815" w:type="dxa"/>
            <w:shd w:val="clear" w:color="auto" w:fill="auto"/>
            <w:noWrap/>
            <w:vAlign w:val="bottom"/>
          </w:tcPr>
          <w:p w14:paraId="43A1A285" w14:textId="77777777" w:rsidR="00D058CA" w:rsidRPr="00866299" w:rsidRDefault="00D058CA" w:rsidP="00D058CA">
            <w:pPr>
              <w:spacing w:before="40"/>
              <w:rPr>
                <w:sz w:val="22"/>
                <w:szCs w:val="22"/>
              </w:rPr>
            </w:pPr>
          </w:p>
        </w:tc>
        <w:tc>
          <w:tcPr>
            <w:tcW w:w="1359" w:type="dxa"/>
            <w:shd w:val="clear" w:color="auto" w:fill="auto"/>
            <w:noWrap/>
            <w:vAlign w:val="bottom"/>
          </w:tcPr>
          <w:p w14:paraId="2AE4A8C0" w14:textId="28F3D765" w:rsidR="00D058CA" w:rsidRPr="00D058CA" w:rsidRDefault="004E6383" w:rsidP="00D058CA">
            <w:pPr>
              <w:pBdr>
                <w:bottom w:val="double" w:sz="4" w:space="0" w:color="000000"/>
              </w:pBdr>
              <w:spacing w:before="40"/>
              <w:jc w:val="right"/>
              <w:rPr>
                <w:b/>
                <w:bCs/>
                <w:sz w:val="22"/>
                <w:szCs w:val="22"/>
                <w:highlight w:val="yellow"/>
              </w:rPr>
            </w:pPr>
            <w:r>
              <w:rPr>
                <w:sz w:val="22"/>
                <w:szCs w:val="22"/>
              </w:rPr>
              <w:t>34,513</w:t>
            </w:r>
          </w:p>
        </w:tc>
        <w:tc>
          <w:tcPr>
            <w:tcW w:w="1359" w:type="dxa"/>
            <w:shd w:val="clear" w:color="auto" w:fill="auto"/>
            <w:noWrap/>
            <w:vAlign w:val="bottom"/>
          </w:tcPr>
          <w:p w14:paraId="212A9ED3" w14:textId="6DF08EEA" w:rsidR="00D058CA" w:rsidRPr="009B28F5" w:rsidRDefault="00D058CA" w:rsidP="00D058CA">
            <w:pPr>
              <w:pBdr>
                <w:bottom w:val="double" w:sz="4" w:space="0" w:color="000000"/>
              </w:pBdr>
              <w:spacing w:before="40"/>
              <w:jc w:val="right"/>
              <w:rPr>
                <w:sz w:val="22"/>
                <w:szCs w:val="22"/>
              </w:rPr>
            </w:pPr>
            <w:r>
              <w:rPr>
                <w:sz w:val="22"/>
                <w:szCs w:val="22"/>
              </w:rPr>
              <w:t>11,586</w:t>
            </w:r>
          </w:p>
        </w:tc>
        <w:tc>
          <w:tcPr>
            <w:tcW w:w="1385" w:type="dxa"/>
            <w:shd w:val="clear" w:color="auto" w:fill="auto"/>
            <w:noWrap/>
            <w:vAlign w:val="bottom"/>
          </w:tcPr>
          <w:p w14:paraId="7B1BCCA8" w14:textId="7B115100" w:rsidR="00D058CA" w:rsidRPr="005862F2" w:rsidRDefault="00D058CA" w:rsidP="00D058CA">
            <w:pPr>
              <w:pBdr>
                <w:bottom w:val="double" w:sz="4" w:space="0" w:color="000000"/>
              </w:pBdr>
              <w:spacing w:before="40"/>
              <w:jc w:val="right"/>
              <w:rPr>
                <w:sz w:val="22"/>
                <w:szCs w:val="22"/>
              </w:rPr>
            </w:pPr>
            <w:r w:rsidRPr="00543265">
              <w:rPr>
                <w:sz w:val="22"/>
                <w:szCs w:val="22"/>
              </w:rPr>
              <w:t>24,665</w:t>
            </w:r>
          </w:p>
        </w:tc>
      </w:tr>
    </w:tbl>
    <w:p w14:paraId="6C286583" w14:textId="0AD937D6" w:rsidR="00030CEF" w:rsidRDefault="00030CEF" w:rsidP="00030CEF">
      <w:pPr>
        <w:ind w:left="1440" w:hanging="720"/>
      </w:pPr>
    </w:p>
    <w:p w14:paraId="64CB5111" w14:textId="10FBC672" w:rsidR="00030CEF" w:rsidRPr="00CE0F26" w:rsidRDefault="00C31E2C" w:rsidP="00C5462B">
      <w:pPr>
        <w:numPr>
          <w:ilvl w:val="0"/>
          <w:numId w:val="7"/>
        </w:numPr>
        <w:jc w:val="both"/>
        <w:rPr>
          <w:sz w:val="22"/>
          <w:szCs w:val="18"/>
        </w:rPr>
      </w:pPr>
      <w:r w:rsidRPr="00CE0F26">
        <w:rPr>
          <w:sz w:val="22"/>
          <w:szCs w:val="18"/>
          <w:lang w:bidi="he-IL"/>
        </w:rPr>
        <w:t xml:space="preserve">The Company’s </w:t>
      </w:r>
      <w:r w:rsidRPr="00CE0F26">
        <w:rPr>
          <w:sz w:val="22"/>
          <w:szCs w:val="18"/>
        </w:rPr>
        <w:t>operational results</w:t>
      </w:r>
      <w:r w:rsidR="00030CEF" w:rsidRPr="00CE0F26">
        <w:rPr>
          <w:sz w:val="22"/>
          <w:szCs w:val="18"/>
        </w:rPr>
        <w:t xml:space="preserve"> for tax purposes are computed in accordance with Dutch tax legislation. As of 2011 the Company (solo) </w:t>
      </w:r>
      <w:r w:rsidR="00126DDB" w:rsidRPr="00CE0F26">
        <w:rPr>
          <w:sz w:val="22"/>
          <w:szCs w:val="18"/>
        </w:rPr>
        <w:t xml:space="preserve">was </w:t>
      </w:r>
      <w:r w:rsidR="00030CEF" w:rsidRPr="00CE0F26">
        <w:rPr>
          <w:sz w:val="22"/>
          <w:szCs w:val="18"/>
        </w:rPr>
        <w:t xml:space="preserve">in fiscal unity with its Dutch subsidiary </w:t>
      </w:r>
      <w:r w:rsidR="00723C15" w:rsidRPr="00CE0F26">
        <w:rPr>
          <w:sz w:val="22"/>
          <w:szCs w:val="18"/>
        </w:rPr>
        <w:t xml:space="preserve">AFI GP B.V. (formerly: </w:t>
      </w:r>
      <w:r w:rsidR="00030CEF" w:rsidRPr="00CE0F26">
        <w:rPr>
          <w:sz w:val="22"/>
          <w:szCs w:val="18"/>
        </w:rPr>
        <w:t>AFI Europe Financing B.V</w:t>
      </w:r>
      <w:r w:rsidR="00723C15" w:rsidRPr="00CE0F26">
        <w:rPr>
          <w:sz w:val="22"/>
          <w:szCs w:val="18"/>
        </w:rPr>
        <w:t>.)</w:t>
      </w:r>
      <w:r w:rsidR="009849F4" w:rsidRPr="00CE0F26">
        <w:rPr>
          <w:sz w:val="22"/>
          <w:szCs w:val="18"/>
        </w:rPr>
        <w:t>, which was liquidated in 2022</w:t>
      </w:r>
      <w:r w:rsidR="00723C15" w:rsidRPr="00CE0F26">
        <w:rPr>
          <w:sz w:val="22"/>
          <w:szCs w:val="18"/>
        </w:rPr>
        <w:t xml:space="preserve">. </w:t>
      </w:r>
      <w:r w:rsidR="00030CEF" w:rsidRPr="00CE0F26">
        <w:rPr>
          <w:sz w:val="22"/>
          <w:szCs w:val="18"/>
        </w:rPr>
        <w:t xml:space="preserve">During 2016 the subsidiary AFI Corporate Financing B.V. (100%) </w:t>
      </w:r>
      <w:r w:rsidR="009849F4" w:rsidRPr="00CE0F26">
        <w:rPr>
          <w:sz w:val="22"/>
          <w:szCs w:val="18"/>
        </w:rPr>
        <w:t xml:space="preserve">was </w:t>
      </w:r>
      <w:r w:rsidR="00030CEF" w:rsidRPr="00CE0F26">
        <w:rPr>
          <w:sz w:val="22"/>
          <w:szCs w:val="18"/>
        </w:rPr>
        <w:t>added to the fiscal unity</w:t>
      </w:r>
      <w:r w:rsidR="002952B5">
        <w:rPr>
          <w:sz w:val="22"/>
          <w:szCs w:val="18"/>
          <w:lang w:bidi="he-IL"/>
        </w:rPr>
        <w:t>,</w:t>
      </w:r>
      <w:r w:rsidR="00CE0F26">
        <w:rPr>
          <w:sz w:val="22"/>
          <w:szCs w:val="18"/>
        </w:rPr>
        <w:t xml:space="preserve"> and </w:t>
      </w:r>
      <w:r w:rsidR="002952B5">
        <w:rPr>
          <w:sz w:val="22"/>
          <w:szCs w:val="18"/>
        </w:rPr>
        <w:t xml:space="preserve">effective as of January 1, 2024 it </w:t>
      </w:r>
      <w:r w:rsidR="00CE0F26">
        <w:rPr>
          <w:sz w:val="22"/>
          <w:szCs w:val="18"/>
        </w:rPr>
        <w:t xml:space="preserve">merged </w:t>
      </w:r>
      <w:r w:rsidR="002952B5">
        <w:rPr>
          <w:sz w:val="22"/>
          <w:szCs w:val="18"/>
        </w:rPr>
        <w:t>in</w:t>
      </w:r>
      <w:r w:rsidR="00CE0F26">
        <w:rPr>
          <w:sz w:val="22"/>
          <w:szCs w:val="18"/>
        </w:rPr>
        <w:t xml:space="preserve">to AFI Europe </w:t>
      </w:r>
      <w:proofErr w:type="gramStart"/>
      <w:r w:rsidR="00CE0F26">
        <w:rPr>
          <w:sz w:val="22"/>
          <w:szCs w:val="18"/>
        </w:rPr>
        <w:t>N.V..</w:t>
      </w:r>
      <w:proofErr w:type="gramEnd"/>
      <w:r w:rsidR="00CE0F26">
        <w:rPr>
          <w:sz w:val="22"/>
          <w:szCs w:val="18"/>
        </w:rPr>
        <w:t xml:space="preserve"> In addition,</w:t>
      </w:r>
      <w:r w:rsidR="00CD7B89" w:rsidRPr="00CE0F26">
        <w:rPr>
          <w:sz w:val="22"/>
          <w:szCs w:val="18"/>
        </w:rPr>
        <w:t xml:space="preserve"> d</w:t>
      </w:r>
      <w:r w:rsidR="001F1B26" w:rsidRPr="00CE0F26">
        <w:rPr>
          <w:sz w:val="22"/>
          <w:szCs w:val="18"/>
        </w:rPr>
        <w:t xml:space="preserve">uring 2023 the subsidiaries AFI Home B.V. and AFI Home Poland B.V. </w:t>
      </w:r>
      <w:r w:rsidR="00CD7B89" w:rsidRPr="00CE0F26">
        <w:rPr>
          <w:sz w:val="22"/>
          <w:szCs w:val="18"/>
        </w:rPr>
        <w:t xml:space="preserve">were </w:t>
      </w:r>
      <w:r w:rsidR="001F1B26" w:rsidRPr="00CE0F26">
        <w:rPr>
          <w:sz w:val="22"/>
          <w:szCs w:val="18"/>
        </w:rPr>
        <w:t>added to the fiscal unity</w:t>
      </w:r>
      <w:r w:rsidR="00CE0F26" w:rsidRPr="00CE0F26">
        <w:rPr>
          <w:sz w:val="22"/>
          <w:szCs w:val="18"/>
        </w:rPr>
        <w:t xml:space="preserve">, and during 2024 </w:t>
      </w:r>
      <w:proofErr w:type="spellStart"/>
      <w:r w:rsidR="00CE0F26" w:rsidRPr="00CE0F26">
        <w:rPr>
          <w:sz w:val="22"/>
          <w:szCs w:val="18"/>
        </w:rPr>
        <w:t>Controceni</w:t>
      </w:r>
      <w:proofErr w:type="spellEnd"/>
      <w:r w:rsidR="00CE0F26" w:rsidRPr="00CE0F26">
        <w:rPr>
          <w:sz w:val="22"/>
          <w:szCs w:val="18"/>
        </w:rPr>
        <w:t xml:space="preserve"> Investments Limited and </w:t>
      </w:r>
      <w:proofErr w:type="spellStart"/>
      <w:r w:rsidR="00CE0F26" w:rsidRPr="00CE0F26">
        <w:rPr>
          <w:sz w:val="22"/>
          <w:szCs w:val="18"/>
        </w:rPr>
        <w:t>Faringer</w:t>
      </w:r>
      <w:proofErr w:type="spellEnd"/>
      <w:r w:rsidR="00CE0F26" w:rsidRPr="00CE0F26">
        <w:rPr>
          <w:sz w:val="22"/>
          <w:szCs w:val="18"/>
        </w:rPr>
        <w:t xml:space="preserve"> Enterprises Limited</w:t>
      </w:r>
      <w:r w:rsidR="00CE0F26">
        <w:rPr>
          <w:sz w:val="22"/>
          <w:szCs w:val="18"/>
        </w:rPr>
        <w:t xml:space="preserve"> </w:t>
      </w:r>
      <w:r w:rsidR="00C3635F">
        <w:rPr>
          <w:sz w:val="22"/>
          <w:szCs w:val="18"/>
        </w:rPr>
        <w:t>became tax residents of</w:t>
      </w:r>
      <w:r w:rsidR="00CE0F26">
        <w:rPr>
          <w:sz w:val="22"/>
          <w:szCs w:val="18"/>
        </w:rPr>
        <w:t xml:space="preserve"> the Netherlands</w:t>
      </w:r>
      <w:r w:rsidR="00573E4A">
        <w:rPr>
          <w:sz w:val="22"/>
          <w:szCs w:val="18"/>
        </w:rPr>
        <w:t xml:space="preserve"> (and </w:t>
      </w:r>
      <w:r w:rsidR="00DF5E10">
        <w:rPr>
          <w:sz w:val="22"/>
          <w:szCs w:val="18"/>
        </w:rPr>
        <w:t xml:space="preserve">ceased being </w:t>
      </w:r>
      <w:r w:rsidR="00573E4A">
        <w:rPr>
          <w:sz w:val="22"/>
          <w:szCs w:val="18"/>
        </w:rPr>
        <w:t>tax residents of Cyprus)</w:t>
      </w:r>
      <w:r w:rsidR="00CE0F26">
        <w:rPr>
          <w:sz w:val="22"/>
          <w:szCs w:val="18"/>
        </w:rPr>
        <w:t xml:space="preserve"> and</w:t>
      </w:r>
      <w:r w:rsidR="009849F4" w:rsidRPr="00CE0F26">
        <w:rPr>
          <w:sz w:val="22"/>
          <w:szCs w:val="18"/>
        </w:rPr>
        <w:t xml:space="preserve"> </w:t>
      </w:r>
      <w:r w:rsidR="00CE0F26" w:rsidRPr="00CE0F26">
        <w:rPr>
          <w:sz w:val="22"/>
          <w:szCs w:val="18"/>
        </w:rPr>
        <w:t xml:space="preserve">were added to the fiscal unity as well. </w:t>
      </w:r>
    </w:p>
    <w:p w14:paraId="04BC817B" w14:textId="77777777" w:rsidR="00D21841" w:rsidRDefault="00D21841" w:rsidP="001A42CE">
      <w:pPr>
        <w:jc w:val="both"/>
        <w:rPr>
          <w:sz w:val="22"/>
          <w:szCs w:val="18"/>
        </w:rPr>
      </w:pPr>
    </w:p>
    <w:p w14:paraId="061C8AF4" w14:textId="77777777" w:rsidR="001A42CE" w:rsidRPr="008127EA" w:rsidRDefault="001A42CE" w:rsidP="00C01E5D">
      <w:pPr>
        <w:jc w:val="both"/>
        <w:outlineLvl w:val="3"/>
        <w:rPr>
          <w:sz w:val="22"/>
          <w:szCs w:val="18"/>
        </w:rPr>
      </w:pPr>
      <w:bookmarkStart w:id="186" w:name="H4_CTax_assessments"/>
      <w:r>
        <w:rPr>
          <w:b/>
          <w:bCs/>
          <w:sz w:val="22"/>
          <w:szCs w:val="22"/>
        </w:rPr>
        <w:t>C</w:t>
      </w:r>
      <w:r w:rsidRPr="00C435F7">
        <w:rPr>
          <w:b/>
          <w:bCs/>
          <w:sz w:val="22"/>
          <w:szCs w:val="22"/>
        </w:rPr>
        <w:t>.</w:t>
      </w:r>
      <w:r w:rsidRPr="00C435F7">
        <w:rPr>
          <w:b/>
          <w:bCs/>
          <w:sz w:val="22"/>
          <w:szCs w:val="22"/>
        </w:rPr>
        <w:tab/>
        <w:t>Tax assessments</w:t>
      </w:r>
    </w:p>
    <w:bookmarkEnd w:id="186"/>
    <w:p w14:paraId="473AFCCE" w14:textId="77777777" w:rsidR="001A42CE" w:rsidRDefault="001A42CE" w:rsidP="001A42CE">
      <w:pPr>
        <w:ind w:left="1080"/>
        <w:jc w:val="both"/>
        <w:rPr>
          <w:sz w:val="22"/>
          <w:szCs w:val="18"/>
        </w:rPr>
      </w:pPr>
    </w:p>
    <w:p w14:paraId="6B5B3901" w14:textId="07630452" w:rsidR="001A42CE" w:rsidRPr="00E43187" w:rsidRDefault="001A42CE" w:rsidP="0020502A">
      <w:pPr>
        <w:ind w:left="720"/>
        <w:jc w:val="both"/>
        <w:rPr>
          <w:sz w:val="22"/>
          <w:szCs w:val="18"/>
        </w:rPr>
      </w:pPr>
      <w:r w:rsidRPr="00F675BD">
        <w:rPr>
          <w:sz w:val="22"/>
          <w:szCs w:val="18"/>
        </w:rPr>
        <w:t xml:space="preserve">The Company has received final tax assessments up to and including the year ended </w:t>
      </w:r>
      <w:r w:rsidR="00F675BD" w:rsidRPr="00E43187">
        <w:rPr>
          <w:sz w:val="22"/>
          <w:szCs w:val="18"/>
        </w:rPr>
        <w:t>2021</w:t>
      </w:r>
      <w:r w:rsidRPr="00E43187">
        <w:rPr>
          <w:sz w:val="22"/>
          <w:szCs w:val="18"/>
        </w:rPr>
        <w:t>.</w:t>
      </w:r>
    </w:p>
    <w:p w14:paraId="26054331" w14:textId="25A44FC2" w:rsidR="007958E3" w:rsidRDefault="0021430A" w:rsidP="00B3462C">
      <w:pPr>
        <w:ind w:left="720"/>
        <w:jc w:val="both"/>
        <w:rPr>
          <w:sz w:val="22"/>
          <w:szCs w:val="18"/>
        </w:rPr>
      </w:pPr>
      <w:r w:rsidRPr="00F675BD">
        <w:rPr>
          <w:sz w:val="22"/>
          <w:szCs w:val="18"/>
        </w:rPr>
        <w:t xml:space="preserve">Some subsidiaries </w:t>
      </w:r>
      <w:r w:rsidR="001A42CE" w:rsidRPr="00F675BD">
        <w:rPr>
          <w:sz w:val="22"/>
          <w:szCs w:val="18"/>
        </w:rPr>
        <w:t xml:space="preserve">in the Group have received final tax assessments up to and including the years </w:t>
      </w:r>
      <w:r w:rsidR="00FA544D" w:rsidRPr="00E43187">
        <w:rPr>
          <w:sz w:val="22"/>
          <w:szCs w:val="18"/>
        </w:rPr>
        <w:t>2014</w:t>
      </w:r>
      <w:r w:rsidR="001A42CE" w:rsidRPr="00E43187">
        <w:rPr>
          <w:sz w:val="22"/>
          <w:szCs w:val="18"/>
        </w:rPr>
        <w:t>-</w:t>
      </w:r>
      <w:r w:rsidR="00FA544D" w:rsidRPr="00E43187">
        <w:rPr>
          <w:sz w:val="22"/>
          <w:szCs w:val="18"/>
        </w:rPr>
        <w:t>2021</w:t>
      </w:r>
      <w:r w:rsidR="001A42CE" w:rsidRPr="00E43187">
        <w:rPr>
          <w:sz w:val="22"/>
          <w:szCs w:val="18"/>
        </w:rPr>
        <w:t>.</w:t>
      </w:r>
      <w:r w:rsidR="007958E3">
        <w:rPr>
          <w:sz w:val="22"/>
          <w:szCs w:val="18"/>
        </w:rPr>
        <w:br w:type="page"/>
      </w:r>
    </w:p>
    <w:p w14:paraId="66C9ACE2" w14:textId="77777777" w:rsidR="007958E3" w:rsidRDefault="007958E3" w:rsidP="007958E3">
      <w:pPr>
        <w:jc w:val="both"/>
        <w:rPr>
          <w:sz w:val="22"/>
          <w:szCs w:val="18"/>
        </w:rPr>
      </w:pPr>
    </w:p>
    <w:p w14:paraId="61FA4EEA" w14:textId="77777777" w:rsidR="007958E3" w:rsidRDefault="007958E3" w:rsidP="007958E3">
      <w:pPr>
        <w:jc w:val="both"/>
        <w:rPr>
          <w:b/>
          <w:bCs/>
          <w:sz w:val="22"/>
          <w:szCs w:val="22"/>
        </w:rPr>
      </w:pPr>
      <w:r w:rsidRPr="00543265">
        <w:rPr>
          <w:b/>
          <w:bCs/>
          <w:sz w:val="22"/>
          <w:szCs w:val="22"/>
        </w:rPr>
        <w:t xml:space="preserve">Note 20 - </w:t>
      </w:r>
      <w:r w:rsidRPr="00543265">
        <w:rPr>
          <w:rStyle w:val="Beur"/>
          <w:sz w:val="22"/>
          <w:szCs w:val="22"/>
        </w:rPr>
        <w:t>Income Tax</w:t>
      </w:r>
      <w:r w:rsidRPr="00543265">
        <w:rPr>
          <w:b/>
          <w:bCs/>
          <w:sz w:val="22"/>
          <w:szCs w:val="22"/>
        </w:rPr>
        <w:t xml:space="preserve"> (Cont’d)</w:t>
      </w:r>
    </w:p>
    <w:p w14:paraId="5AB247AA" w14:textId="77777777" w:rsidR="007958E3" w:rsidRDefault="007958E3" w:rsidP="007958E3">
      <w:pPr>
        <w:rPr>
          <w:b/>
          <w:bCs/>
          <w:sz w:val="22"/>
          <w:szCs w:val="22"/>
        </w:rPr>
      </w:pPr>
    </w:p>
    <w:p w14:paraId="32B06A48" w14:textId="22BDDA18" w:rsidR="00030CEF" w:rsidRDefault="001A42CE" w:rsidP="00C01E5D">
      <w:pPr>
        <w:outlineLvl w:val="3"/>
        <w:rPr>
          <w:sz w:val="22"/>
          <w:szCs w:val="22"/>
        </w:rPr>
      </w:pPr>
      <w:bookmarkStart w:id="187" w:name="H4_DReconciliation_of_effective_tax_rate"/>
      <w:r>
        <w:rPr>
          <w:b/>
          <w:bCs/>
          <w:sz w:val="22"/>
          <w:szCs w:val="22"/>
        </w:rPr>
        <w:t>D</w:t>
      </w:r>
      <w:r w:rsidR="00030CEF" w:rsidRPr="00C435F7">
        <w:rPr>
          <w:b/>
          <w:bCs/>
          <w:sz w:val="22"/>
          <w:szCs w:val="22"/>
        </w:rPr>
        <w:t>.</w:t>
      </w:r>
      <w:r w:rsidR="00030CEF" w:rsidRPr="00C435F7">
        <w:rPr>
          <w:b/>
          <w:bCs/>
          <w:sz w:val="22"/>
          <w:szCs w:val="22"/>
        </w:rPr>
        <w:tab/>
      </w:r>
      <w:r w:rsidR="00030CEF" w:rsidRPr="00F02921">
        <w:rPr>
          <w:b/>
          <w:bCs/>
          <w:sz w:val="22"/>
          <w:szCs w:val="22"/>
        </w:rPr>
        <w:t>Reconciliation of effective tax rate</w:t>
      </w:r>
    </w:p>
    <w:bookmarkEnd w:id="187"/>
    <w:p w14:paraId="34EA07A6" w14:textId="77777777" w:rsidR="00030CEF" w:rsidRPr="00DC4C5F" w:rsidRDefault="00030CEF" w:rsidP="00030CEF">
      <w:pPr>
        <w:ind w:left="720"/>
        <w:rPr>
          <w:sz w:val="12"/>
          <w:szCs w:val="12"/>
          <w:rtl/>
        </w:rPr>
      </w:pPr>
    </w:p>
    <w:p w14:paraId="11344DB0" w14:textId="77777777" w:rsidR="00030CEF" w:rsidRPr="00F02921" w:rsidRDefault="00030CEF" w:rsidP="00030CEF">
      <w:pPr>
        <w:ind w:left="720"/>
        <w:rPr>
          <w:rStyle w:val="Koteret"/>
          <w:b w:val="0"/>
          <w:bCs/>
          <w:i/>
          <w:iCs/>
        </w:rPr>
      </w:pPr>
      <w:r w:rsidRPr="00F02921">
        <w:rPr>
          <w:rStyle w:val="Koteret"/>
          <w:b w:val="0"/>
          <w:bCs/>
          <w:i/>
          <w:iCs/>
        </w:rPr>
        <w:t>In thousands of Euros</w:t>
      </w:r>
    </w:p>
    <w:tbl>
      <w:tblPr>
        <w:tblW w:w="9156" w:type="dxa"/>
        <w:tblInd w:w="709" w:type="dxa"/>
        <w:tblLayout w:type="fixed"/>
        <w:tblCellMar>
          <w:left w:w="0" w:type="dxa"/>
          <w:right w:w="0" w:type="dxa"/>
        </w:tblCellMar>
        <w:tblLook w:val="06A0" w:firstRow="1" w:lastRow="0" w:firstColumn="1" w:lastColumn="0" w:noHBand="1" w:noVBand="1"/>
        <w:tblCaption w:val="AHR02"/>
        <w:tblDescription w:val="Reconciliation of effective tax rate"/>
      </w:tblPr>
      <w:tblGrid>
        <w:gridCol w:w="5363"/>
        <w:gridCol w:w="1112"/>
        <w:gridCol w:w="1340"/>
        <w:gridCol w:w="1341"/>
      </w:tblGrid>
      <w:tr w:rsidR="00030CEF" w:rsidRPr="00866299" w14:paraId="33B23470" w14:textId="77777777" w:rsidTr="005101BC">
        <w:trPr>
          <w:cantSplit/>
          <w:trHeight w:val="283"/>
          <w:tblHeader/>
        </w:trPr>
        <w:tc>
          <w:tcPr>
            <w:tcW w:w="5363" w:type="dxa"/>
            <w:shd w:val="clear" w:color="auto" w:fill="auto"/>
            <w:vAlign w:val="center"/>
          </w:tcPr>
          <w:p w14:paraId="1E951F5F" w14:textId="77777777" w:rsidR="00030CEF" w:rsidRPr="00866299" w:rsidRDefault="00030CEF" w:rsidP="001130FA">
            <w:pPr>
              <w:spacing w:before="40"/>
              <w:rPr>
                <w:rFonts w:ascii="Arial" w:eastAsia="Arial" w:hAnsi="Arial" w:cs="Arial"/>
                <w:sz w:val="20"/>
              </w:rPr>
            </w:pPr>
            <w:bookmarkStart w:id="188" w:name="Title_46" w:colFirst="0" w:colLast="0"/>
          </w:p>
        </w:tc>
        <w:tc>
          <w:tcPr>
            <w:tcW w:w="3793" w:type="dxa"/>
            <w:gridSpan w:val="3"/>
            <w:shd w:val="clear" w:color="auto" w:fill="auto"/>
            <w:vAlign w:val="bottom"/>
          </w:tcPr>
          <w:p w14:paraId="59E14F75" w14:textId="77777777" w:rsidR="00030CEF" w:rsidRPr="00866299" w:rsidRDefault="00030CEF" w:rsidP="005862F2">
            <w:pPr>
              <w:pBdr>
                <w:bottom w:val="single" w:sz="4" w:space="0" w:color="000000"/>
              </w:pBdr>
              <w:spacing w:before="40"/>
              <w:jc w:val="center"/>
              <w:rPr>
                <w:b/>
                <w:bCs/>
                <w:color w:val="000000"/>
                <w:sz w:val="20"/>
              </w:rPr>
            </w:pPr>
            <w:r w:rsidRPr="00866299">
              <w:rPr>
                <w:b/>
                <w:bCs/>
                <w:color w:val="000000"/>
                <w:sz w:val="20"/>
              </w:rPr>
              <w:t>For the year ended December 31</w:t>
            </w:r>
            <w:r w:rsidRPr="00543265">
              <w:rPr>
                <w:b/>
                <w:bCs/>
                <w:color w:val="000000"/>
                <w:sz w:val="20"/>
              </w:rPr>
              <w:t>,</w:t>
            </w:r>
          </w:p>
        </w:tc>
      </w:tr>
      <w:bookmarkEnd w:id="188"/>
      <w:tr w:rsidR="007958E3" w:rsidRPr="00866299" w14:paraId="387CCDA6" w14:textId="77777777" w:rsidTr="005101BC">
        <w:trPr>
          <w:cantSplit/>
          <w:trHeight w:val="283"/>
          <w:tblHeader/>
        </w:trPr>
        <w:tc>
          <w:tcPr>
            <w:tcW w:w="5363" w:type="dxa"/>
            <w:shd w:val="clear" w:color="auto" w:fill="auto"/>
            <w:vAlign w:val="center"/>
            <w:hideMark/>
          </w:tcPr>
          <w:p w14:paraId="56928CF8" w14:textId="77777777" w:rsidR="007958E3" w:rsidRPr="00866299" w:rsidRDefault="007958E3" w:rsidP="007958E3">
            <w:pPr>
              <w:spacing w:before="40"/>
              <w:rPr>
                <w:rFonts w:ascii="Arial" w:eastAsia="Arial" w:hAnsi="Arial" w:cs="Arial"/>
                <w:sz w:val="20"/>
              </w:rPr>
            </w:pPr>
          </w:p>
        </w:tc>
        <w:tc>
          <w:tcPr>
            <w:tcW w:w="1112" w:type="dxa"/>
            <w:shd w:val="clear" w:color="auto" w:fill="auto"/>
            <w:vAlign w:val="bottom"/>
            <w:hideMark/>
          </w:tcPr>
          <w:p w14:paraId="4F36EF98" w14:textId="32D69F7B" w:rsidR="007958E3" w:rsidRPr="00543265" w:rsidRDefault="007958E3" w:rsidP="007958E3">
            <w:pPr>
              <w:pBdr>
                <w:bottom w:val="single" w:sz="4" w:space="0" w:color="000000"/>
              </w:pBdr>
              <w:spacing w:before="40"/>
              <w:jc w:val="center"/>
              <w:rPr>
                <w:b/>
                <w:bCs/>
                <w:color w:val="000000"/>
                <w:sz w:val="20"/>
              </w:rPr>
            </w:pPr>
            <w:r w:rsidRPr="00543265">
              <w:rPr>
                <w:b/>
                <w:bCs/>
                <w:color w:val="000000"/>
                <w:sz w:val="20"/>
              </w:rPr>
              <w:t>20</w:t>
            </w:r>
            <w:r>
              <w:rPr>
                <w:b/>
                <w:bCs/>
                <w:color w:val="000000"/>
                <w:sz w:val="20"/>
              </w:rPr>
              <w:t>24</w:t>
            </w:r>
          </w:p>
        </w:tc>
        <w:tc>
          <w:tcPr>
            <w:tcW w:w="1340" w:type="dxa"/>
            <w:shd w:val="clear" w:color="auto" w:fill="auto"/>
            <w:vAlign w:val="bottom"/>
            <w:hideMark/>
          </w:tcPr>
          <w:p w14:paraId="09926A78" w14:textId="164265D1" w:rsidR="007958E3" w:rsidRPr="00543265" w:rsidRDefault="007958E3" w:rsidP="007958E3">
            <w:pPr>
              <w:pBdr>
                <w:bottom w:val="single" w:sz="4" w:space="0" w:color="000000"/>
              </w:pBdr>
              <w:spacing w:before="40"/>
              <w:jc w:val="center"/>
              <w:rPr>
                <w:b/>
                <w:bCs/>
                <w:color w:val="000000"/>
                <w:sz w:val="20"/>
              </w:rPr>
            </w:pPr>
            <w:r>
              <w:rPr>
                <w:b/>
                <w:bCs/>
                <w:color w:val="000000"/>
                <w:sz w:val="20"/>
              </w:rPr>
              <w:t>2023</w:t>
            </w:r>
          </w:p>
        </w:tc>
        <w:tc>
          <w:tcPr>
            <w:tcW w:w="1341" w:type="dxa"/>
            <w:shd w:val="clear" w:color="auto" w:fill="auto"/>
            <w:vAlign w:val="bottom"/>
            <w:hideMark/>
          </w:tcPr>
          <w:p w14:paraId="510B45AD" w14:textId="5C456231" w:rsidR="007958E3" w:rsidRPr="00543265" w:rsidRDefault="007958E3" w:rsidP="007958E3">
            <w:pPr>
              <w:pBdr>
                <w:bottom w:val="single" w:sz="4" w:space="0" w:color="000000"/>
              </w:pBdr>
              <w:spacing w:before="40"/>
              <w:jc w:val="center"/>
              <w:rPr>
                <w:b/>
                <w:bCs/>
                <w:color w:val="000000"/>
                <w:sz w:val="20"/>
              </w:rPr>
            </w:pPr>
            <w:r>
              <w:rPr>
                <w:b/>
                <w:bCs/>
                <w:color w:val="000000"/>
                <w:sz w:val="20"/>
              </w:rPr>
              <w:t>2022</w:t>
            </w:r>
          </w:p>
        </w:tc>
      </w:tr>
      <w:tr w:rsidR="00D058CA" w:rsidRPr="00866299" w14:paraId="3B739D39" w14:textId="77777777" w:rsidTr="005101BC">
        <w:trPr>
          <w:trHeight w:val="283"/>
        </w:trPr>
        <w:tc>
          <w:tcPr>
            <w:tcW w:w="5363" w:type="dxa"/>
            <w:shd w:val="clear" w:color="auto" w:fill="auto"/>
            <w:vAlign w:val="center"/>
            <w:hideMark/>
          </w:tcPr>
          <w:p w14:paraId="26EA1DF1" w14:textId="58A727D1" w:rsidR="00D058CA" w:rsidRPr="00DB0A89" w:rsidRDefault="00D058CA" w:rsidP="00D058CA">
            <w:pPr>
              <w:spacing w:before="40"/>
              <w:rPr>
                <w:sz w:val="22"/>
                <w:szCs w:val="22"/>
                <w:rtl/>
                <w:lang w:bidi="he-IL"/>
              </w:rPr>
            </w:pPr>
            <w:r w:rsidRPr="00DB0A89">
              <w:rPr>
                <w:color w:val="000000"/>
                <w:sz w:val="22"/>
                <w:szCs w:val="22"/>
              </w:rPr>
              <w:t>Profit</w:t>
            </w:r>
            <w:r>
              <w:rPr>
                <w:color w:val="000000"/>
                <w:sz w:val="22"/>
                <w:szCs w:val="22"/>
              </w:rPr>
              <w:t xml:space="preserve"> </w:t>
            </w:r>
            <w:r w:rsidRPr="00DB0A89">
              <w:rPr>
                <w:color w:val="000000"/>
                <w:sz w:val="22"/>
                <w:szCs w:val="22"/>
              </w:rPr>
              <w:t xml:space="preserve">before tax </w:t>
            </w:r>
          </w:p>
        </w:tc>
        <w:tc>
          <w:tcPr>
            <w:tcW w:w="1112" w:type="dxa"/>
            <w:shd w:val="clear" w:color="auto" w:fill="auto"/>
            <w:noWrap/>
            <w:vAlign w:val="bottom"/>
          </w:tcPr>
          <w:p w14:paraId="7E8B68B5" w14:textId="75D400F2" w:rsidR="00D058CA" w:rsidRPr="00B1582C" w:rsidRDefault="00D058CA" w:rsidP="00B1582C">
            <w:pPr>
              <w:spacing w:before="40"/>
              <w:jc w:val="right"/>
              <w:rPr>
                <w:sz w:val="22"/>
                <w:szCs w:val="22"/>
                <w:highlight w:val="yellow"/>
              </w:rPr>
            </w:pPr>
            <w:r w:rsidRPr="00B1582C">
              <w:rPr>
                <w:sz w:val="22"/>
                <w:szCs w:val="22"/>
              </w:rPr>
              <w:t>142,767</w:t>
            </w:r>
          </w:p>
        </w:tc>
        <w:tc>
          <w:tcPr>
            <w:tcW w:w="1340" w:type="dxa"/>
            <w:shd w:val="clear" w:color="auto" w:fill="auto"/>
            <w:noWrap/>
            <w:vAlign w:val="bottom"/>
          </w:tcPr>
          <w:p w14:paraId="453CF6DE" w14:textId="55045615" w:rsidR="00D058CA" w:rsidRPr="00543265" w:rsidRDefault="00D058CA" w:rsidP="00D058CA">
            <w:pPr>
              <w:spacing w:before="40"/>
              <w:jc w:val="right"/>
              <w:rPr>
                <w:sz w:val="22"/>
                <w:szCs w:val="22"/>
              </w:rPr>
            </w:pPr>
            <w:r>
              <w:rPr>
                <w:sz w:val="22"/>
                <w:szCs w:val="22"/>
              </w:rPr>
              <w:t>23,421</w:t>
            </w:r>
          </w:p>
        </w:tc>
        <w:tc>
          <w:tcPr>
            <w:tcW w:w="1341" w:type="dxa"/>
            <w:shd w:val="clear" w:color="auto" w:fill="auto"/>
            <w:noWrap/>
            <w:vAlign w:val="bottom"/>
          </w:tcPr>
          <w:p w14:paraId="4ED77A17" w14:textId="6C3E06D1" w:rsidR="00D058CA" w:rsidRPr="00570E2C" w:rsidRDefault="00D058CA" w:rsidP="00D058CA">
            <w:pPr>
              <w:spacing w:before="40"/>
              <w:jc w:val="right"/>
              <w:rPr>
                <w:color w:val="000000"/>
                <w:sz w:val="22"/>
                <w:szCs w:val="22"/>
              </w:rPr>
            </w:pPr>
            <w:r w:rsidRPr="00543265">
              <w:rPr>
                <w:sz w:val="22"/>
                <w:szCs w:val="22"/>
              </w:rPr>
              <w:t>102,685</w:t>
            </w:r>
          </w:p>
        </w:tc>
      </w:tr>
      <w:tr w:rsidR="00D058CA" w:rsidRPr="00866299" w14:paraId="5A5CBB82" w14:textId="77777777" w:rsidTr="005101BC">
        <w:trPr>
          <w:trHeight w:val="283"/>
        </w:trPr>
        <w:tc>
          <w:tcPr>
            <w:tcW w:w="5363" w:type="dxa"/>
            <w:shd w:val="clear" w:color="auto" w:fill="auto"/>
            <w:vAlign w:val="center"/>
          </w:tcPr>
          <w:p w14:paraId="5D635784" w14:textId="77777777" w:rsidR="00D058CA" w:rsidRPr="00DB0A89" w:rsidRDefault="00D058CA" w:rsidP="00D058CA">
            <w:pPr>
              <w:spacing w:before="40"/>
              <w:rPr>
                <w:color w:val="000000"/>
                <w:sz w:val="22"/>
                <w:szCs w:val="22"/>
              </w:rPr>
            </w:pPr>
            <w:r w:rsidRPr="00DB0A89">
              <w:rPr>
                <w:color w:val="000000"/>
                <w:sz w:val="22"/>
                <w:szCs w:val="22"/>
              </w:rPr>
              <w:t>Dutch statutory corporation tax rate</w:t>
            </w:r>
          </w:p>
        </w:tc>
        <w:tc>
          <w:tcPr>
            <w:tcW w:w="1112" w:type="dxa"/>
            <w:shd w:val="clear" w:color="auto" w:fill="auto"/>
            <w:noWrap/>
            <w:vAlign w:val="bottom"/>
          </w:tcPr>
          <w:p w14:paraId="47214B8E" w14:textId="3C480A00" w:rsidR="00D058CA" w:rsidRPr="00B1582C" w:rsidRDefault="00D058CA" w:rsidP="00B1582C">
            <w:pPr>
              <w:pBdr>
                <w:bottom w:val="single" w:sz="4" w:space="1" w:color="auto"/>
              </w:pBdr>
              <w:spacing w:before="40"/>
              <w:jc w:val="right"/>
              <w:rPr>
                <w:sz w:val="22"/>
                <w:szCs w:val="22"/>
                <w:highlight w:val="yellow"/>
              </w:rPr>
            </w:pPr>
            <w:r w:rsidRPr="00B1582C">
              <w:rPr>
                <w:sz w:val="22"/>
                <w:szCs w:val="22"/>
              </w:rPr>
              <w:t>25.8%</w:t>
            </w:r>
          </w:p>
        </w:tc>
        <w:tc>
          <w:tcPr>
            <w:tcW w:w="1340" w:type="dxa"/>
            <w:shd w:val="clear" w:color="auto" w:fill="auto"/>
            <w:noWrap/>
            <w:vAlign w:val="bottom"/>
          </w:tcPr>
          <w:p w14:paraId="635C4FF0" w14:textId="22987617" w:rsidR="00D058CA" w:rsidRPr="00543265" w:rsidRDefault="00D058CA" w:rsidP="00D058CA">
            <w:pPr>
              <w:pBdr>
                <w:bottom w:val="single" w:sz="4" w:space="1" w:color="auto"/>
              </w:pBdr>
              <w:spacing w:before="40"/>
              <w:jc w:val="right"/>
              <w:rPr>
                <w:color w:val="000000"/>
                <w:sz w:val="22"/>
                <w:szCs w:val="22"/>
              </w:rPr>
            </w:pPr>
            <w:r>
              <w:rPr>
                <w:color w:val="000000"/>
                <w:sz w:val="22"/>
                <w:szCs w:val="22"/>
              </w:rPr>
              <w:t>25.8%</w:t>
            </w:r>
          </w:p>
        </w:tc>
        <w:tc>
          <w:tcPr>
            <w:tcW w:w="1341" w:type="dxa"/>
            <w:shd w:val="clear" w:color="auto" w:fill="auto"/>
            <w:noWrap/>
            <w:vAlign w:val="bottom"/>
          </w:tcPr>
          <w:p w14:paraId="6773A3B8" w14:textId="1AEFF64F" w:rsidR="00D058CA" w:rsidRPr="00570E2C" w:rsidRDefault="00D058CA" w:rsidP="00D058CA">
            <w:pPr>
              <w:pBdr>
                <w:bottom w:val="single" w:sz="4" w:space="1" w:color="auto"/>
              </w:pBdr>
              <w:spacing w:before="40"/>
              <w:jc w:val="right"/>
              <w:rPr>
                <w:color w:val="000000"/>
                <w:sz w:val="22"/>
                <w:szCs w:val="22"/>
              </w:rPr>
            </w:pPr>
            <w:r w:rsidRPr="00543265">
              <w:rPr>
                <w:color w:val="000000"/>
                <w:sz w:val="22"/>
                <w:szCs w:val="22"/>
              </w:rPr>
              <w:t>25.8%</w:t>
            </w:r>
          </w:p>
        </w:tc>
      </w:tr>
      <w:tr w:rsidR="007958E3" w:rsidRPr="00866299" w14:paraId="2C4D1E44" w14:textId="77777777" w:rsidTr="005101BC">
        <w:trPr>
          <w:trHeight w:val="283"/>
        </w:trPr>
        <w:tc>
          <w:tcPr>
            <w:tcW w:w="5363" w:type="dxa"/>
            <w:shd w:val="clear" w:color="auto" w:fill="auto"/>
            <w:vAlign w:val="center"/>
            <w:hideMark/>
          </w:tcPr>
          <w:p w14:paraId="3292591F" w14:textId="77777777" w:rsidR="007958E3" w:rsidRPr="00DB0A89" w:rsidRDefault="007958E3" w:rsidP="007958E3">
            <w:pPr>
              <w:suppressAutoHyphens/>
              <w:rPr>
                <w:spacing w:val="-2"/>
                <w:sz w:val="22"/>
                <w:szCs w:val="22"/>
              </w:rPr>
            </w:pPr>
            <w:r w:rsidRPr="00DB0A89">
              <w:rPr>
                <w:spacing w:val="-2"/>
                <w:sz w:val="22"/>
                <w:szCs w:val="22"/>
              </w:rPr>
              <w:t>Tax calculated according to the Company’s primary tax rate</w:t>
            </w:r>
          </w:p>
        </w:tc>
        <w:tc>
          <w:tcPr>
            <w:tcW w:w="1112" w:type="dxa"/>
            <w:shd w:val="clear" w:color="auto" w:fill="auto"/>
            <w:noWrap/>
            <w:vAlign w:val="bottom"/>
          </w:tcPr>
          <w:p w14:paraId="3371CD82" w14:textId="09EAB5DD" w:rsidR="007958E3" w:rsidRPr="00B1582C" w:rsidRDefault="00D058CA" w:rsidP="00B1582C">
            <w:pPr>
              <w:spacing w:before="40"/>
              <w:jc w:val="right"/>
              <w:rPr>
                <w:sz w:val="22"/>
                <w:szCs w:val="22"/>
                <w:highlight w:val="yellow"/>
              </w:rPr>
            </w:pPr>
            <w:r w:rsidRPr="00B1582C">
              <w:rPr>
                <w:sz w:val="22"/>
                <w:szCs w:val="22"/>
              </w:rPr>
              <w:t>36,834</w:t>
            </w:r>
          </w:p>
        </w:tc>
        <w:tc>
          <w:tcPr>
            <w:tcW w:w="1340" w:type="dxa"/>
            <w:shd w:val="clear" w:color="auto" w:fill="auto"/>
            <w:noWrap/>
            <w:vAlign w:val="bottom"/>
          </w:tcPr>
          <w:p w14:paraId="2FE5C680" w14:textId="02C8F2F8" w:rsidR="007958E3" w:rsidRPr="00543265" w:rsidRDefault="007958E3" w:rsidP="007958E3">
            <w:pPr>
              <w:spacing w:before="40"/>
              <w:jc w:val="right"/>
              <w:rPr>
                <w:color w:val="000000"/>
                <w:sz w:val="22"/>
                <w:szCs w:val="22"/>
              </w:rPr>
            </w:pPr>
            <w:r>
              <w:rPr>
                <w:sz w:val="22"/>
                <w:szCs w:val="22"/>
              </w:rPr>
              <w:t>6,043</w:t>
            </w:r>
          </w:p>
        </w:tc>
        <w:tc>
          <w:tcPr>
            <w:tcW w:w="1341" w:type="dxa"/>
            <w:shd w:val="clear" w:color="auto" w:fill="auto"/>
            <w:noWrap/>
            <w:vAlign w:val="bottom"/>
          </w:tcPr>
          <w:p w14:paraId="1CFCE0E9" w14:textId="7B2AA176" w:rsidR="007958E3" w:rsidRPr="00570E2C" w:rsidRDefault="007958E3" w:rsidP="007958E3">
            <w:pPr>
              <w:spacing w:before="40"/>
              <w:jc w:val="right"/>
              <w:rPr>
                <w:color w:val="000000"/>
                <w:sz w:val="22"/>
                <w:szCs w:val="22"/>
              </w:rPr>
            </w:pPr>
            <w:r w:rsidRPr="00543265">
              <w:rPr>
                <w:sz w:val="22"/>
                <w:szCs w:val="22"/>
              </w:rPr>
              <w:t xml:space="preserve">26,493 </w:t>
            </w:r>
          </w:p>
        </w:tc>
      </w:tr>
      <w:tr w:rsidR="007958E3" w:rsidRPr="00866299" w14:paraId="56B4FA70" w14:textId="77777777" w:rsidTr="005101BC">
        <w:trPr>
          <w:trHeight w:val="283"/>
        </w:trPr>
        <w:tc>
          <w:tcPr>
            <w:tcW w:w="5363" w:type="dxa"/>
            <w:shd w:val="clear" w:color="auto" w:fill="auto"/>
            <w:vAlign w:val="center"/>
          </w:tcPr>
          <w:p w14:paraId="258EE574" w14:textId="77777777" w:rsidR="007958E3" w:rsidRPr="00DE006C" w:rsidRDefault="007958E3" w:rsidP="007958E3">
            <w:pPr>
              <w:spacing w:before="40"/>
              <w:rPr>
                <w:color w:val="000000"/>
                <w:sz w:val="22"/>
                <w:szCs w:val="22"/>
                <w:u w:val="single"/>
              </w:rPr>
            </w:pPr>
            <w:r w:rsidRPr="00DE006C">
              <w:rPr>
                <w:spacing w:val="-2"/>
                <w:sz w:val="22"/>
                <w:szCs w:val="22"/>
                <w:u w:val="single"/>
              </w:rPr>
              <w:t>Additional tax (tax saving) in respect of:</w:t>
            </w:r>
          </w:p>
        </w:tc>
        <w:tc>
          <w:tcPr>
            <w:tcW w:w="1112" w:type="dxa"/>
            <w:shd w:val="clear" w:color="auto" w:fill="auto"/>
            <w:noWrap/>
            <w:vAlign w:val="bottom"/>
          </w:tcPr>
          <w:p w14:paraId="7605694E" w14:textId="77777777" w:rsidR="007958E3" w:rsidRPr="00B1582C" w:rsidRDefault="007958E3" w:rsidP="00B1582C">
            <w:pPr>
              <w:spacing w:before="40"/>
              <w:jc w:val="right"/>
              <w:rPr>
                <w:sz w:val="22"/>
                <w:szCs w:val="22"/>
                <w:highlight w:val="yellow"/>
              </w:rPr>
            </w:pPr>
          </w:p>
        </w:tc>
        <w:tc>
          <w:tcPr>
            <w:tcW w:w="1340" w:type="dxa"/>
            <w:shd w:val="clear" w:color="auto" w:fill="auto"/>
            <w:noWrap/>
            <w:vAlign w:val="bottom"/>
          </w:tcPr>
          <w:p w14:paraId="48A5D131" w14:textId="77777777" w:rsidR="007958E3" w:rsidRPr="00543265" w:rsidRDefault="007958E3" w:rsidP="007958E3">
            <w:pPr>
              <w:spacing w:before="40"/>
              <w:jc w:val="right"/>
              <w:rPr>
                <w:color w:val="000000"/>
                <w:sz w:val="22"/>
                <w:szCs w:val="22"/>
              </w:rPr>
            </w:pPr>
          </w:p>
        </w:tc>
        <w:tc>
          <w:tcPr>
            <w:tcW w:w="1341" w:type="dxa"/>
            <w:shd w:val="clear" w:color="auto" w:fill="auto"/>
            <w:noWrap/>
            <w:vAlign w:val="bottom"/>
          </w:tcPr>
          <w:p w14:paraId="1C572862" w14:textId="77777777" w:rsidR="007958E3" w:rsidRPr="00570E2C" w:rsidRDefault="007958E3" w:rsidP="007958E3">
            <w:pPr>
              <w:spacing w:before="40"/>
              <w:jc w:val="right"/>
              <w:rPr>
                <w:color w:val="000000"/>
                <w:sz w:val="22"/>
                <w:szCs w:val="22"/>
              </w:rPr>
            </w:pPr>
          </w:p>
        </w:tc>
      </w:tr>
      <w:tr w:rsidR="00F675BD" w:rsidRPr="00866299" w14:paraId="3184AE20" w14:textId="77777777" w:rsidTr="005101BC">
        <w:trPr>
          <w:trHeight w:val="283"/>
        </w:trPr>
        <w:tc>
          <w:tcPr>
            <w:tcW w:w="5363" w:type="dxa"/>
            <w:shd w:val="clear" w:color="auto" w:fill="auto"/>
            <w:vAlign w:val="center"/>
            <w:hideMark/>
          </w:tcPr>
          <w:p w14:paraId="77F8756C" w14:textId="77777777" w:rsidR="00F675BD" w:rsidRPr="00866299" w:rsidRDefault="00F675BD" w:rsidP="00F675BD">
            <w:pPr>
              <w:spacing w:before="40"/>
              <w:rPr>
                <w:sz w:val="22"/>
                <w:szCs w:val="22"/>
              </w:rPr>
            </w:pPr>
            <w:r w:rsidRPr="00866299">
              <w:rPr>
                <w:color w:val="000000"/>
                <w:sz w:val="22"/>
                <w:szCs w:val="22"/>
              </w:rPr>
              <w:t>Effect of tax rates </w:t>
            </w:r>
            <w:proofErr w:type="gramStart"/>
            <w:r w:rsidRPr="00866299">
              <w:rPr>
                <w:color w:val="000000"/>
                <w:sz w:val="22"/>
                <w:szCs w:val="22"/>
              </w:rPr>
              <w:t>in</w:t>
            </w:r>
            <w:proofErr w:type="gramEnd"/>
            <w:r w:rsidRPr="00866299">
              <w:rPr>
                <w:color w:val="000000"/>
                <w:sz w:val="22"/>
                <w:szCs w:val="22"/>
              </w:rPr>
              <w:t xml:space="preserve"> foreign jurisdictions</w:t>
            </w:r>
          </w:p>
        </w:tc>
        <w:tc>
          <w:tcPr>
            <w:tcW w:w="1112" w:type="dxa"/>
            <w:shd w:val="clear" w:color="auto" w:fill="auto"/>
            <w:noWrap/>
            <w:vAlign w:val="bottom"/>
          </w:tcPr>
          <w:p w14:paraId="11BDAF2B" w14:textId="7CA97BFA" w:rsidR="00F675BD" w:rsidRPr="00B1582C" w:rsidRDefault="00F675BD" w:rsidP="00F675BD">
            <w:pPr>
              <w:spacing w:before="40"/>
              <w:jc w:val="right"/>
              <w:rPr>
                <w:sz w:val="22"/>
                <w:szCs w:val="22"/>
                <w:highlight w:val="yellow"/>
              </w:rPr>
            </w:pPr>
            <w:r>
              <w:rPr>
                <w:sz w:val="22"/>
                <w:szCs w:val="22"/>
              </w:rPr>
              <w:t>(13,659)</w:t>
            </w:r>
          </w:p>
        </w:tc>
        <w:tc>
          <w:tcPr>
            <w:tcW w:w="1340" w:type="dxa"/>
            <w:shd w:val="clear" w:color="auto" w:fill="auto"/>
            <w:noWrap/>
            <w:vAlign w:val="bottom"/>
          </w:tcPr>
          <w:p w14:paraId="34F5ACB5" w14:textId="2D8120AF" w:rsidR="00F675BD" w:rsidRPr="00543265" w:rsidRDefault="00F675BD" w:rsidP="00F675BD">
            <w:pPr>
              <w:spacing w:before="40"/>
              <w:jc w:val="right"/>
              <w:rPr>
                <w:sz w:val="22"/>
                <w:szCs w:val="22"/>
              </w:rPr>
            </w:pPr>
            <w:r>
              <w:rPr>
                <w:sz w:val="22"/>
                <w:szCs w:val="22"/>
              </w:rPr>
              <w:t>(3,094)</w:t>
            </w:r>
          </w:p>
        </w:tc>
        <w:tc>
          <w:tcPr>
            <w:tcW w:w="1341" w:type="dxa"/>
            <w:shd w:val="clear" w:color="auto" w:fill="auto"/>
            <w:noWrap/>
            <w:vAlign w:val="bottom"/>
          </w:tcPr>
          <w:p w14:paraId="4FEF7C69" w14:textId="2F6B717F" w:rsidR="00F675BD" w:rsidRPr="00570E2C" w:rsidRDefault="00F675BD" w:rsidP="00F675BD">
            <w:pPr>
              <w:spacing w:before="40"/>
              <w:jc w:val="right"/>
              <w:rPr>
                <w:sz w:val="22"/>
                <w:szCs w:val="22"/>
              </w:rPr>
            </w:pPr>
            <w:r w:rsidRPr="00543265">
              <w:rPr>
                <w:sz w:val="22"/>
                <w:szCs w:val="22"/>
              </w:rPr>
              <w:t>(8,503)</w:t>
            </w:r>
          </w:p>
        </w:tc>
      </w:tr>
      <w:tr w:rsidR="00F675BD" w:rsidRPr="00866299" w14:paraId="02195226" w14:textId="77777777" w:rsidTr="005101BC">
        <w:trPr>
          <w:trHeight w:val="283"/>
        </w:trPr>
        <w:tc>
          <w:tcPr>
            <w:tcW w:w="5363" w:type="dxa"/>
            <w:shd w:val="clear" w:color="auto" w:fill="auto"/>
            <w:vAlign w:val="center"/>
            <w:hideMark/>
          </w:tcPr>
          <w:p w14:paraId="4A18BD45" w14:textId="77777777" w:rsidR="00F675BD" w:rsidRPr="00866299" w:rsidRDefault="00F675BD" w:rsidP="00F675BD">
            <w:pPr>
              <w:spacing w:before="40"/>
              <w:rPr>
                <w:sz w:val="22"/>
                <w:szCs w:val="22"/>
              </w:rPr>
            </w:pPr>
            <w:r w:rsidRPr="00866299">
              <w:rPr>
                <w:color w:val="000000"/>
                <w:sz w:val="22"/>
                <w:szCs w:val="22"/>
              </w:rPr>
              <w:t>Non-deductible expenses</w:t>
            </w:r>
          </w:p>
        </w:tc>
        <w:tc>
          <w:tcPr>
            <w:tcW w:w="1112" w:type="dxa"/>
            <w:shd w:val="clear" w:color="auto" w:fill="auto"/>
            <w:noWrap/>
            <w:vAlign w:val="bottom"/>
          </w:tcPr>
          <w:p w14:paraId="3221CA06" w14:textId="53F28557" w:rsidR="00F675BD" w:rsidRPr="00B1582C" w:rsidRDefault="00F675BD" w:rsidP="00F675BD">
            <w:pPr>
              <w:spacing w:before="40"/>
              <w:jc w:val="right"/>
              <w:rPr>
                <w:sz w:val="22"/>
                <w:szCs w:val="22"/>
                <w:highlight w:val="yellow"/>
              </w:rPr>
            </w:pPr>
            <w:r>
              <w:rPr>
                <w:sz w:val="22"/>
                <w:szCs w:val="22"/>
              </w:rPr>
              <w:t xml:space="preserve">4,567 </w:t>
            </w:r>
          </w:p>
        </w:tc>
        <w:tc>
          <w:tcPr>
            <w:tcW w:w="1340" w:type="dxa"/>
            <w:shd w:val="clear" w:color="auto" w:fill="auto"/>
            <w:noWrap/>
            <w:vAlign w:val="bottom"/>
          </w:tcPr>
          <w:p w14:paraId="5550065F" w14:textId="47EDF306" w:rsidR="00F675BD" w:rsidRPr="00543265" w:rsidRDefault="00F675BD" w:rsidP="00F675BD">
            <w:pPr>
              <w:spacing w:before="40"/>
              <w:jc w:val="right"/>
              <w:rPr>
                <w:sz w:val="22"/>
                <w:szCs w:val="22"/>
              </w:rPr>
            </w:pPr>
            <w:r>
              <w:rPr>
                <w:sz w:val="22"/>
                <w:szCs w:val="22"/>
              </w:rPr>
              <w:t>1,412</w:t>
            </w:r>
          </w:p>
        </w:tc>
        <w:tc>
          <w:tcPr>
            <w:tcW w:w="1341" w:type="dxa"/>
            <w:shd w:val="clear" w:color="auto" w:fill="auto"/>
            <w:noWrap/>
            <w:vAlign w:val="bottom"/>
          </w:tcPr>
          <w:p w14:paraId="7A113B35" w14:textId="6A741742" w:rsidR="00F675BD" w:rsidRPr="00570E2C" w:rsidRDefault="00F675BD" w:rsidP="00F675BD">
            <w:pPr>
              <w:spacing w:before="40"/>
              <w:jc w:val="right"/>
              <w:rPr>
                <w:sz w:val="22"/>
                <w:szCs w:val="22"/>
              </w:rPr>
            </w:pPr>
            <w:r w:rsidRPr="00543265">
              <w:rPr>
                <w:sz w:val="22"/>
                <w:szCs w:val="22"/>
              </w:rPr>
              <w:t xml:space="preserve">3,380 </w:t>
            </w:r>
          </w:p>
        </w:tc>
      </w:tr>
      <w:tr w:rsidR="00D058CA" w:rsidRPr="00866299" w14:paraId="705B3E9F" w14:textId="77777777" w:rsidTr="005101BC">
        <w:trPr>
          <w:trHeight w:val="283"/>
        </w:trPr>
        <w:tc>
          <w:tcPr>
            <w:tcW w:w="5363" w:type="dxa"/>
            <w:shd w:val="clear" w:color="auto" w:fill="auto"/>
            <w:vAlign w:val="center"/>
            <w:hideMark/>
          </w:tcPr>
          <w:p w14:paraId="207132E1" w14:textId="77777777" w:rsidR="00D058CA" w:rsidRPr="00866299" w:rsidRDefault="00D058CA" w:rsidP="00D058CA">
            <w:pPr>
              <w:spacing w:before="40"/>
              <w:rPr>
                <w:sz w:val="22"/>
                <w:szCs w:val="22"/>
              </w:rPr>
            </w:pPr>
            <w:r w:rsidRPr="00866299">
              <w:rPr>
                <w:color w:val="000000"/>
                <w:sz w:val="22"/>
                <w:szCs w:val="22"/>
              </w:rPr>
              <w:t>Tax exempt income</w:t>
            </w:r>
          </w:p>
        </w:tc>
        <w:tc>
          <w:tcPr>
            <w:tcW w:w="1112" w:type="dxa"/>
            <w:shd w:val="clear" w:color="auto" w:fill="auto"/>
            <w:noWrap/>
            <w:vAlign w:val="bottom"/>
          </w:tcPr>
          <w:p w14:paraId="31B9A8A0" w14:textId="1CFE4E8A" w:rsidR="00D058CA" w:rsidRPr="00B1582C" w:rsidRDefault="00D058CA" w:rsidP="00B1582C">
            <w:pPr>
              <w:spacing w:before="40"/>
              <w:jc w:val="right"/>
              <w:rPr>
                <w:sz w:val="22"/>
                <w:szCs w:val="22"/>
                <w:highlight w:val="yellow"/>
              </w:rPr>
            </w:pPr>
            <w:r w:rsidRPr="00B1582C">
              <w:rPr>
                <w:sz w:val="22"/>
                <w:szCs w:val="22"/>
              </w:rPr>
              <w:t>(112)</w:t>
            </w:r>
          </w:p>
        </w:tc>
        <w:tc>
          <w:tcPr>
            <w:tcW w:w="1340" w:type="dxa"/>
            <w:shd w:val="clear" w:color="auto" w:fill="auto"/>
            <w:noWrap/>
            <w:vAlign w:val="bottom"/>
          </w:tcPr>
          <w:p w14:paraId="3A86C629" w14:textId="02AD2170" w:rsidR="00D058CA" w:rsidRPr="00543265" w:rsidRDefault="00D058CA" w:rsidP="00D058CA">
            <w:pPr>
              <w:spacing w:before="40"/>
              <w:jc w:val="right"/>
              <w:rPr>
                <w:sz w:val="22"/>
                <w:szCs w:val="22"/>
              </w:rPr>
            </w:pPr>
            <w:r>
              <w:rPr>
                <w:sz w:val="22"/>
                <w:szCs w:val="22"/>
              </w:rPr>
              <w:t>(264)</w:t>
            </w:r>
          </w:p>
        </w:tc>
        <w:tc>
          <w:tcPr>
            <w:tcW w:w="1341" w:type="dxa"/>
            <w:shd w:val="clear" w:color="auto" w:fill="auto"/>
            <w:noWrap/>
            <w:vAlign w:val="bottom"/>
          </w:tcPr>
          <w:p w14:paraId="5F6CEA09" w14:textId="5D9FE766" w:rsidR="00D058CA" w:rsidRPr="00570E2C" w:rsidRDefault="00D058CA" w:rsidP="00D058CA">
            <w:pPr>
              <w:spacing w:before="40"/>
              <w:jc w:val="right"/>
              <w:rPr>
                <w:sz w:val="22"/>
                <w:szCs w:val="22"/>
              </w:rPr>
            </w:pPr>
            <w:r w:rsidRPr="00543265">
              <w:rPr>
                <w:sz w:val="22"/>
                <w:szCs w:val="22"/>
              </w:rPr>
              <w:t>(91)</w:t>
            </w:r>
          </w:p>
        </w:tc>
      </w:tr>
      <w:tr w:rsidR="00F675BD" w:rsidRPr="00866299" w14:paraId="6E229B23" w14:textId="77777777" w:rsidTr="005101BC">
        <w:trPr>
          <w:trHeight w:val="283"/>
        </w:trPr>
        <w:tc>
          <w:tcPr>
            <w:tcW w:w="5363" w:type="dxa"/>
            <w:shd w:val="clear" w:color="auto" w:fill="auto"/>
            <w:vAlign w:val="center"/>
            <w:hideMark/>
          </w:tcPr>
          <w:p w14:paraId="777E546B" w14:textId="77777777" w:rsidR="00F675BD" w:rsidRPr="00866299" w:rsidRDefault="00F675BD" w:rsidP="00F675BD">
            <w:pPr>
              <w:spacing w:before="40"/>
              <w:rPr>
                <w:sz w:val="22"/>
                <w:szCs w:val="22"/>
              </w:rPr>
            </w:pPr>
            <w:r w:rsidRPr="00866299">
              <w:rPr>
                <w:color w:val="000000"/>
                <w:sz w:val="22"/>
                <w:szCs w:val="22"/>
              </w:rPr>
              <w:t>Taxes in respect of previous years</w:t>
            </w:r>
          </w:p>
        </w:tc>
        <w:tc>
          <w:tcPr>
            <w:tcW w:w="1112" w:type="dxa"/>
            <w:shd w:val="clear" w:color="auto" w:fill="auto"/>
            <w:noWrap/>
            <w:vAlign w:val="bottom"/>
          </w:tcPr>
          <w:p w14:paraId="4479740C" w14:textId="0A28302C" w:rsidR="00F675BD" w:rsidRPr="00575ECA" w:rsidRDefault="00F675BD" w:rsidP="00F675BD">
            <w:pPr>
              <w:spacing w:before="40"/>
              <w:jc w:val="right"/>
              <w:rPr>
                <w:sz w:val="22"/>
                <w:szCs w:val="22"/>
                <w:highlight w:val="yellow"/>
                <w:lang w:bidi="he-IL"/>
              </w:rPr>
            </w:pPr>
            <w:r>
              <w:rPr>
                <w:sz w:val="22"/>
                <w:szCs w:val="22"/>
              </w:rPr>
              <w:t>(900)</w:t>
            </w:r>
          </w:p>
        </w:tc>
        <w:tc>
          <w:tcPr>
            <w:tcW w:w="1340" w:type="dxa"/>
            <w:shd w:val="clear" w:color="auto" w:fill="auto"/>
            <w:noWrap/>
            <w:vAlign w:val="bottom"/>
          </w:tcPr>
          <w:p w14:paraId="0265CED9" w14:textId="5A7D1E01" w:rsidR="00F675BD" w:rsidRPr="00543265" w:rsidRDefault="00F675BD" w:rsidP="00F675BD">
            <w:pPr>
              <w:spacing w:before="40"/>
              <w:jc w:val="right"/>
              <w:rPr>
                <w:sz w:val="22"/>
                <w:szCs w:val="22"/>
              </w:rPr>
            </w:pPr>
            <w:r>
              <w:rPr>
                <w:sz w:val="22"/>
                <w:szCs w:val="22"/>
              </w:rPr>
              <w:t>(40)</w:t>
            </w:r>
          </w:p>
        </w:tc>
        <w:tc>
          <w:tcPr>
            <w:tcW w:w="1341" w:type="dxa"/>
            <w:shd w:val="clear" w:color="auto" w:fill="auto"/>
            <w:noWrap/>
            <w:vAlign w:val="bottom"/>
          </w:tcPr>
          <w:p w14:paraId="16BD102F" w14:textId="2944752B" w:rsidR="00F675BD" w:rsidRPr="00570E2C" w:rsidRDefault="00F675BD" w:rsidP="00F675BD">
            <w:pPr>
              <w:spacing w:before="40"/>
              <w:jc w:val="right"/>
              <w:rPr>
                <w:sz w:val="22"/>
                <w:szCs w:val="22"/>
              </w:rPr>
            </w:pPr>
            <w:r w:rsidRPr="00543265">
              <w:rPr>
                <w:sz w:val="22"/>
                <w:szCs w:val="22"/>
              </w:rPr>
              <w:t xml:space="preserve">73 </w:t>
            </w:r>
          </w:p>
        </w:tc>
      </w:tr>
      <w:tr w:rsidR="00F675BD" w:rsidRPr="00866299" w14:paraId="5E29F861" w14:textId="77777777" w:rsidTr="005101BC">
        <w:trPr>
          <w:trHeight w:val="283"/>
        </w:trPr>
        <w:tc>
          <w:tcPr>
            <w:tcW w:w="5363" w:type="dxa"/>
            <w:shd w:val="clear" w:color="auto" w:fill="auto"/>
            <w:vAlign w:val="center"/>
            <w:hideMark/>
          </w:tcPr>
          <w:p w14:paraId="40A68A2C" w14:textId="06D26D79" w:rsidR="00F675BD" w:rsidRPr="00866299" w:rsidRDefault="00F675BD" w:rsidP="00F675BD">
            <w:pPr>
              <w:spacing w:before="40"/>
              <w:rPr>
                <w:sz w:val="22"/>
                <w:szCs w:val="22"/>
              </w:rPr>
            </w:pPr>
            <w:r w:rsidRPr="00866299">
              <w:rPr>
                <w:color w:val="000000"/>
                <w:sz w:val="22"/>
                <w:szCs w:val="22"/>
              </w:rPr>
              <w:t>Current year losses for which no deferred tax assets</w:t>
            </w:r>
            <w:r>
              <w:rPr>
                <w:color w:val="000000"/>
                <w:sz w:val="22"/>
                <w:szCs w:val="22"/>
              </w:rPr>
              <w:t xml:space="preserve"> were created</w:t>
            </w:r>
          </w:p>
        </w:tc>
        <w:tc>
          <w:tcPr>
            <w:tcW w:w="1112" w:type="dxa"/>
            <w:shd w:val="clear" w:color="auto" w:fill="auto"/>
            <w:noWrap/>
            <w:vAlign w:val="bottom"/>
          </w:tcPr>
          <w:p w14:paraId="500F8895" w14:textId="7BFDCD03" w:rsidR="00F675BD" w:rsidRPr="00B1582C" w:rsidRDefault="00F675BD" w:rsidP="00F675BD">
            <w:pPr>
              <w:spacing w:before="40"/>
              <w:jc w:val="right"/>
              <w:rPr>
                <w:sz w:val="22"/>
                <w:szCs w:val="22"/>
                <w:highlight w:val="yellow"/>
                <w:lang w:bidi="he-IL"/>
              </w:rPr>
            </w:pPr>
            <w:r>
              <w:rPr>
                <w:sz w:val="22"/>
                <w:szCs w:val="22"/>
              </w:rPr>
              <w:t xml:space="preserve">14,188 </w:t>
            </w:r>
          </w:p>
        </w:tc>
        <w:tc>
          <w:tcPr>
            <w:tcW w:w="1340" w:type="dxa"/>
            <w:shd w:val="clear" w:color="auto" w:fill="auto"/>
            <w:noWrap/>
            <w:vAlign w:val="bottom"/>
          </w:tcPr>
          <w:p w14:paraId="7EF7AAB8" w14:textId="424FC4AB" w:rsidR="00F675BD" w:rsidRPr="00543265" w:rsidRDefault="00F675BD" w:rsidP="00F675BD">
            <w:pPr>
              <w:spacing w:before="40"/>
              <w:jc w:val="right"/>
              <w:rPr>
                <w:sz w:val="22"/>
                <w:szCs w:val="22"/>
              </w:rPr>
            </w:pPr>
            <w:r>
              <w:rPr>
                <w:sz w:val="22"/>
                <w:szCs w:val="22"/>
              </w:rPr>
              <w:t>5,081</w:t>
            </w:r>
          </w:p>
        </w:tc>
        <w:tc>
          <w:tcPr>
            <w:tcW w:w="1341" w:type="dxa"/>
            <w:shd w:val="clear" w:color="auto" w:fill="auto"/>
            <w:noWrap/>
            <w:vAlign w:val="bottom"/>
          </w:tcPr>
          <w:p w14:paraId="7E5D58F0" w14:textId="5DDE2EE4" w:rsidR="00F675BD" w:rsidRPr="00570E2C" w:rsidRDefault="00F675BD" w:rsidP="00F675BD">
            <w:pPr>
              <w:spacing w:before="40"/>
              <w:jc w:val="right"/>
              <w:rPr>
                <w:sz w:val="22"/>
                <w:szCs w:val="22"/>
              </w:rPr>
            </w:pPr>
            <w:r w:rsidRPr="00543265">
              <w:rPr>
                <w:sz w:val="22"/>
                <w:szCs w:val="22"/>
              </w:rPr>
              <w:t xml:space="preserve">3,641 </w:t>
            </w:r>
          </w:p>
        </w:tc>
      </w:tr>
      <w:tr w:rsidR="00F675BD" w:rsidRPr="00866299" w14:paraId="6874AC38" w14:textId="77777777" w:rsidTr="005101BC">
        <w:trPr>
          <w:trHeight w:val="283"/>
        </w:trPr>
        <w:tc>
          <w:tcPr>
            <w:tcW w:w="5363" w:type="dxa"/>
            <w:shd w:val="clear" w:color="auto" w:fill="auto"/>
            <w:vAlign w:val="center"/>
          </w:tcPr>
          <w:p w14:paraId="67C76857" w14:textId="77777777" w:rsidR="00F675BD" w:rsidRPr="00CF1F11" w:rsidRDefault="00F675BD" w:rsidP="00F675BD">
            <w:pPr>
              <w:spacing w:before="40"/>
              <w:rPr>
                <w:color w:val="000000"/>
                <w:spacing w:val="-4"/>
                <w:sz w:val="22"/>
                <w:szCs w:val="22"/>
              </w:rPr>
            </w:pPr>
            <w:r w:rsidRPr="00CF1F11">
              <w:rPr>
                <w:color w:val="000000"/>
                <w:spacing w:val="-4"/>
                <w:sz w:val="22"/>
                <w:szCs w:val="22"/>
              </w:rPr>
              <w:t>Neutralization of tax calculated in respect of the Company’s share in (profit) loss of equity accounted investees</w:t>
            </w:r>
          </w:p>
        </w:tc>
        <w:tc>
          <w:tcPr>
            <w:tcW w:w="1112" w:type="dxa"/>
            <w:shd w:val="clear" w:color="auto" w:fill="auto"/>
            <w:noWrap/>
            <w:vAlign w:val="bottom"/>
          </w:tcPr>
          <w:p w14:paraId="67FACBBD" w14:textId="6204BBF6" w:rsidR="00F675BD" w:rsidRPr="00B1582C" w:rsidRDefault="00F675BD" w:rsidP="00F675BD">
            <w:pPr>
              <w:spacing w:before="40"/>
              <w:jc w:val="right"/>
              <w:rPr>
                <w:sz w:val="22"/>
                <w:szCs w:val="22"/>
                <w:highlight w:val="yellow"/>
              </w:rPr>
            </w:pPr>
            <w:r>
              <w:rPr>
                <w:sz w:val="22"/>
                <w:szCs w:val="22"/>
              </w:rPr>
              <w:t>(6,176)</w:t>
            </w:r>
          </w:p>
        </w:tc>
        <w:tc>
          <w:tcPr>
            <w:tcW w:w="1340" w:type="dxa"/>
            <w:shd w:val="clear" w:color="auto" w:fill="auto"/>
            <w:noWrap/>
            <w:vAlign w:val="bottom"/>
          </w:tcPr>
          <w:p w14:paraId="1B66EE59" w14:textId="2FB9D4D2" w:rsidR="00F675BD" w:rsidRPr="00543265" w:rsidRDefault="00F675BD" w:rsidP="00F675BD">
            <w:pPr>
              <w:spacing w:before="40"/>
              <w:jc w:val="right"/>
              <w:rPr>
                <w:sz w:val="22"/>
                <w:szCs w:val="22"/>
              </w:rPr>
            </w:pPr>
            <w:r>
              <w:rPr>
                <w:sz w:val="22"/>
                <w:szCs w:val="22"/>
              </w:rPr>
              <w:t>5</w:t>
            </w:r>
          </w:p>
        </w:tc>
        <w:tc>
          <w:tcPr>
            <w:tcW w:w="1341" w:type="dxa"/>
            <w:shd w:val="clear" w:color="auto" w:fill="auto"/>
            <w:noWrap/>
            <w:vAlign w:val="bottom"/>
          </w:tcPr>
          <w:p w14:paraId="56D29A42" w14:textId="600BB7FA" w:rsidR="00F675BD" w:rsidRPr="00865AA5" w:rsidRDefault="00F675BD" w:rsidP="00F675BD">
            <w:pPr>
              <w:spacing w:before="40"/>
              <w:jc w:val="right"/>
              <w:rPr>
                <w:sz w:val="22"/>
                <w:szCs w:val="22"/>
              </w:rPr>
            </w:pPr>
            <w:r w:rsidRPr="00543265">
              <w:rPr>
                <w:sz w:val="22"/>
                <w:szCs w:val="22"/>
              </w:rPr>
              <w:t xml:space="preserve">310 </w:t>
            </w:r>
          </w:p>
        </w:tc>
      </w:tr>
      <w:tr w:rsidR="00F675BD" w:rsidRPr="00866299" w14:paraId="540C2C06" w14:textId="77777777" w:rsidTr="005101BC">
        <w:trPr>
          <w:trHeight w:val="283"/>
        </w:trPr>
        <w:tc>
          <w:tcPr>
            <w:tcW w:w="5363" w:type="dxa"/>
            <w:shd w:val="clear" w:color="auto" w:fill="auto"/>
            <w:vAlign w:val="center"/>
          </w:tcPr>
          <w:p w14:paraId="771E3F2B" w14:textId="06BE7019" w:rsidR="00F675BD" w:rsidRPr="0020502A" w:rsidRDefault="00F675BD" w:rsidP="00F675BD">
            <w:pPr>
              <w:rPr>
                <w:color w:val="000000"/>
                <w:sz w:val="22"/>
                <w:szCs w:val="22"/>
                <w:lang w:bidi="he-IL"/>
              </w:rPr>
            </w:pPr>
            <w:r>
              <w:rPr>
                <w:color w:val="000000"/>
                <w:sz w:val="22"/>
                <w:szCs w:val="22"/>
              </w:rPr>
              <w:t>Adjustment of deferred tax balances following a change in tax rates</w:t>
            </w:r>
          </w:p>
        </w:tc>
        <w:tc>
          <w:tcPr>
            <w:tcW w:w="1112" w:type="dxa"/>
            <w:shd w:val="clear" w:color="auto" w:fill="auto"/>
            <w:noWrap/>
            <w:vAlign w:val="bottom"/>
          </w:tcPr>
          <w:p w14:paraId="5E6A3F8B" w14:textId="624F879F" w:rsidR="00F675BD" w:rsidRPr="00B1582C" w:rsidRDefault="00F675BD" w:rsidP="00F675BD">
            <w:pPr>
              <w:spacing w:before="40"/>
              <w:jc w:val="right"/>
              <w:rPr>
                <w:sz w:val="22"/>
                <w:szCs w:val="22"/>
                <w:highlight w:val="yellow"/>
              </w:rPr>
            </w:pPr>
            <w:r>
              <w:rPr>
                <w:sz w:val="22"/>
                <w:szCs w:val="22"/>
              </w:rPr>
              <w:t xml:space="preserve">- </w:t>
            </w:r>
          </w:p>
        </w:tc>
        <w:tc>
          <w:tcPr>
            <w:tcW w:w="1340" w:type="dxa"/>
            <w:shd w:val="clear" w:color="auto" w:fill="auto"/>
            <w:noWrap/>
            <w:vAlign w:val="bottom"/>
          </w:tcPr>
          <w:p w14:paraId="2D149921" w14:textId="3C9DCFB5" w:rsidR="00F675BD" w:rsidRPr="00543265" w:rsidRDefault="00F675BD" w:rsidP="00F675BD">
            <w:pPr>
              <w:spacing w:before="40"/>
              <w:jc w:val="right"/>
              <w:rPr>
                <w:sz w:val="22"/>
                <w:szCs w:val="22"/>
              </w:rPr>
            </w:pPr>
            <w:r>
              <w:rPr>
                <w:sz w:val="22"/>
                <w:szCs w:val="22"/>
              </w:rPr>
              <w:t>2,565</w:t>
            </w:r>
          </w:p>
        </w:tc>
        <w:tc>
          <w:tcPr>
            <w:tcW w:w="1341" w:type="dxa"/>
            <w:shd w:val="clear" w:color="auto" w:fill="auto"/>
            <w:noWrap/>
            <w:vAlign w:val="bottom"/>
          </w:tcPr>
          <w:p w14:paraId="0A435478" w14:textId="70068FA9" w:rsidR="00F675BD" w:rsidRPr="009B28F5" w:rsidRDefault="00F675BD" w:rsidP="00F675BD">
            <w:pPr>
              <w:spacing w:before="40"/>
              <w:jc w:val="right"/>
              <w:rPr>
                <w:sz w:val="22"/>
                <w:szCs w:val="22"/>
              </w:rPr>
            </w:pPr>
            <w:r>
              <w:rPr>
                <w:sz w:val="22"/>
                <w:szCs w:val="22"/>
              </w:rPr>
              <w:t>(78)</w:t>
            </w:r>
          </w:p>
        </w:tc>
      </w:tr>
      <w:tr w:rsidR="00F675BD" w:rsidRPr="00866299" w14:paraId="4061A9FC" w14:textId="77777777" w:rsidTr="005101BC">
        <w:trPr>
          <w:trHeight w:val="144"/>
        </w:trPr>
        <w:tc>
          <w:tcPr>
            <w:tcW w:w="5363" w:type="dxa"/>
            <w:shd w:val="clear" w:color="auto" w:fill="auto"/>
            <w:vAlign w:val="center"/>
            <w:hideMark/>
          </w:tcPr>
          <w:p w14:paraId="5EFFBCCE" w14:textId="3FAFC32B" w:rsidR="00F675BD" w:rsidRPr="001526F3" w:rsidRDefault="00F675BD" w:rsidP="00F675BD">
            <w:pPr>
              <w:spacing w:before="40"/>
              <w:rPr>
                <w:sz w:val="22"/>
                <w:szCs w:val="22"/>
                <w:lang w:bidi="he-IL"/>
              </w:rPr>
            </w:pPr>
            <w:r w:rsidRPr="001526F3">
              <w:rPr>
                <w:color w:val="000000"/>
                <w:sz w:val="22"/>
                <w:szCs w:val="22"/>
              </w:rPr>
              <w:t>Other</w:t>
            </w:r>
          </w:p>
        </w:tc>
        <w:tc>
          <w:tcPr>
            <w:tcW w:w="1112" w:type="dxa"/>
            <w:shd w:val="clear" w:color="auto" w:fill="auto"/>
            <w:noWrap/>
            <w:vAlign w:val="bottom"/>
          </w:tcPr>
          <w:p w14:paraId="13FB0A39" w14:textId="4F80EF8F" w:rsidR="00F675BD" w:rsidRPr="00B1582C" w:rsidRDefault="00F675BD" w:rsidP="00F675BD">
            <w:pPr>
              <w:pBdr>
                <w:bottom w:val="single" w:sz="4" w:space="0" w:color="000000"/>
              </w:pBdr>
              <w:spacing w:before="40"/>
              <w:jc w:val="right"/>
              <w:rPr>
                <w:sz w:val="22"/>
                <w:szCs w:val="22"/>
                <w:highlight w:val="yellow"/>
              </w:rPr>
            </w:pPr>
            <w:r>
              <w:rPr>
                <w:sz w:val="22"/>
                <w:szCs w:val="22"/>
              </w:rPr>
              <w:t>(229)</w:t>
            </w:r>
          </w:p>
        </w:tc>
        <w:tc>
          <w:tcPr>
            <w:tcW w:w="1340" w:type="dxa"/>
            <w:shd w:val="clear" w:color="auto" w:fill="auto"/>
            <w:noWrap/>
            <w:vAlign w:val="bottom"/>
          </w:tcPr>
          <w:p w14:paraId="20C3E8F4" w14:textId="46C228DA" w:rsidR="00F675BD" w:rsidRPr="00543265" w:rsidRDefault="00F675BD" w:rsidP="00F675BD">
            <w:pPr>
              <w:pBdr>
                <w:bottom w:val="single" w:sz="4" w:space="0" w:color="000000"/>
              </w:pBdr>
              <w:spacing w:before="40"/>
              <w:jc w:val="right"/>
              <w:rPr>
                <w:sz w:val="22"/>
                <w:szCs w:val="22"/>
              </w:rPr>
            </w:pPr>
            <w:r>
              <w:rPr>
                <w:sz w:val="22"/>
                <w:szCs w:val="22"/>
              </w:rPr>
              <w:t>(122)</w:t>
            </w:r>
          </w:p>
        </w:tc>
        <w:tc>
          <w:tcPr>
            <w:tcW w:w="1341" w:type="dxa"/>
            <w:shd w:val="clear" w:color="auto" w:fill="auto"/>
            <w:noWrap/>
            <w:vAlign w:val="bottom"/>
          </w:tcPr>
          <w:p w14:paraId="16CC8D9E" w14:textId="78777926" w:rsidR="00F675BD" w:rsidRPr="00570E2C" w:rsidRDefault="00F675BD" w:rsidP="00F675BD">
            <w:pPr>
              <w:pBdr>
                <w:bottom w:val="single" w:sz="4" w:space="0" w:color="000000"/>
              </w:pBdr>
              <w:spacing w:before="40"/>
              <w:jc w:val="right"/>
              <w:rPr>
                <w:sz w:val="22"/>
                <w:szCs w:val="22"/>
              </w:rPr>
            </w:pPr>
            <w:r w:rsidRPr="00543265">
              <w:rPr>
                <w:sz w:val="22"/>
                <w:szCs w:val="22"/>
              </w:rPr>
              <w:t>(</w:t>
            </w:r>
            <w:r>
              <w:rPr>
                <w:sz w:val="22"/>
                <w:szCs w:val="22"/>
              </w:rPr>
              <w:t>560</w:t>
            </w:r>
            <w:r w:rsidRPr="00543265">
              <w:rPr>
                <w:sz w:val="22"/>
                <w:szCs w:val="22"/>
              </w:rPr>
              <w:t>)</w:t>
            </w:r>
          </w:p>
        </w:tc>
      </w:tr>
      <w:tr w:rsidR="00914258" w:rsidRPr="00866299" w14:paraId="68DA1A69" w14:textId="77777777" w:rsidTr="005101BC">
        <w:trPr>
          <w:trHeight w:val="283"/>
        </w:trPr>
        <w:tc>
          <w:tcPr>
            <w:tcW w:w="5363" w:type="dxa"/>
            <w:shd w:val="clear" w:color="auto" w:fill="auto"/>
            <w:vAlign w:val="center"/>
            <w:hideMark/>
          </w:tcPr>
          <w:p w14:paraId="7DC2FC3D" w14:textId="11237480" w:rsidR="00914258" w:rsidRPr="00DB0A89" w:rsidRDefault="00914258" w:rsidP="00914258">
            <w:pPr>
              <w:spacing w:before="40"/>
              <w:rPr>
                <w:sz w:val="22"/>
                <w:szCs w:val="22"/>
              </w:rPr>
            </w:pPr>
            <w:r w:rsidRPr="00DB0A89">
              <w:rPr>
                <w:spacing w:val="-2"/>
                <w:sz w:val="22"/>
                <w:szCs w:val="22"/>
              </w:rPr>
              <w:t>Income tax expenses from continuing operations</w:t>
            </w:r>
          </w:p>
        </w:tc>
        <w:tc>
          <w:tcPr>
            <w:tcW w:w="1112" w:type="dxa"/>
            <w:shd w:val="clear" w:color="auto" w:fill="auto"/>
            <w:noWrap/>
            <w:vAlign w:val="bottom"/>
          </w:tcPr>
          <w:p w14:paraId="3C53AC3E" w14:textId="57DF370A" w:rsidR="00914258" w:rsidRPr="00B1582C" w:rsidRDefault="00914258" w:rsidP="00B1582C">
            <w:pPr>
              <w:spacing w:before="40"/>
              <w:jc w:val="right"/>
              <w:rPr>
                <w:sz w:val="22"/>
                <w:szCs w:val="22"/>
                <w:highlight w:val="yellow"/>
              </w:rPr>
            </w:pPr>
            <w:r w:rsidRPr="00B1582C">
              <w:rPr>
                <w:sz w:val="22"/>
                <w:szCs w:val="22"/>
              </w:rPr>
              <w:t>34,513</w:t>
            </w:r>
          </w:p>
        </w:tc>
        <w:tc>
          <w:tcPr>
            <w:tcW w:w="1340" w:type="dxa"/>
            <w:shd w:val="clear" w:color="auto" w:fill="auto"/>
            <w:noWrap/>
            <w:vAlign w:val="bottom"/>
          </w:tcPr>
          <w:p w14:paraId="71039891" w14:textId="1A6F97E0" w:rsidR="00914258" w:rsidRPr="00543265" w:rsidRDefault="00914258" w:rsidP="00914258">
            <w:pPr>
              <w:spacing w:before="40"/>
              <w:jc w:val="right"/>
              <w:rPr>
                <w:sz w:val="22"/>
                <w:szCs w:val="22"/>
              </w:rPr>
            </w:pPr>
            <w:r>
              <w:rPr>
                <w:sz w:val="22"/>
                <w:szCs w:val="22"/>
              </w:rPr>
              <w:t>11,586</w:t>
            </w:r>
          </w:p>
        </w:tc>
        <w:tc>
          <w:tcPr>
            <w:tcW w:w="1341" w:type="dxa"/>
            <w:shd w:val="clear" w:color="auto" w:fill="auto"/>
            <w:noWrap/>
            <w:vAlign w:val="bottom"/>
          </w:tcPr>
          <w:p w14:paraId="3200EEE8" w14:textId="26BC7967" w:rsidR="00914258" w:rsidRPr="00570E2C" w:rsidRDefault="00914258" w:rsidP="00914258">
            <w:pPr>
              <w:spacing w:before="40"/>
              <w:jc w:val="right"/>
              <w:rPr>
                <w:sz w:val="22"/>
                <w:szCs w:val="22"/>
              </w:rPr>
            </w:pPr>
            <w:r w:rsidRPr="00543265">
              <w:rPr>
                <w:sz w:val="22"/>
                <w:szCs w:val="22"/>
              </w:rPr>
              <w:t xml:space="preserve">24,665 </w:t>
            </w:r>
          </w:p>
        </w:tc>
      </w:tr>
      <w:tr w:rsidR="00914258" w:rsidRPr="00866299" w14:paraId="63A74DD8" w14:textId="77777777" w:rsidTr="005101BC">
        <w:trPr>
          <w:trHeight w:val="283"/>
        </w:trPr>
        <w:tc>
          <w:tcPr>
            <w:tcW w:w="5363" w:type="dxa"/>
            <w:shd w:val="clear" w:color="auto" w:fill="auto"/>
            <w:vAlign w:val="center"/>
          </w:tcPr>
          <w:p w14:paraId="12343013" w14:textId="77777777" w:rsidR="00914258" w:rsidRPr="00DB0A89" w:rsidRDefault="00914258" w:rsidP="00914258">
            <w:pPr>
              <w:spacing w:before="40"/>
              <w:rPr>
                <w:spacing w:val="-2"/>
                <w:sz w:val="22"/>
                <w:szCs w:val="22"/>
              </w:rPr>
            </w:pPr>
            <w:r w:rsidRPr="00DB0A89">
              <w:rPr>
                <w:spacing w:val="-2"/>
                <w:sz w:val="22"/>
                <w:szCs w:val="22"/>
              </w:rPr>
              <w:t>Effective tax rate</w:t>
            </w:r>
          </w:p>
        </w:tc>
        <w:tc>
          <w:tcPr>
            <w:tcW w:w="1112" w:type="dxa"/>
            <w:shd w:val="clear" w:color="auto" w:fill="auto"/>
            <w:noWrap/>
            <w:vAlign w:val="bottom"/>
          </w:tcPr>
          <w:p w14:paraId="7724FB07" w14:textId="51757970" w:rsidR="00914258" w:rsidRPr="00B1582C" w:rsidRDefault="00914258" w:rsidP="00B1582C">
            <w:pPr>
              <w:pBdr>
                <w:bottom w:val="single" w:sz="4" w:space="0" w:color="000000"/>
              </w:pBdr>
              <w:spacing w:before="40"/>
              <w:jc w:val="right"/>
              <w:rPr>
                <w:sz w:val="22"/>
                <w:szCs w:val="22"/>
              </w:rPr>
            </w:pPr>
            <w:r w:rsidRPr="00B1582C">
              <w:rPr>
                <w:sz w:val="22"/>
                <w:szCs w:val="22"/>
              </w:rPr>
              <w:t>24%</w:t>
            </w:r>
          </w:p>
        </w:tc>
        <w:tc>
          <w:tcPr>
            <w:tcW w:w="1340" w:type="dxa"/>
            <w:shd w:val="clear" w:color="auto" w:fill="auto"/>
            <w:noWrap/>
            <w:vAlign w:val="bottom"/>
          </w:tcPr>
          <w:p w14:paraId="60BF293C" w14:textId="278A2F93" w:rsidR="00914258" w:rsidRPr="00543265" w:rsidRDefault="00914258" w:rsidP="00914258">
            <w:pPr>
              <w:pBdr>
                <w:bottom w:val="single" w:sz="4" w:space="0" w:color="000000"/>
              </w:pBdr>
              <w:spacing w:before="40"/>
              <w:jc w:val="right"/>
              <w:rPr>
                <w:color w:val="000000"/>
                <w:sz w:val="22"/>
                <w:szCs w:val="22"/>
              </w:rPr>
            </w:pPr>
            <w:r>
              <w:rPr>
                <w:color w:val="000000"/>
                <w:sz w:val="22"/>
                <w:szCs w:val="22"/>
              </w:rPr>
              <w:t>49%</w:t>
            </w:r>
          </w:p>
        </w:tc>
        <w:tc>
          <w:tcPr>
            <w:tcW w:w="1341" w:type="dxa"/>
            <w:shd w:val="clear" w:color="auto" w:fill="auto"/>
            <w:noWrap/>
            <w:vAlign w:val="bottom"/>
          </w:tcPr>
          <w:p w14:paraId="209DE001" w14:textId="40AB1620" w:rsidR="00914258" w:rsidRPr="00570E2C" w:rsidRDefault="00914258" w:rsidP="00914258">
            <w:pPr>
              <w:pBdr>
                <w:bottom w:val="single" w:sz="4" w:space="0" w:color="000000"/>
              </w:pBdr>
              <w:spacing w:before="40"/>
              <w:jc w:val="right"/>
              <w:rPr>
                <w:color w:val="000000"/>
                <w:sz w:val="22"/>
                <w:szCs w:val="22"/>
              </w:rPr>
            </w:pPr>
            <w:r w:rsidRPr="00543265">
              <w:rPr>
                <w:color w:val="000000"/>
                <w:sz w:val="22"/>
                <w:szCs w:val="22"/>
              </w:rPr>
              <w:t>24%</w:t>
            </w:r>
          </w:p>
        </w:tc>
      </w:tr>
    </w:tbl>
    <w:p w14:paraId="0A1F6AB2" w14:textId="77777777" w:rsidR="004338D1" w:rsidRDefault="004338D1" w:rsidP="001A42CE">
      <w:pPr>
        <w:jc w:val="both"/>
        <w:rPr>
          <w:b/>
          <w:bCs/>
          <w:sz w:val="22"/>
          <w:szCs w:val="22"/>
        </w:rPr>
      </w:pPr>
    </w:p>
    <w:p w14:paraId="67AE227D" w14:textId="3E6545BE" w:rsidR="00030CEF" w:rsidRPr="00F02921" w:rsidRDefault="001A42CE" w:rsidP="00C01E5D">
      <w:pPr>
        <w:jc w:val="both"/>
        <w:outlineLvl w:val="3"/>
        <w:rPr>
          <w:sz w:val="22"/>
          <w:szCs w:val="22"/>
        </w:rPr>
      </w:pPr>
      <w:bookmarkStart w:id="189" w:name="H4_ERecognized_deferred_tax_assets_and_l"/>
      <w:r>
        <w:rPr>
          <w:b/>
          <w:bCs/>
          <w:sz w:val="22"/>
          <w:szCs w:val="22"/>
        </w:rPr>
        <w:t>E</w:t>
      </w:r>
      <w:r w:rsidR="00030CEF" w:rsidRPr="00C435F7">
        <w:rPr>
          <w:b/>
          <w:bCs/>
          <w:sz w:val="22"/>
          <w:szCs w:val="22"/>
        </w:rPr>
        <w:t>.</w:t>
      </w:r>
      <w:r w:rsidR="00030CEF" w:rsidRPr="00C435F7">
        <w:rPr>
          <w:b/>
          <w:bCs/>
          <w:sz w:val="22"/>
          <w:szCs w:val="22"/>
        </w:rPr>
        <w:tab/>
      </w:r>
      <w:r w:rsidR="00030CEF" w:rsidRPr="00F02921">
        <w:rPr>
          <w:b/>
          <w:bCs/>
          <w:sz w:val="22"/>
          <w:szCs w:val="22"/>
        </w:rPr>
        <w:t xml:space="preserve">Recognized deferred tax assets and liabilities </w:t>
      </w:r>
    </w:p>
    <w:bookmarkEnd w:id="189"/>
    <w:p w14:paraId="1E6DFAF1" w14:textId="77777777" w:rsidR="00030CEF" w:rsidRPr="00DC4C5F" w:rsidRDefault="00030CEF" w:rsidP="00030CEF">
      <w:pPr>
        <w:rPr>
          <w:sz w:val="12"/>
          <w:szCs w:val="12"/>
        </w:rPr>
      </w:pPr>
    </w:p>
    <w:p w14:paraId="7C40A7BE" w14:textId="77777777" w:rsidR="00030CEF" w:rsidRDefault="00030CEF" w:rsidP="00030CEF">
      <w:pPr>
        <w:rPr>
          <w:sz w:val="22"/>
          <w:szCs w:val="22"/>
        </w:rPr>
      </w:pPr>
      <w:r w:rsidRPr="00F02921">
        <w:rPr>
          <w:sz w:val="22"/>
          <w:szCs w:val="22"/>
        </w:rPr>
        <w:t>Deferred tax assets and liabilities are attributable to the following items</w:t>
      </w:r>
      <w:r>
        <w:rPr>
          <w:sz w:val="22"/>
          <w:szCs w:val="22"/>
        </w:rPr>
        <w:t xml:space="preserve"> as of December 31</w:t>
      </w:r>
      <w:r w:rsidRPr="00F02921">
        <w:rPr>
          <w:sz w:val="22"/>
          <w:szCs w:val="22"/>
        </w:rPr>
        <w:t xml:space="preserve">: </w:t>
      </w:r>
    </w:p>
    <w:p w14:paraId="57702D11" w14:textId="77777777" w:rsidR="00030CEF" w:rsidRPr="00DC4C5F" w:rsidRDefault="00030CEF" w:rsidP="00030CEF">
      <w:pPr>
        <w:rPr>
          <w:sz w:val="12"/>
          <w:szCs w:val="12"/>
          <w:lang w:bidi="he-IL"/>
        </w:rPr>
      </w:pPr>
    </w:p>
    <w:p w14:paraId="057DC78F" w14:textId="77777777" w:rsidR="00030CEF" w:rsidRPr="00F02921" w:rsidRDefault="00030CEF" w:rsidP="00030CEF">
      <w:pPr>
        <w:rPr>
          <w:rStyle w:val="Koteret"/>
          <w:b w:val="0"/>
          <w:bCs/>
          <w:i/>
          <w:iCs/>
          <w:szCs w:val="18"/>
        </w:rPr>
      </w:pPr>
      <w:r w:rsidRPr="00F02921">
        <w:rPr>
          <w:rStyle w:val="Koteret"/>
          <w:b w:val="0"/>
          <w:bCs/>
          <w:i/>
          <w:iCs/>
          <w:szCs w:val="18"/>
        </w:rPr>
        <w:t>In thousands of Euros</w:t>
      </w:r>
    </w:p>
    <w:tbl>
      <w:tblPr>
        <w:tblW w:w="10149" w:type="dxa"/>
        <w:tblInd w:w="-176" w:type="dxa"/>
        <w:tblLayout w:type="fixed"/>
        <w:tblLook w:val="06A0" w:firstRow="1" w:lastRow="0" w:firstColumn="1" w:lastColumn="0" w:noHBand="1" w:noVBand="1"/>
        <w:tblCaption w:val="AHR02"/>
        <w:tblDescription w:val="Recognized deferred tax assets and liabilities "/>
      </w:tblPr>
      <w:tblGrid>
        <w:gridCol w:w="2494"/>
        <w:gridCol w:w="1275"/>
        <w:gridCol w:w="1276"/>
        <w:gridCol w:w="1276"/>
        <w:gridCol w:w="1276"/>
        <w:gridCol w:w="1276"/>
        <w:gridCol w:w="1276"/>
      </w:tblGrid>
      <w:tr w:rsidR="00030CEF" w:rsidRPr="002B2F95" w14:paraId="614E870A" w14:textId="77777777" w:rsidTr="005101BC">
        <w:trPr>
          <w:cantSplit/>
          <w:trHeight w:val="240"/>
          <w:tblHeader/>
        </w:trPr>
        <w:tc>
          <w:tcPr>
            <w:tcW w:w="2494" w:type="dxa"/>
            <w:shd w:val="clear" w:color="auto" w:fill="auto"/>
            <w:vAlign w:val="bottom"/>
            <w:hideMark/>
          </w:tcPr>
          <w:p w14:paraId="455D7F62" w14:textId="77777777" w:rsidR="00030CEF" w:rsidRPr="00866299" w:rsidRDefault="00030CEF" w:rsidP="00030CEF">
            <w:pPr>
              <w:spacing w:before="40"/>
              <w:rPr>
                <w:rFonts w:asciiTheme="majorBidi" w:eastAsia="Arial" w:hAnsiTheme="majorBidi" w:cstheme="majorBidi"/>
                <w:sz w:val="20"/>
              </w:rPr>
            </w:pPr>
            <w:bookmarkStart w:id="190" w:name="Title_47" w:colFirst="0" w:colLast="0"/>
          </w:p>
        </w:tc>
        <w:tc>
          <w:tcPr>
            <w:tcW w:w="2551" w:type="dxa"/>
            <w:gridSpan w:val="2"/>
            <w:shd w:val="clear" w:color="auto" w:fill="auto"/>
            <w:vAlign w:val="bottom"/>
            <w:hideMark/>
          </w:tcPr>
          <w:p w14:paraId="2EECA28D" w14:textId="77777777" w:rsidR="00030CEF" w:rsidRPr="00866299" w:rsidRDefault="00030CEF" w:rsidP="00543265">
            <w:pPr>
              <w:pBdr>
                <w:bottom w:val="single" w:sz="4" w:space="0" w:color="000000"/>
              </w:pBdr>
              <w:spacing w:before="40"/>
              <w:jc w:val="center"/>
              <w:rPr>
                <w:rFonts w:asciiTheme="majorBidi" w:hAnsiTheme="majorBidi" w:cstheme="majorBidi"/>
                <w:b/>
                <w:bCs/>
                <w:sz w:val="20"/>
              </w:rPr>
            </w:pPr>
            <w:r w:rsidRPr="00866299">
              <w:rPr>
                <w:rFonts w:asciiTheme="majorBidi" w:hAnsiTheme="majorBidi" w:cstheme="majorBidi"/>
                <w:b/>
                <w:bCs/>
                <w:color w:val="000000"/>
                <w:sz w:val="20"/>
              </w:rPr>
              <w:t>Assets</w:t>
            </w:r>
          </w:p>
        </w:tc>
        <w:tc>
          <w:tcPr>
            <w:tcW w:w="2552" w:type="dxa"/>
            <w:gridSpan w:val="2"/>
            <w:shd w:val="clear" w:color="auto" w:fill="auto"/>
            <w:vAlign w:val="bottom"/>
            <w:hideMark/>
          </w:tcPr>
          <w:p w14:paraId="4724CDCB" w14:textId="77777777" w:rsidR="00030CEF" w:rsidRPr="00866299" w:rsidRDefault="00030CEF" w:rsidP="00543265">
            <w:pPr>
              <w:pBdr>
                <w:bottom w:val="single" w:sz="4" w:space="0" w:color="000000"/>
              </w:pBdr>
              <w:spacing w:before="40"/>
              <w:jc w:val="center"/>
              <w:rPr>
                <w:rFonts w:asciiTheme="majorBidi" w:hAnsiTheme="majorBidi" w:cstheme="majorBidi"/>
                <w:b/>
                <w:bCs/>
                <w:sz w:val="20"/>
              </w:rPr>
            </w:pPr>
            <w:r w:rsidRPr="00866299">
              <w:rPr>
                <w:rFonts w:asciiTheme="majorBidi" w:hAnsiTheme="majorBidi" w:cstheme="majorBidi"/>
                <w:b/>
                <w:bCs/>
                <w:color w:val="000000"/>
                <w:sz w:val="20"/>
              </w:rPr>
              <w:t>Liabilities</w:t>
            </w:r>
          </w:p>
        </w:tc>
        <w:tc>
          <w:tcPr>
            <w:tcW w:w="2552" w:type="dxa"/>
            <w:gridSpan w:val="2"/>
            <w:shd w:val="clear" w:color="auto" w:fill="auto"/>
            <w:vAlign w:val="bottom"/>
            <w:hideMark/>
          </w:tcPr>
          <w:p w14:paraId="69F7C507" w14:textId="77777777" w:rsidR="00030CEF" w:rsidRPr="00866299" w:rsidRDefault="00030CEF" w:rsidP="00543265">
            <w:pPr>
              <w:pBdr>
                <w:bottom w:val="single" w:sz="4" w:space="0" w:color="000000"/>
              </w:pBdr>
              <w:spacing w:before="40"/>
              <w:jc w:val="center"/>
              <w:rPr>
                <w:rFonts w:asciiTheme="majorBidi" w:hAnsiTheme="majorBidi" w:cstheme="majorBidi"/>
                <w:b/>
                <w:bCs/>
                <w:sz w:val="20"/>
              </w:rPr>
            </w:pPr>
            <w:r w:rsidRPr="00866299">
              <w:rPr>
                <w:rFonts w:asciiTheme="majorBidi" w:hAnsiTheme="majorBidi" w:cstheme="majorBidi"/>
                <w:b/>
                <w:bCs/>
                <w:color w:val="000000"/>
                <w:sz w:val="20"/>
              </w:rPr>
              <w:t>Net</w:t>
            </w:r>
          </w:p>
        </w:tc>
      </w:tr>
      <w:bookmarkEnd w:id="190"/>
      <w:tr w:rsidR="007958E3" w:rsidRPr="002B2F95" w14:paraId="180824CE" w14:textId="77777777" w:rsidTr="005101BC">
        <w:trPr>
          <w:cantSplit/>
          <w:trHeight w:val="240"/>
          <w:tblHeader/>
        </w:trPr>
        <w:tc>
          <w:tcPr>
            <w:tcW w:w="2494" w:type="dxa"/>
            <w:shd w:val="clear" w:color="auto" w:fill="auto"/>
            <w:vAlign w:val="bottom"/>
            <w:hideMark/>
          </w:tcPr>
          <w:p w14:paraId="1C9F813F" w14:textId="77777777" w:rsidR="007958E3" w:rsidRPr="00866299" w:rsidRDefault="007958E3" w:rsidP="007958E3">
            <w:pPr>
              <w:spacing w:before="40"/>
              <w:rPr>
                <w:rFonts w:asciiTheme="majorBidi" w:eastAsia="Arial" w:hAnsiTheme="majorBidi" w:cstheme="majorBidi"/>
                <w:sz w:val="20"/>
              </w:rPr>
            </w:pPr>
          </w:p>
        </w:tc>
        <w:tc>
          <w:tcPr>
            <w:tcW w:w="1275" w:type="dxa"/>
            <w:shd w:val="clear" w:color="auto" w:fill="auto"/>
            <w:vAlign w:val="bottom"/>
            <w:hideMark/>
          </w:tcPr>
          <w:p w14:paraId="2E2E15F8" w14:textId="2213A834" w:rsidR="007958E3" w:rsidRPr="00866299" w:rsidRDefault="007958E3" w:rsidP="007958E3">
            <w:pPr>
              <w:pBdr>
                <w:bottom w:val="single" w:sz="4" w:space="0" w:color="000000"/>
              </w:pBdr>
              <w:spacing w:before="40"/>
              <w:ind w:left="57"/>
              <w:jc w:val="center"/>
              <w:rPr>
                <w:rFonts w:asciiTheme="majorBidi" w:hAnsiTheme="majorBidi" w:cstheme="majorBidi"/>
                <w:b/>
                <w:bCs/>
                <w:sz w:val="20"/>
              </w:rPr>
            </w:pPr>
            <w:r>
              <w:rPr>
                <w:rFonts w:asciiTheme="majorBidi" w:hAnsiTheme="majorBidi" w:cstheme="majorBidi"/>
                <w:b/>
                <w:bCs/>
                <w:color w:val="000000"/>
                <w:sz w:val="20"/>
              </w:rPr>
              <w:t>2024</w:t>
            </w:r>
          </w:p>
        </w:tc>
        <w:tc>
          <w:tcPr>
            <w:tcW w:w="1276" w:type="dxa"/>
            <w:shd w:val="clear" w:color="auto" w:fill="auto"/>
            <w:vAlign w:val="bottom"/>
            <w:hideMark/>
          </w:tcPr>
          <w:p w14:paraId="390D9AE5" w14:textId="640346AC" w:rsidR="007958E3" w:rsidRPr="00866299" w:rsidRDefault="007958E3" w:rsidP="007958E3">
            <w:pPr>
              <w:pBdr>
                <w:bottom w:val="single" w:sz="4" w:space="0" w:color="000000"/>
              </w:pBdr>
              <w:spacing w:before="40"/>
              <w:ind w:left="57"/>
              <w:jc w:val="center"/>
              <w:rPr>
                <w:rFonts w:asciiTheme="majorBidi" w:hAnsiTheme="majorBidi" w:cstheme="majorBidi"/>
                <w:b/>
                <w:bCs/>
                <w:sz w:val="20"/>
              </w:rPr>
            </w:pPr>
            <w:r>
              <w:rPr>
                <w:rFonts w:asciiTheme="majorBidi" w:hAnsiTheme="majorBidi" w:cstheme="majorBidi"/>
                <w:b/>
                <w:bCs/>
                <w:color w:val="000000"/>
                <w:sz w:val="20"/>
              </w:rPr>
              <w:t>2023</w:t>
            </w:r>
          </w:p>
        </w:tc>
        <w:tc>
          <w:tcPr>
            <w:tcW w:w="1276" w:type="dxa"/>
            <w:shd w:val="clear" w:color="auto" w:fill="auto"/>
            <w:vAlign w:val="bottom"/>
            <w:hideMark/>
          </w:tcPr>
          <w:p w14:paraId="59FC07D3" w14:textId="062193C7" w:rsidR="007958E3" w:rsidRPr="00866299" w:rsidRDefault="007958E3" w:rsidP="007958E3">
            <w:pPr>
              <w:pBdr>
                <w:bottom w:val="single" w:sz="4" w:space="0" w:color="000000"/>
              </w:pBdr>
              <w:spacing w:before="40"/>
              <w:ind w:left="57"/>
              <w:jc w:val="center"/>
              <w:rPr>
                <w:rFonts w:asciiTheme="majorBidi" w:hAnsiTheme="majorBidi" w:cstheme="majorBidi"/>
                <w:b/>
                <w:bCs/>
                <w:sz w:val="20"/>
              </w:rPr>
            </w:pPr>
            <w:r>
              <w:rPr>
                <w:rFonts w:asciiTheme="majorBidi" w:hAnsiTheme="majorBidi" w:cstheme="majorBidi"/>
                <w:b/>
                <w:bCs/>
                <w:color w:val="000000"/>
                <w:sz w:val="20"/>
              </w:rPr>
              <w:t>2024</w:t>
            </w:r>
          </w:p>
        </w:tc>
        <w:tc>
          <w:tcPr>
            <w:tcW w:w="1276" w:type="dxa"/>
            <w:shd w:val="clear" w:color="auto" w:fill="auto"/>
            <w:vAlign w:val="bottom"/>
            <w:hideMark/>
          </w:tcPr>
          <w:p w14:paraId="34C5122E" w14:textId="0E32EAC7" w:rsidR="007958E3" w:rsidRPr="00866299" w:rsidRDefault="007958E3" w:rsidP="007958E3">
            <w:pPr>
              <w:pBdr>
                <w:bottom w:val="single" w:sz="4" w:space="0" w:color="000000"/>
              </w:pBdr>
              <w:spacing w:before="40"/>
              <w:ind w:left="57"/>
              <w:jc w:val="center"/>
              <w:rPr>
                <w:rFonts w:asciiTheme="majorBidi" w:hAnsiTheme="majorBidi" w:cstheme="majorBidi"/>
                <w:b/>
                <w:bCs/>
                <w:sz w:val="20"/>
              </w:rPr>
            </w:pPr>
            <w:r>
              <w:rPr>
                <w:rFonts w:asciiTheme="majorBidi" w:hAnsiTheme="majorBidi" w:cstheme="majorBidi"/>
                <w:b/>
                <w:bCs/>
                <w:color w:val="000000"/>
                <w:sz w:val="20"/>
              </w:rPr>
              <w:t>2023</w:t>
            </w:r>
          </w:p>
        </w:tc>
        <w:tc>
          <w:tcPr>
            <w:tcW w:w="1276" w:type="dxa"/>
            <w:shd w:val="clear" w:color="auto" w:fill="auto"/>
            <w:vAlign w:val="bottom"/>
            <w:hideMark/>
          </w:tcPr>
          <w:p w14:paraId="0757311A" w14:textId="651FAC96" w:rsidR="007958E3" w:rsidRPr="00866299" w:rsidRDefault="007958E3" w:rsidP="007958E3">
            <w:pPr>
              <w:pBdr>
                <w:bottom w:val="single" w:sz="4" w:space="0" w:color="000000"/>
              </w:pBdr>
              <w:spacing w:before="40"/>
              <w:ind w:left="57"/>
              <w:jc w:val="center"/>
              <w:rPr>
                <w:rFonts w:asciiTheme="majorBidi" w:hAnsiTheme="majorBidi" w:cstheme="majorBidi"/>
                <w:b/>
                <w:bCs/>
                <w:sz w:val="20"/>
              </w:rPr>
            </w:pPr>
            <w:r>
              <w:rPr>
                <w:rFonts w:asciiTheme="majorBidi" w:hAnsiTheme="majorBidi" w:cstheme="majorBidi"/>
                <w:b/>
                <w:bCs/>
                <w:color w:val="000000"/>
                <w:sz w:val="20"/>
              </w:rPr>
              <w:t>2024</w:t>
            </w:r>
          </w:p>
        </w:tc>
        <w:tc>
          <w:tcPr>
            <w:tcW w:w="1276" w:type="dxa"/>
            <w:shd w:val="clear" w:color="auto" w:fill="auto"/>
            <w:vAlign w:val="bottom"/>
            <w:hideMark/>
          </w:tcPr>
          <w:p w14:paraId="37036360" w14:textId="51947ACD" w:rsidR="007958E3" w:rsidRPr="00866299" w:rsidRDefault="007958E3" w:rsidP="007958E3">
            <w:pPr>
              <w:pBdr>
                <w:bottom w:val="single" w:sz="4" w:space="0" w:color="000000"/>
              </w:pBdr>
              <w:spacing w:before="40"/>
              <w:ind w:left="57"/>
              <w:jc w:val="center"/>
              <w:rPr>
                <w:rFonts w:asciiTheme="majorBidi" w:hAnsiTheme="majorBidi" w:cstheme="majorBidi"/>
                <w:b/>
                <w:bCs/>
                <w:sz w:val="20"/>
              </w:rPr>
            </w:pPr>
            <w:r>
              <w:rPr>
                <w:rFonts w:asciiTheme="majorBidi" w:hAnsiTheme="majorBidi" w:cstheme="majorBidi"/>
                <w:b/>
                <w:bCs/>
                <w:color w:val="000000"/>
                <w:sz w:val="20"/>
              </w:rPr>
              <w:t>2023</w:t>
            </w:r>
          </w:p>
        </w:tc>
      </w:tr>
      <w:tr w:rsidR="00914258" w:rsidRPr="00914258" w14:paraId="3EFA7CE2" w14:textId="77777777" w:rsidTr="005101BC">
        <w:trPr>
          <w:trHeight w:val="280"/>
        </w:trPr>
        <w:tc>
          <w:tcPr>
            <w:tcW w:w="2494" w:type="dxa"/>
            <w:shd w:val="clear" w:color="auto" w:fill="auto"/>
            <w:vAlign w:val="bottom"/>
            <w:hideMark/>
          </w:tcPr>
          <w:p w14:paraId="06A21E36" w14:textId="77777777" w:rsidR="00914258" w:rsidRPr="002B2F95" w:rsidRDefault="00914258" w:rsidP="00914258">
            <w:pPr>
              <w:spacing w:before="40"/>
              <w:rPr>
                <w:rFonts w:asciiTheme="majorBidi" w:hAnsiTheme="majorBidi" w:cstheme="majorBidi"/>
                <w:sz w:val="22"/>
                <w:szCs w:val="22"/>
              </w:rPr>
            </w:pPr>
            <w:r w:rsidRPr="002B2F95">
              <w:rPr>
                <w:rFonts w:asciiTheme="majorBidi" w:hAnsiTheme="majorBidi" w:cstheme="majorBidi"/>
                <w:color w:val="000000"/>
                <w:sz w:val="22"/>
                <w:szCs w:val="22"/>
              </w:rPr>
              <w:t>Investment property</w:t>
            </w:r>
          </w:p>
        </w:tc>
        <w:tc>
          <w:tcPr>
            <w:tcW w:w="1275" w:type="dxa"/>
            <w:shd w:val="clear" w:color="auto" w:fill="auto"/>
            <w:noWrap/>
            <w:vAlign w:val="bottom"/>
          </w:tcPr>
          <w:p w14:paraId="146DA615" w14:textId="65E82369" w:rsidR="00914258" w:rsidRPr="00425DB1" w:rsidRDefault="00914258" w:rsidP="00425DB1">
            <w:pPr>
              <w:spacing w:before="40"/>
              <w:jc w:val="right"/>
              <w:rPr>
                <w:rFonts w:asciiTheme="majorBidi" w:hAnsiTheme="majorBidi" w:cstheme="majorBidi"/>
                <w:sz w:val="22"/>
                <w:szCs w:val="22"/>
              </w:rPr>
            </w:pPr>
            <w:r w:rsidRPr="00425DB1">
              <w:rPr>
                <w:rFonts w:asciiTheme="majorBidi" w:hAnsiTheme="majorBidi" w:cstheme="majorBidi"/>
                <w:sz w:val="22"/>
                <w:szCs w:val="22"/>
              </w:rPr>
              <w:t>(212)</w:t>
            </w:r>
          </w:p>
        </w:tc>
        <w:tc>
          <w:tcPr>
            <w:tcW w:w="1276" w:type="dxa"/>
            <w:shd w:val="clear" w:color="auto" w:fill="auto"/>
            <w:noWrap/>
            <w:vAlign w:val="bottom"/>
          </w:tcPr>
          <w:p w14:paraId="4D892A67" w14:textId="63CD6C14" w:rsidR="00914258" w:rsidRPr="00425DB1" w:rsidRDefault="00914258" w:rsidP="00425DB1">
            <w:pPr>
              <w:spacing w:before="40"/>
              <w:jc w:val="right"/>
              <w:rPr>
                <w:rFonts w:asciiTheme="majorBidi" w:hAnsiTheme="majorBidi" w:cstheme="majorBidi"/>
                <w:sz w:val="22"/>
                <w:szCs w:val="22"/>
              </w:rPr>
            </w:pPr>
            <w:r w:rsidRPr="00425DB1">
              <w:rPr>
                <w:rFonts w:asciiTheme="majorBidi" w:hAnsiTheme="majorBidi" w:cstheme="majorBidi"/>
                <w:sz w:val="22"/>
                <w:szCs w:val="22"/>
              </w:rPr>
              <w:t>(3,470)</w:t>
            </w:r>
          </w:p>
        </w:tc>
        <w:tc>
          <w:tcPr>
            <w:tcW w:w="1276" w:type="dxa"/>
            <w:shd w:val="clear" w:color="auto" w:fill="auto"/>
            <w:noWrap/>
            <w:vAlign w:val="bottom"/>
          </w:tcPr>
          <w:p w14:paraId="222C82CB" w14:textId="73A152C3" w:rsidR="00914258" w:rsidRPr="00425DB1" w:rsidRDefault="009243E1" w:rsidP="00425DB1">
            <w:pPr>
              <w:spacing w:before="40"/>
              <w:jc w:val="right"/>
              <w:rPr>
                <w:rFonts w:asciiTheme="majorBidi" w:hAnsiTheme="majorBidi" w:cstheme="majorBidi"/>
                <w:sz w:val="22"/>
                <w:szCs w:val="22"/>
                <w:lang w:bidi="he-IL"/>
              </w:rPr>
            </w:pPr>
            <w:r w:rsidRPr="009243E1">
              <w:rPr>
                <w:rFonts w:asciiTheme="majorBidi" w:hAnsiTheme="majorBidi"/>
                <w:sz w:val="22"/>
                <w:szCs w:val="22"/>
                <w:rtl/>
                <w:lang w:bidi="he-IL"/>
              </w:rPr>
              <w:t>201</w:t>
            </w:r>
            <w:r w:rsidRPr="009243E1">
              <w:rPr>
                <w:rFonts w:asciiTheme="majorBidi" w:hAnsiTheme="majorBidi" w:cstheme="majorBidi"/>
                <w:sz w:val="22"/>
                <w:szCs w:val="22"/>
                <w:lang w:bidi="he-IL"/>
              </w:rPr>
              <w:t>,870</w:t>
            </w:r>
          </w:p>
        </w:tc>
        <w:tc>
          <w:tcPr>
            <w:tcW w:w="1276" w:type="dxa"/>
            <w:shd w:val="clear" w:color="auto" w:fill="auto"/>
            <w:noWrap/>
            <w:vAlign w:val="bottom"/>
          </w:tcPr>
          <w:p w14:paraId="20A26344" w14:textId="2E1A6572" w:rsidR="00914258" w:rsidRPr="00425DB1" w:rsidRDefault="009243E1" w:rsidP="00425DB1">
            <w:pPr>
              <w:spacing w:before="40"/>
              <w:jc w:val="right"/>
              <w:rPr>
                <w:rFonts w:asciiTheme="majorBidi" w:hAnsiTheme="majorBidi" w:cstheme="majorBidi"/>
                <w:sz w:val="22"/>
                <w:szCs w:val="22"/>
              </w:rPr>
            </w:pPr>
            <w:r w:rsidRPr="009243E1">
              <w:rPr>
                <w:rFonts w:asciiTheme="majorBidi" w:hAnsiTheme="majorBidi" w:cstheme="majorBidi"/>
                <w:sz w:val="22"/>
                <w:szCs w:val="22"/>
              </w:rPr>
              <w:t>177,035</w:t>
            </w:r>
          </w:p>
        </w:tc>
        <w:tc>
          <w:tcPr>
            <w:tcW w:w="1276" w:type="dxa"/>
            <w:shd w:val="clear" w:color="auto" w:fill="auto"/>
            <w:noWrap/>
            <w:vAlign w:val="bottom"/>
          </w:tcPr>
          <w:p w14:paraId="10C6E00D" w14:textId="1CA513DD" w:rsidR="00914258" w:rsidRPr="00425DB1" w:rsidRDefault="009243E1" w:rsidP="00425DB1">
            <w:pPr>
              <w:spacing w:before="40"/>
              <w:jc w:val="right"/>
              <w:rPr>
                <w:rFonts w:asciiTheme="majorBidi" w:hAnsiTheme="majorBidi" w:cstheme="majorBidi"/>
                <w:sz w:val="22"/>
                <w:szCs w:val="22"/>
                <w:lang w:bidi="he-IL"/>
              </w:rPr>
            </w:pPr>
            <w:r w:rsidRPr="009243E1">
              <w:rPr>
                <w:rFonts w:asciiTheme="majorBidi" w:hAnsiTheme="majorBidi"/>
                <w:sz w:val="22"/>
                <w:szCs w:val="22"/>
                <w:rtl/>
                <w:lang w:bidi="he-IL"/>
              </w:rPr>
              <w:t>201</w:t>
            </w:r>
            <w:r w:rsidRPr="009243E1">
              <w:rPr>
                <w:rFonts w:asciiTheme="majorBidi" w:hAnsiTheme="majorBidi" w:cstheme="majorBidi"/>
                <w:sz w:val="22"/>
                <w:szCs w:val="22"/>
                <w:lang w:bidi="he-IL"/>
              </w:rPr>
              <w:t>,658</w:t>
            </w:r>
          </w:p>
        </w:tc>
        <w:tc>
          <w:tcPr>
            <w:tcW w:w="1276" w:type="dxa"/>
            <w:shd w:val="clear" w:color="auto" w:fill="auto"/>
            <w:noWrap/>
            <w:vAlign w:val="bottom"/>
          </w:tcPr>
          <w:p w14:paraId="388E1CFA" w14:textId="01298CD0" w:rsidR="00914258" w:rsidRPr="00425DB1" w:rsidRDefault="009243E1" w:rsidP="00425DB1">
            <w:pPr>
              <w:spacing w:before="40"/>
              <w:jc w:val="right"/>
              <w:rPr>
                <w:rFonts w:asciiTheme="majorBidi" w:hAnsiTheme="majorBidi" w:cstheme="majorBidi"/>
                <w:sz w:val="22"/>
                <w:szCs w:val="22"/>
              </w:rPr>
            </w:pPr>
            <w:r w:rsidRPr="009243E1">
              <w:rPr>
                <w:rFonts w:asciiTheme="majorBidi" w:hAnsiTheme="majorBidi" w:cstheme="majorBidi"/>
                <w:sz w:val="22"/>
                <w:szCs w:val="22"/>
              </w:rPr>
              <w:t>173,565</w:t>
            </w:r>
          </w:p>
        </w:tc>
      </w:tr>
      <w:tr w:rsidR="00914258" w:rsidRPr="00914258" w14:paraId="7FD63023" w14:textId="77777777" w:rsidTr="005101BC">
        <w:trPr>
          <w:trHeight w:val="280"/>
        </w:trPr>
        <w:tc>
          <w:tcPr>
            <w:tcW w:w="2494" w:type="dxa"/>
            <w:shd w:val="clear" w:color="auto" w:fill="auto"/>
            <w:vAlign w:val="bottom"/>
            <w:hideMark/>
          </w:tcPr>
          <w:p w14:paraId="1C499F5D" w14:textId="1805B7B0" w:rsidR="00914258" w:rsidRPr="002B2F95" w:rsidRDefault="00914258" w:rsidP="00914258">
            <w:pPr>
              <w:spacing w:before="40"/>
              <w:rPr>
                <w:rFonts w:asciiTheme="majorBidi" w:hAnsiTheme="majorBidi" w:cstheme="majorBidi"/>
                <w:sz w:val="22"/>
                <w:szCs w:val="22"/>
              </w:rPr>
            </w:pPr>
            <w:r w:rsidRPr="00C835BC">
              <w:rPr>
                <w:rFonts w:asciiTheme="majorBidi" w:hAnsiTheme="majorBidi" w:cstheme="majorBidi"/>
                <w:color w:val="000000"/>
                <w:sz w:val="22"/>
                <w:szCs w:val="22"/>
              </w:rPr>
              <w:t>Inventory</w:t>
            </w:r>
          </w:p>
        </w:tc>
        <w:tc>
          <w:tcPr>
            <w:tcW w:w="1275" w:type="dxa"/>
            <w:shd w:val="clear" w:color="auto" w:fill="auto"/>
            <w:noWrap/>
            <w:vAlign w:val="bottom"/>
          </w:tcPr>
          <w:p w14:paraId="4F7367FC" w14:textId="0B5CCE7B" w:rsidR="00914258" w:rsidRPr="00425DB1" w:rsidRDefault="00914258" w:rsidP="00425DB1">
            <w:pPr>
              <w:spacing w:before="40"/>
              <w:jc w:val="right"/>
              <w:rPr>
                <w:rFonts w:asciiTheme="majorBidi" w:hAnsiTheme="majorBidi" w:cstheme="majorBidi"/>
                <w:sz w:val="22"/>
                <w:szCs w:val="22"/>
              </w:rPr>
            </w:pPr>
            <w:r w:rsidRPr="00425DB1">
              <w:rPr>
                <w:rFonts w:asciiTheme="majorBidi" w:hAnsiTheme="majorBidi" w:cstheme="majorBidi"/>
                <w:sz w:val="22"/>
                <w:szCs w:val="22"/>
              </w:rPr>
              <w:t>(825)</w:t>
            </w:r>
          </w:p>
        </w:tc>
        <w:tc>
          <w:tcPr>
            <w:tcW w:w="1276" w:type="dxa"/>
            <w:shd w:val="clear" w:color="auto" w:fill="auto"/>
            <w:noWrap/>
            <w:vAlign w:val="bottom"/>
          </w:tcPr>
          <w:p w14:paraId="1969156D" w14:textId="6805179B" w:rsidR="00914258" w:rsidRPr="00425DB1" w:rsidRDefault="00914258" w:rsidP="00425DB1">
            <w:pPr>
              <w:spacing w:before="40"/>
              <w:jc w:val="right"/>
              <w:rPr>
                <w:rFonts w:asciiTheme="majorBidi" w:hAnsiTheme="majorBidi" w:cstheme="majorBidi"/>
                <w:sz w:val="22"/>
                <w:szCs w:val="22"/>
              </w:rPr>
            </w:pPr>
            <w:r w:rsidRPr="00425DB1">
              <w:rPr>
                <w:rFonts w:asciiTheme="majorBidi" w:hAnsiTheme="majorBidi" w:cstheme="majorBidi"/>
                <w:sz w:val="22"/>
                <w:szCs w:val="22"/>
              </w:rPr>
              <w:t>(1,162)</w:t>
            </w:r>
          </w:p>
        </w:tc>
        <w:tc>
          <w:tcPr>
            <w:tcW w:w="1276" w:type="dxa"/>
            <w:shd w:val="clear" w:color="auto" w:fill="auto"/>
            <w:noWrap/>
            <w:vAlign w:val="bottom"/>
          </w:tcPr>
          <w:p w14:paraId="6F67B922" w14:textId="38957538" w:rsidR="00914258" w:rsidRPr="00425DB1" w:rsidRDefault="00914258" w:rsidP="00425DB1">
            <w:pPr>
              <w:spacing w:before="40"/>
              <w:jc w:val="right"/>
              <w:rPr>
                <w:rFonts w:asciiTheme="majorBidi" w:hAnsiTheme="majorBidi" w:cstheme="majorBidi"/>
                <w:sz w:val="22"/>
                <w:szCs w:val="22"/>
              </w:rPr>
            </w:pPr>
            <w:r w:rsidRPr="00425DB1">
              <w:rPr>
                <w:rFonts w:asciiTheme="majorBidi" w:hAnsiTheme="majorBidi" w:cstheme="majorBidi"/>
                <w:sz w:val="22"/>
                <w:szCs w:val="22"/>
              </w:rPr>
              <w:t>475</w:t>
            </w:r>
          </w:p>
        </w:tc>
        <w:tc>
          <w:tcPr>
            <w:tcW w:w="1276" w:type="dxa"/>
            <w:shd w:val="clear" w:color="auto" w:fill="auto"/>
            <w:noWrap/>
            <w:vAlign w:val="bottom"/>
          </w:tcPr>
          <w:p w14:paraId="79363294" w14:textId="6964D35F" w:rsidR="00914258" w:rsidRPr="00425DB1" w:rsidRDefault="00914258" w:rsidP="00425DB1">
            <w:pPr>
              <w:spacing w:before="40"/>
              <w:jc w:val="right"/>
              <w:rPr>
                <w:rFonts w:asciiTheme="majorBidi" w:hAnsiTheme="majorBidi" w:cstheme="majorBidi"/>
                <w:sz w:val="22"/>
                <w:szCs w:val="22"/>
              </w:rPr>
            </w:pPr>
            <w:r w:rsidRPr="00425DB1">
              <w:rPr>
                <w:rFonts w:asciiTheme="majorBidi" w:hAnsiTheme="majorBidi" w:cstheme="majorBidi"/>
                <w:sz w:val="22"/>
                <w:szCs w:val="22"/>
              </w:rPr>
              <w:t>737</w:t>
            </w:r>
          </w:p>
        </w:tc>
        <w:tc>
          <w:tcPr>
            <w:tcW w:w="1276" w:type="dxa"/>
            <w:shd w:val="clear" w:color="auto" w:fill="auto"/>
            <w:noWrap/>
            <w:vAlign w:val="bottom"/>
          </w:tcPr>
          <w:p w14:paraId="2F3F40E4" w14:textId="58BEBCA3" w:rsidR="00914258" w:rsidRPr="00425DB1" w:rsidRDefault="00914258" w:rsidP="00425DB1">
            <w:pPr>
              <w:spacing w:before="40"/>
              <w:jc w:val="right"/>
              <w:rPr>
                <w:rFonts w:asciiTheme="majorBidi" w:hAnsiTheme="majorBidi" w:cstheme="majorBidi"/>
                <w:sz w:val="22"/>
                <w:szCs w:val="22"/>
              </w:rPr>
            </w:pPr>
            <w:r w:rsidRPr="00425DB1">
              <w:rPr>
                <w:rFonts w:asciiTheme="majorBidi" w:hAnsiTheme="majorBidi" w:cstheme="majorBidi"/>
                <w:sz w:val="22"/>
                <w:szCs w:val="22"/>
              </w:rPr>
              <w:t>(350)</w:t>
            </w:r>
          </w:p>
        </w:tc>
        <w:tc>
          <w:tcPr>
            <w:tcW w:w="1276" w:type="dxa"/>
            <w:shd w:val="clear" w:color="auto" w:fill="auto"/>
            <w:noWrap/>
            <w:vAlign w:val="bottom"/>
          </w:tcPr>
          <w:p w14:paraId="28A93EAD" w14:textId="3F528794" w:rsidR="00914258" w:rsidRPr="00425DB1" w:rsidRDefault="00914258" w:rsidP="00425DB1">
            <w:pPr>
              <w:spacing w:before="40"/>
              <w:jc w:val="right"/>
              <w:rPr>
                <w:rFonts w:asciiTheme="majorBidi" w:hAnsiTheme="majorBidi" w:cstheme="majorBidi"/>
                <w:sz w:val="22"/>
                <w:szCs w:val="22"/>
              </w:rPr>
            </w:pPr>
            <w:r w:rsidRPr="00425DB1">
              <w:rPr>
                <w:rFonts w:asciiTheme="majorBidi" w:hAnsiTheme="majorBidi" w:cstheme="majorBidi"/>
                <w:sz w:val="22"/>
                <w:szCs w:val="22"/>
              </w:rPr>
              <w:t>(425)</w:t>
            </w:r>
          </w:p>
        </w:tc>
      </w:tr>
      <w:tr w:rsidR="00914258" w:rsidRPr="00914258" w14:paraId="56883E4B" w14:textId="77777777" w:rsidTr="005101BC">
        <w:trPr>
          <w:trHeight w:val="280"/>
        </w:trPr>
        <w:tc>
          <w:tcPr>
            <w:tcW w:w="2494" w:type="dxa"/>
            <w:shd w:val="clear" w:color="auto" w:fill="auto"/>
            <w:vAlign w:val="bottom"/>
            <w:hideMark/>
          </w:tcPr>
          <w:p w14:paraId="57019EE2" w14:textId="77777777" w:rsidR="00914258" w:rsidRPr="002B2F95" w:rsidRDefault="00914258" w:rsidP="00914258">
            <w:pPr>
              <w:spacing w:before="40"/>
              <w:rPr>
                <w:rFonts w:asciiTheme="majorBidi" w:hAnsiTheme="majorBidi" w:cstheme="majorBidi"/>
                <w:sz w:val="22"/>
                <w:szCs w:val="22"/>
              </w:rPr>
            </w:pPr>
            <w:r w:rsidRPr="002B2F95">
              <w:rPr>
                <w:rFonts w:asciiTheme="majorBidi" w:hAnsiTheme="majorBidi" w:cstheme="majorBidi"/>
                <w:color w:val="000000"/>
                <w:sz w:val="22"/>
                <w:szCs w:val="22"/>
              </w:rPr>
              <w:t>Hedging capital funds</w:t>
            </w:r>
          </w:p>
        </w:tc>
        <w:tc>
          <w:tcPr>
            <w:tcW w:w="1275" w:type="dxa"/>
            <w:shd w:val="clear" w:color="auto" w:fill="auto"/>
            <w:noWrap/>
            <w:vAlign w:val="bottom"/>
          </w:tcPr>
          <w:p w14:paraId="74391ACA" w14:textId="28579B26" w:rsidR="00914258" w:rsidRPr="00425DB1" w:rsidRDefault="00914258" w:rsidP="00425DB1">
            <w:pPr>
              <w:spacing w:before="40"/>
              <w:jc w:val="right"/>
              <w:rPr>
                <w:rFonts w:asciiTheme="majorBidi" w:hAnsiTheme="majorBidi" w:cstheme="majorBidi"/>
                <w:sz w:val="22"/>
                <w:szCs w:val="22"/>
              </w:rPr>
            </w:pPr>
            <w:r w:rsidRPr="00425DB1">
              <w:rPr>
                <w:rFonts w:asciiTheme="majorBidi" w:hAnsiTheme="majorBidi" w:cstheme="majorBidi"/>
                <w:sz w:val="22"/>
                <w:szCs w:val="22"/>
              </w:rPr>
              <w:t>(1,054)</w:t>
            </w:r>
          </w:p>
        </w:tc>
        <w:tc>
          <w:tcPr>
            <w:tcW w:w="1276" w:type="dxa"/>
            <w:shd w:val="clear" w:color="auto" w:fill="auto"/>
            <w:noWrap/>
            <w:vAlign w:val="bottom"/>
          </w:tcPr>
          <w:p w14:paraId="4DC5BDA7" w14:textId="5C2808F0" w:rsidR="00914258" w:rsidRPr="00425DB1" w:rsidRDefault="00914258" w:rsidP="00425DB1">
            <w:pPr>
              <w:spacing w:before="40"/>
              <w:jc w:val="right"/>
              <w:rPr>
                <w:rFonts w:asciiTheme="majorBidi" w:hAnsiTheme="majorBidi" w:cstheme="majorBidi"/>
                <w:sz w:val="22"/>
                <w:szCs w:val="22"/>
              </w:rPr>
            </w:pPr>
            <w:r w:rsidRPr="00425DB1">
              <w:rPr>
                <w:rFonts w:asciiTheme="majorBidi" w:hAnsiTheme="majorBidi" w:cstheme="majorBidi"/>
                <w:sz w:val="22"/>
                <w:szCs w:val="22"/>
              </w:rPr>
              <w:t>(634)</w:t>
            </w:r>
          </w:p>
        </w:tc>
        <w:tc>
          <w:tcPr>
            <w:tcW w:w="1276" w:type="dxa"/>
            <w:shd w:val="clear" w:color="auto" w:fill="auto"/>
            <w:noWrap/>
            <w:vAlign w:val="bottom"/>
          </w:tcPr>
          <w:p w14:paraId="36099CB1" w14:textId="2D4F050F" w:rsidR="00914258" w:rsidRPr="00425DB1" w:rsidRDefault="00914258" w:rsidP="00425DB1">
            <w:pPr>
              <w:spacing w:before="40"/>
              <w:jc w:val="right"/>
              <w:rPr>
                <w:rFonts w:asciiTheme="majorBidi" w:hAnsiTheme="majorBidi" w:cstheme="majorBidi"/>
                <w:sz w:val="22"/>
                <w:szCs w:val="22"/>
              </w:rPr>
            </w:pPr>
            <w:r w:rsidRPr="00425DB1">
              <w:rPr>
                <w:rFonts w:asciiTheme="majorBidi" w:hAnsiTheme="majorBidi" w:cstheme="majorBidi"/>
                <w:sz w:val="22"/>
                <w:szCs w:val="22"/>
              </w:rPr>
              <w:t>2,476</w:t>
            </w:r>
          </w:p>
        </w:tc>
        <w:tc>
          <w:tcPr>
            <w:tcW w:w="1276" w:type="dxa"/>
            <w:shd w:val="clear" w:color="auto" w:fill="auto"/>
            <w:noWrap/>
            <w:vAlign w:val="bottom"/>
          </w:tcPr>
          <w:p w14:paraId="29CCF0CB" w14:textId="1E313BAE" w:rsidR="00914258" w:rsidRPr="00425DB1" w:rsidRDefault="00914258" w:rsidP="00425DB1">
            <w:pPr>
              <w:spacing w:before="40"/>
              <w:jc w:val="right"/>
              <w:rPr>
                <w:rFonts w:asciiTheme="majorBidi" w:hAnsiTheme="majorBidi" w:cstheme="majorBidi"/>
                <w:sz w:val="22"/>
                <w:szCs w:val="22"/>
              </w:rPr>
            </w:pPr>
            <w:r w:rsidRPr="00425DB1">
              <w:rPr>
                <w:rFonts w:asciiTheme="majorBidi" w:hAnsiTheme="majorBidi" w:cstheme="majorBidi"/>
                <w:sz w:val="22"/>
                <w:szCs w:val="22"/>
              </w:rPr>
              <w:t>5,988</w:t>
            </w:r>
          </w:p>
        </w:tc>
        <w:tc>
          <w:tcPr>
            <w:tcW w:w="1276" w:type="dxa"/>
            <w:shd w:val="clear" w:color="auto" w:fill="auto"/>
            <w:noWrap/>
            <w:vAlign w:val="bottom"/>
          </w:tcPr>
          <w:p w14:paraId="363E61F4" w14:textId="5098DAFA" w:rsidR="00914258" w:rsidRPr="00425DB1" w:rsidRDefault="00914258" w:rsidP="00425DB1">
            <w:pPr>
              <w:spacing w:before="40"/>
              <w:jc w:val="right"/>
              <w:rPr>
                <w:rFonts w:asciiTheme="majorBidi" w:hAnsiTheme="majorBidi" w:cstheme="majorBidi"/>
                <w:sz w:val="22"/>
                <w:szCs w:val="22"/>
              </w:rPr>
            </w:pPr>
            <w:r w:rsidRPr="00425DB1">
              <w:rPr>
                <w:rFonts w:asciiTheme="majorBidi" w:hAnsiTheme="majorBidi" w:cstheme="majorBidi"/>
                <w:sz w:val="22"/>
                <w:szCs w:val="22"/>
              </w:rPr>
              <w:t>1,422</w:t>
            </w:r>
          </w:p>
        </w:tc>
        <w:tc>
          <w:tcPr>
            <w:tcW w:w="1276" w:type="dxa"/>
            <w:shd w:val="clear" w:color="auto" w:fill="auto"/>
            <w:noWrap/>
            <w:vAlign w:val="bottom"/>
          </w:tcPr>
          <w:p w14:paraId="1240AF0D" w14:textId="20F14B92" w:rsidR="00914258" w:rsidRPr="00425DB1" w:rsidRDefault="00914258" w:rsidP="00425DB1">
            <w:pPr>
              <w:spacing w:before="40"/>
              <w:jc w:val="right"/>
              <w:rPr>
                <w:rFonts w:asciiTheme="majorBidi" w:hAnsiTheme="majorBidi" w:cstheme="majorBidi"/>
                <w:sz w:val="22"/>
                <w:szCs w:val="22"/>
              </w:rPr>
            </w:pPr>
            <w:r w:rsidRPr="00425DB1">
              <w:rPr>
                <w:rFonts w:asciiTheme="majorBidi" w:hAnsiTheme="majorBidi" w:cstheme="majorBidi"/>
                <w:sz w:val="22"/>
                <w:szCs w:val="22"/>
              </w:rPr>
              <w:t>5,354</w:t>
            </w:r>
          </w:p>
        </w:tc>
      </w:tr>
      <w:tr w:rsidR="00914258" w:rsidRPr="00914258" w14:paraId="40110742" w14:textId="77777777" w:rsidTr="005101BC">
        <w:trPr>
          <w:trHeight w:val="280"/>
        </w:trPr>
        <w:tc>
          <w:tcPr>
            <w:tcW w:w="2494" w:type="dxa"/>
            <w:shd w:val="clear" w:color="auto" w:fill="auto"/>
            <w:vAlign w:val="bottom"/>
            <w:hideMark/>
          </w:tcPr>
          <w:p w14:paraId="0D6BDAE9" w14:textId="77777777" w:rsidR="00914258" w:rsidRPr="002B2F95" w:rsidRDefault="00914258" w:rsidP="00914258">
            <w:pPr>
              <w:spacing w:before="40"/>
              <w:rPr>
                <w:rFonts w:asciiTheme="majorBidi" w:hAnsiTheme="majorBidi" w:cstheme="majorBidi"/>
                <w:sz w:val="22"/>
                <w:szCs w:val="22"/>
              </w:rPr>
            </w:pPr>
            <w:r w:rsidRPr="002B2F95">
              <w:rPr>
                <w:rFonts w:asciiTheme="majorBidi" w:hAnsiTheme="majorBidi" w:cstheme="majorBidi"/>
                <w:color w:val="000000"/>
                <w:sz w:val="22"/>
                <w:szCs w:val="22"/>
              </w:rPr>
              <w:t>Finance lease liabilities</w:t>
            </w:r>
          </w:p>
        </w:tc>
        <w:tc>
          <w:tcPr>
            <w:tcW w:w="1275" w:type="dxa"/>
            <w:shd w:val="clear" w:color="auto" w:fill="auto"/>
            <w:noWrap/>
            <w:vAlign w:val="bottom"/>
          </w:tcPr>
          <w:p w14:paraId="7DB9CE2B" w14:textId="13159ADD" w:rsidR="00914258" w:rsidRPr="00425DB1" w:rsidRDefault="00914258" w:rsidP="00425DB1">
            <w:pPr>
              <w:spacing w:before="40"/>
              <w:jc w:val="right"/>
              <w:rPr>
                <w:rFonts w:asciiTheme="majorBidi" w:hAnsiTheme="majorBidi" w:cstheme="majorBidi"/>
                <w:sz w:val="22"/>
                <w:szCs w:val="22"/>
              </w:rPr>
            </w:pPr>
            <w:r w:rsidRPr="00425DB1">
              <w:rPr>
                <w:rFonts w:asciiTheme="majorBidi" w:hAnsiTheme="majorBidi" w:cstheme="majorBidi"/>
                <w:sz w:val="22"/>
                <w:szCs w:val="22"/>
              </w:rPr>
              <w:t>(2,346)</w:t>
            </w:r>
          </w:p>
        </w:tc>
        <w:tc>
          <w:tcPr>
            <w:tcW w:w="1276" w:type="dxa"/>
            <w:shd w:val="clear" w:color="auto" w:fill="auto"/>
            <w:noWrap/>
            <w:vAlign w:val="bottom"/>
          </w:tcPr>
          <w:p w14:paraId="5C274A4B" w14:textId="63ECF575" w:rsidR="00914258" w:rsidRPr="00425DB1" w:rsidRDefault="00914258" w:rsidP="00425DB1">
            <w:pPr>
              <w:spacing w:before="40"/>
              <w:jc w:val="right"/>
              <w:rPr>
                <w:rFonts w:asciiTheme="majorBidi" w:hAnsiTheme="majorBidi" w:cstheme="majorBidi"/>
                <w:sz w:val="22"/>
                <w:szCs w:val="22"/>
              </w:rPr>
            </w:pPr>
            <w:r w:rsidRPr="00425DB1">
              <w:rPr>
                <w:rFonts w:asciiTheme="majorBidi" w:hAnsiTheme="majorBidi" w:cstheme="majorBidi"/>
                <w:sz w:val="22"/>
                <w:szCs w:val="22"/>
              </w:rPr>
              <w:t>(2,151)</w:t>
            </w:r>
          </w:p>
        </w:tc>
        <w:tc>
          <w:tcPr>
            <w:tcW w:w="1276" w:type="dxa"/>
            <w:shd w:val="clear" w:color="auto" w:fill="auto"/>
            <w:noWrap/>
            <w:vAlign w:val="bottom"/>
          </w:tcPr>
          <w:p w14:paraId="6A5A170E" w14:textId="1F1D8340" w:rsidR="00914258" w:rsidRPr="00425DB1" w:rsidRDefault="00914258" w:rsidP="00425DB1">
            <w:pPr>
              <w:spacing w:before="40"/>
              <w:jc w:val="right"/>
              <w:rPr>
                <w:rFonts w:asciiTheme="majorBidi" w:hAnsiTheme="majorBidi" w:cstheme="majorBidi"/>
                <w:sz w:val="22"/>
                <w:szCs w:val="22"/>
              </w:rPr>
            </w:pPr>
            <w:r w:rsidRPr="00425DB1">
              <w:rPr>
                <w:rFonts w:asciiTheme="majorBidi" w:hAnsiTheme="majorBidi" w:cstheme="majorBidi"/>
                <w:sz w:val="22"/>
                <w:szCs w:val="22"/>
              </w:rPr>
              <w:t>-</w:t>
            </w:r>
          </w:p>
        </w:tc>
        <w:tc>
          <w:tcPr>
            <w:tcW w:w="1276" w:type="dxa"/>
            <w:shd w:val="clear" w:color="auto" w:fill="auto"/>
            <w:noWrap/>
            <w:vAlign w:val="bottom"/>
          </w:tcPr>
          <w:p w14:paraId="1D335EF0" w14:textId="290473FD" w:rsidR="00914258" w:rsidRPr="00425DB1" w:rsidRDefault="00914258" w:rsidP="00425DB1">
            <w:pPr>
              <w:spacing w:before="40"/>
              <w:jc w:val="right"/>
              <w:rPr>
                <w:rFonts w:asciiTheme="majorBidi" w:hAnsiTheme="majorBidi" w:cstheme="majorBidi"/>
                <w:sz w:val="22"/>
                <w:szCs w:val="22"/>
              </w:rPr>
            </w:pPr>
            <w:r w:rsidRPr="00425DB1">
              <w:rPr>
                <w:rFonts w:asciiTheme="majorBidi" w:hAnsiTheme="majorBidi" w:cstheme="majorBidi"/>
                <w:sz w:val="22"/>
                <w:szCs w:val="22"/>
              </w:rPr>
              <w:t>-</w:t>
            </w:r>
          </w:p>
        </w:tc>
        <w:tc>
          <w:tcPr>
            <w:tcW w:w="1276" w:type="dxa"/>
            <w:shd w:val="clear" w:color="auto" w:fill="auto"/>
            <w:noWrap/>
            <w:vAlign w:val="bottom"/>
          </w:tcPr>
          <w:p w14:paraId="56CDD169" w14:textId="4A410265" w:rsidR="00914258" w:rsidRPr="00425DB1" w:rsidRDefault="00914258" w:rsidP="00425DB1">
            <w:pPr>
              <w:spacing w:before="40"/>
              <w:jc w:val="right"/>
              <w:rPr>
                <w:rFonts w:asciiTheme="majorBidi" w:hAnsiTheme="majorBidi" w:cstheme="majorBidi"/>
                <w:sz w:val="22"/>
                <w:szCs w:val="22"/>
              </w:rPr>
            </w:pPr>
            <w:r w:rsidRPr="00425DB1">
              <w:rPr>
                <w:rFonts w:asciiTheme="majorBidi" w:hAnsiTheme="majorBidi" w:cstheme="majorBidi"/>
                <w:sz w:val="22"/>
                <w:szCs w:val="22"/>
              </w:rPr>
              <w:t>(2,346)</w:t>
            </w:r>
          </w:p>
        </w:tc>
        <w:tc>
          <w:tcPr>
            <w:tcW w:w="1276" w:type="dxa"/>
            <w:shd w:val="clear" w:color="auto" w:fill="auto"/>
            <w:noWrap/>
            <w:vAlign w:val="bottom"/>
          </w:tcPr>
          <w:p w14:paraId="30E79A23" w14:textId="2F9D1AD4" w:rsidR="00914258" w:rsidRPr="00425DB1" w:rsidRDefault="00914258" w:rsidP="00425DB1">
            <w:pPr>
              <w:spacing w:before="40"/>
              <w:jc w:val="right"/>
              <w:rPr>
                <w:rFonts w:asciiTheme="majorBidi" w:hAnsiTheme="majorBidi" w:cstheme="majorBidi"/>
                <w:sz w:val="22"/>
                <w:szCs w:val="22"/>
              </w:rPr>
            </w:pPr>
            <w:r w:rsidRPr="00425DB1">
              <w:rPr>
                <w:rFonts w:asciiTheme="majorBidi" w:hAnsiTheme="majorBidi" w:cstheme="majorBidi"/>
                <w:sz w:val="22"/>
                <w:szCs w:val="22"/>
              </w:rPr>
              <w:t>(2,151)</w:t>
            </w:r>
          </w:p>
        </w:tc>
      </w:tr>
      <w:tr w:rsidR="009243E1" w:rsidRPr="00914258" w14:paraId="55836624" w14:textId="77777777" w:rsidTr="005101BC">
        <w:trPr>
          <w:trHeight w:val="560"/>
        </w:trPr>
        <w:tc>
          <w:tcPr>
            <w:tcW w:w="2494" w:type="dxa"/>
            <w:shd w:val="clear" w:color="auto" w:fill="auto"/>
            <w:vAlign w:val="bottom"/>
            <w:hideMark/>
          </w:tcPr>
          <w:p w14:paraId="55CE10FC" w14:textId="77777777" w:rsidR="009243E1" w:rsidRPr="002B2F95" w:rsidRDefault="009243E1" w:rsidP="009243E1">
            <w:pPr>
              <w:spacing w:before="40"/>
              <w:rPr>
                <w:rFonts w:asciiTheme="majorBidi" w:hAnsiTheme="majorBidi" w:cstheme="majorBidi"/>
                <w:sz w:val="22"/>
                <w:szCs w:val="22"/>
              </w:rPr>
            </w:pPr>
            <w:r w:rsidRPr="002B2F95">
              <w:rPr>
                <w:rFonts w:asciiTheme="majorBidi" w:hAnsiTheme="majorBidi" w:cstheme="majorBidi"/>
                <w:color w:val="000000"/>
                <w:sz w:val="22"/>
                <w:szCs w:val="22"/>
              </w:rPr>
              <w:t>Tax value of loss carry-forwards</w:t>
            </w:r>
            <w:r>
              <w:rPr>
                <w:rFonts w:asciiTheme="majorBidi" w:hAnsiTheme="majorBidi" w:cstheme="majorBidi"/>
                <w:color w:val="000000"/>
                <w:sz w:val="22"/>
                <w:szCs w:val="22"/>
              </w:rPr>
              <w:t xml:space="preserve"> </w:t>
            </w:r>
            <w:r w:rsidRPr="002B2F95">
              <w:rPr>
                <w:rFonts w:asciiTheme="majorBidi" w:hAnsiTheme="majorBidi" w:cstheme="majorBidi"/>
                <w:color w:val="000000"/>
                <w:sz w:val="22"/>
                <w:szCs w:val="22"/>
              </w:rPr>
              <w:t>recognized</w:t>
            </w:r>
          </w:p>
        </w:tc>
        <w:tc>
          <w:tcPr>
            <w:tcW w:w="1275" w:type="dxa"/>
            <w:shd w:val="clear" w:color="auto" w:fill="auto"/>
            <w:noWrap/>
            <w:vAlign w:val="bottom"/>
          </w:tcPr>
          <w:p w14:paraId="5D6E6D03" w14:textId="3B05B5DB" w:rsidR="009243E1" w:rsidRPr="00425DB1" w:rsidRDefault="009243E1" w:rsidP="009243E1">
            <w:pPr>
              <w:spacing w:before="40"/>
              <w:jc w:val="right"/>
              <w:rPr>
                <w:rFonts w:asciiTheme="majorBidi" w:hAnsiTheme="majorBidi" w:cstheme="majorBidi"/>
                <w:sz w:val="22"/>
                <w:szCs w:val="22"/>
              </w:rPr>
            </w:pPr>
            <w:r w:rsidRPr="00425DB1">
              <w:rPr>
                <w:rFonts w:asciiTheme="majorBidi" w:hAnsiTheme="majorBidi" w:cstheme="majorBidi"/>
                <w:sz w:val="22"/>
                <w:szCs w:val="22"/>
              </w:rPr>
              <w:t>(14,552)</w:t>
            </w:r>
          </w:p>
        </w:tc>
        <w:tc>
          <w:tcPr>
            <w:tcW w:w="1276" w:type="dxa"/>
            <w:shd w:val="clear" w:color="auto" w:fill="auto"/>
            <w:noWrap/>
            <w:vAlign w:val="bottom"/>
          </w:tcPr>
          <w:p w14:paraId="7058E148" w14:textId="391AF61B" w:rsidR="009243E1" w:rsidRPr="00425DB1" w:rsidRDefault="009243E1" w:rsidP="009243E1">
            <w:pPr>
              <w:spacing w:before="40"/>
              <w:jc w:val="right"/>
              <w:rPr>
                <w:rFonts w:asciiTheme="majorBidi" w:hAnsiTheme="majorBidi" w:cstheme="majorBidi"/>
                <w:sz w:val="22"/>
                <w:szCs w:val="22"/>
              </w:rPr>
            </w:pPr>
            <w:r w:rsidRPr="00425DB1">
              <w:rPr>
                <w:rFonts w:asciiTheme="majorBidi" w:hAnsiTheme="majorBidi" w:cstheme="majorBidi"/>
                <w:sz w:val="22"/>
                <w:szCs w:val="22"/>
              </w:rPr>
              <w:t>(12,340)</w:t>
            </w:r>
          </w:p>
        </w:tc>
        <w:tc>
          <w:tcPr>
            <w:tcW w:w="1276" w:type="dxa"/>
            <w:shd w:val="clear" w:color="auto" w:fill="auto"/>
            <w:noWrap/>
            <w:vAlign w:val="bottom"/>
          </w:tcPr>
          <w:p w14:paraId="1CC77527" w14:textId="199853E8" w:rsidR="009243E1" w:rsidRPr="00DF38E6" w:rsidRDefault="009243E1" w:rsidP="009243E1">
            <w:pPr>
              <w:spacing w:before="40"/>
              <w:jc w:val="right"/>
              <w:rPr>
                <w:rFonts w:asciiTheme="majorBidi" w:hAnsiTheme="majorBidi" w:cstheme="majorBidi"/>
                <w:sz w:val="22"/>
                <w:szCs w:val="22"/>
                <w:highlight w:val="yellow"/>
                <w:lang w:bidi="he-IL"/>
              </w:rPr>
            </w:pPr>
            <w:r w:rsidRPr="00425DB1">
              <w:rPr>
                <w:rFonts w:asciiTheme="majorBidi" w:hAnsiTheme="majorBidi" w:cstheme="majorBidi"/>
                <w:sz w:val="22"/>
                <w:szCs w:val="22"/>
              </w:rPr>
              <w:t>-</w:t>
            </w:r>
          </w:p>
        </w:tc>
        <w:tc>
          <w:tcPr>
            <w:tcW w:w="1276" w:type="dxa"/>
            <w:shd w:val="clear" w:color="auto" w:fill="auto"/>
            <w:noWrap/>
            <w:vAlign w:val="bottom"/>
          </w:tcPr>
          <w:p w14:paraId="2AE62586" w14:textId="2E2C6017" w:rsidR="009243E1" w:rsidRPr="00DF38E6" w:rsidRDefault="009243E1" w:rsidP="009243E1">
            <w:pPr>
              <w:spacing w:before="40"/>
              <w:jc w:val="right"/>
              <w:rPr>
                <w:rFonts w:asciiTheme="majorBidi" w:hAnsiTheme="majorBidi" w:cstheme="majorBidi"/>
                <w:sz w:val="22"/>
                <w:szCs w:val="22"/>
                <w:highlight w:val="yellow"/>
              </w:rPr>
            </w:pPr>
            <w:r w:rsidRPr="00425DB1">
              <w:rPr>
                <w:rFonts w:asciiTheme="majorBidi" w:hAnsiTheme="majorBidi" w:cstheme="majorBidi"/>
                <w:sz w:val="22"/>
                <w:szCs w:val="22"/>
              </w:rPr>
              <w:t>-</w:t>
            </w:r>
          </w:p>
        </w:tc>
        <w:tc>
          <w:tcPr>
            <w:tcW w:w="1276" w:type="dxa"/>
            <w:shd w:val="clear" w:color="auto" w:fill="auto"/>
            <w:noWrap/>
            <w:vAlign w:val="bottom"/>
          </w:tcPr>
          <w:p w14:paraId="5A3A3CAD" w14:textId="743135D4" w:rsidR="009243E1" w:rsidRPr="00425DB1" w:rsidRDefault="009243E1" w:rsidP="009243E1">
            <w:pPr>
              <w:spacing w:before="40"/>
              <w:jc w:val="right"/>
              <w:rPr>
                <w:rFonts w:asciiTheme="majorBidi" w:hAnsiTheme="majorBidi" w:cstheme="majorBidi"/>
                <w:sz w:val="22"/>
                <w:szCs w:val="22"/>
              </w:rPr>
            </w:pPr>
            <w:r w:rsidRPr="009243E1">
              <w:rPr>
                <w:rFonts w:asciiTheme="majorBidi" w:hAnsiTheme="majorBidi" w:cstheme="majorBidi"/>
                <w:sz w:val="22"/>
                <w:szCs w:val="22"/>
              </w:rPr>
              <w:t>(14,552)</w:t>
            </w:r>
          </w:p>
        </w:tc>
        <w:tc>
          <w:tcPr>
            <w:tcW w:w="1276" w:type="dxa"/>
            <w:shd w:val="clear" w:color="auto" w:fill="auto"/>
            <w:noWrap/>
            <w:vAlign w:val="bottom"/>
          </w:tcPr>
          <w:p w14:paraId="07369F21" w14:textId="7EA11763" w:rsidR="009243E1" w:rsidRPr="00425DB1" w:rsidRDefault="009243E1" w:rsidP="009243E1">
            <w:pPr>
              <w:spacing w:before="40"/>
              <w:jc w:val="right"/>
              <w:rPr>
                <w:rFonts w:asciiTheme="majorBidi" w:hAnsiTheme="majorBidi" w:cstheme="majorBidi"/>
                <w:sz w:val="22"/>
                <w:szCs w:val="22"/>
              </w:rPr>
            </w:pPr>
            <w:r w:rsidRPr="009243E1">
              <w:rPr>
                <w:rFonts w:asciiTheme="majorBidi" w:hAnsiTheme="majorBidi" w:cstheme="majorBidi"/>
                <w:sz w:val="22"/>
                <w:szCs w:val="22"/>
              </w:rPr>
              <w:t>(12,340)</w:t>
            </w:r>
          </w:p>
        </w:tc>
      </w:tr>
      <w:tr w:rsidR="009243E1" w:rsidRPr="00914258" w14:paraId="4B3C555E" w14:textId="77777777" w:rsidTr="005101BC">
        <w:trPr>
          <w:trHeight w:val="66"/>
        </w:trPr>
        <w:tc>
          <w:tcPr>
            <w:tcW w:w="2494" w:type="dxa"/>
            <w:shd w:val="clear" w:color="auto" w:fill="auto"/>
            <w:vAlign w:val="bottom"/>
            <w:hideMark/>
          </w:tcPr>
          <w:p w14:paraId="2CF252EA" w14:textId="77777777" w:rsidR="009243E1" w:rsidRPr="002B2F95" w:rsidRDefault="009243E1" w:rsidP="009243E1">
            <w:pPr>
              <w:spacing w:before="40"/>
              <w:rPr>
                <w:rFonts w:asciiTheme="majorBidi" w:hAnsiTheme="majorBidi" w:cstheme="majorBidi"/>
                <w:sz w:val="22"/>
                <w:szCs w:val="22"/>
              </w:rPr>
            </w:pPr>
            <w:r w:rsidRPr="002B2F95">
              <w:rPr>
                <w:rFonts w:asciiTheme="majorBidi" w:hAnsiTheme="majorBidi" w:cstheme="majorBidi"/>
                <w:color w:val="000000"/>
                <w:sz w:val="22"/>
                <w:szCs w:val="22"/>
              </w:rPr>
              <w:t>Others</w:t>
            </w:r>
          </w:p>
        </w:tc>
        <w:tc>
          <w:tcPr>
            <w:tcW w:w="1275" w:type="dxa"/>
            <w:shd w:val="clear" w:color="auto" w:fill="auto"/>
            <w:noWrap/>
            <w:vAlign w:val="bottom"/>
          </w:tcPr>
          <w:p w14:paraId="67639AB2" w14:textId="35C77969" w:rsidR="009243E1" w:rsidRPr="00425DB1" w:rsidRDefault="009243E1" w:rsidP="009243E1">
            <w:pPr>
              <w:pBdr>
                <w:bottom w:val="single" w:sz="4" w:space="0" w:color="000000"/>
              </w:pBdr>
              <w:spacing w:before="40"/>
              <w:jc w:val="right"/>
              <w:rPr>
                <w:rFonts w:asciiTheme="majorBidi" w:hAnsiTheme="majorBidi" w:cstheme="majorBidi"/>
                <w:sz w:val="22"/>
                <w:szCs w:val="22"/>
              </w:rPr>
            </w:pPr>
            <w:r w:rsidRPr="00425DB1">
              <w:rPr>
                <w:rFonts w:asciiTheme="majorBidi" w:hAnsiTheme="majorBidi" w:cstheme="majorBidi"/>
                <w:sz w:val="22"/>
                <w:szCs w:val="22"/>
              </w:rPr>
              <w:t>(6,688)</w:t>
            </w:r>
          </w:p>
        </w:tc>
        <w:tc>
          <w:tcPr>
            <w:tcW w:w="1276" w:type="dxa"/>
            <w:shd w:val="clear" w:color="auto" w:fill="auto"/>
            <w:noWrap/>
            <w:vAlign w:val="bottom"/>
          </w:tcPr>
          <w:p w14:paraId="733287A3" w14:textId="5F00A691" w:rsidR="009243E1" w:rsidRPr="00425DB1" w:rsidRDefault="009243E1" w:rsidP="009243E1">
            <w:pPr>
              <w:pBdr>
                <w:bottom w:val="single" w:sz="4" w:space="0" w:color="000000"/>
              </w:pBdr>
              <w:spacing w:before="40"/>
              <w:jc w:val="right"/>
              <w:rPr>
                <w:rFonts w:asciiTheme="majorBidi" w:hAnsiTheme="majorBidi" w:cstheme="majorBidi"/>
                <w:sz w:val="22"/>
                <w:szCs w:val="22"/>
              </w:rPr>
            </w:pPr>
            <w:r w:rsidRPr="00425DB1">
              <w:rPr>
                <w:rFonts w:asciiTheme="majorBidi" w:hAnsiTheme="majorBidi" w:cstheme="majorBidi"/>
                <w:sz w:val="22"/>
                <w:szCs w:val="22"/>
              </w:rPr>
              <w:t>(6,422)</w:t>
            </w:r>
          </w:p>
        </w:tc>
        <w:tc>
          <w:tcPr>
            <w:tcW w:w="1276" w:type="dxa"/>
            <w:shd w:val="clear" w:color="auto" w:fill="auto"/>
            <w:noWrap/>
            <w:vAlign w:val="bottom"/>
          </w:tcPr>
          <w:p w14:paraId="748A6469" w14:textId="749D9A22" w:rsidR="009243E1" w:rsidRPr="00425DB1" w:rsidRDefault="009243E1" w:rsidP="009243E1">
            <w:pPr>
              <w:pBdr>
                <w:bottom w:val="single" w:sz="4" w:space="0" w:color="000000"/>
              </w:pBdr>
              <w:spacing w:before="40"/>
              <w:jc w:val="right"/>
              <w:rPr>
                <w:rFonts w:asciiTheme="majorBidi" w:hAnsiTheme="majorBidi" w:cstheme="majorBidi"/>
                <w:sz w:val="22"/>
                <w:szCs w:val="22"/>
              </w:rPr>
            </w:pPr>
            <w:r w:rsidRPr="00425DB1">
              <w:rPr>
                <w:rFonts w:asciiTheme="majorBidi" w:hAnsiTheme="majorBidi" w:cstheme="majorBidi"/>
                <w:sz w:val="22"/>
                <w:szCs w:val="22"/>
              </w:rPr>
              <w:t>4,537</w:t>
            </w:r>
          </w:p>
        </w:tc>
        <w:tc>
          <w:tcPr>
            <w:tcW w:w="1276" w:type="dxa"/>
            <w:shd w:val="clear" w:color="auto" w:fill="auto"/>
            <w:noWrap/>
            <w:vAlign w:val="bottom"/>
          </w:tcPr>
          <w:p w14:paraId="7C3AF512" w14:textId="04261A39" w:rsidR="009243E1" w:rsidRPr="00425DB1" w:rsidRDefault="009243E1" w:rsidP="009243E1">
            <w:pPr>
              <w:pBdr>
                <w:bottom w:val="single" w:sz="4" w:space="0" w:color="000000"/>
              </w:pBdr>
              <w:spacing w:before="40"/>
              <w:jc w:val="right"/>
              <w:rPr>
                <w:rFonts w:asciiTheme="majorBidi" w:hAnsiTheme="majorBidi" w:cstheme="majorBidi"/>
                <w:sz w:val="22"/>
                <w:szCs w:val="22"/>
              </w:rPr>
            </w:pPr>
            <w:r w:rsidRPr="00425DB1">
              <w:rPr>
                <w:rFonts w:asciiTheme="majorBidi" w:hAnsiTheme="majorBidi" w:cstheme="majorBidi"/>
                <w:sz w:val="22"/>
                <w:szCs w:val="22"/>
              </w:rPr>
              <w:t>4,814</w:t>
            </w:r>
          </w:p>
        </w:tc>
        <w:tc>
          <w:tcPr>
            <w:tcW w:w="1276" w:type="dxa"/>
            <w:shd w:val="clear" w:color="auto" w:fill="auto"/>
            <w:noWrap/>
            <w:vAlign w:val="bottom"/>
          </w:tcPr>
          <w:p w14:paraId="7CD8A726" w14:textId="5D2F0A41" w:rsidR="009243E1" w:rsidRPr="00425DB1" w:rsidRDefault="009243E1" w:rsidP="009243E1">
            <w:pPr>
              <w:pBdr>
                <w:bottom w:val="single" w:sz="4" w:space="0" w:color="000000"/>
              </w:pBdr>
              <w:spacing w:before="40"/>
              <w:jc w:val="right"/>
              <w:rPr>
                <w:rFonts w:asciiTheme="majorBidi" w:hAnsiTheme="majorBidi" w:cstheme="majorBidi"/>
                <w:sz w:val="22"/>
                <w:szCs w:val="22"/>
              </w:rPr>
            </w:pPr>
            <w:r w:rsidRPr="00425DB1">
              <w:rPr>
                <w:rFonts w:asciiTheme="majorBidi" w:hAnsiTheme="majorBidi" w:cstheme="majorBidi"/>
                <w:sz w:val="22"/>
                <w:szCs w:val="22"/>
              </w:rPr>
              <w:t>(2,151)</w:t>
            </w:r>
          </w:p>
        </w:tc>
        <w:tc>
          <w:tcPr>
            <w:tcW w:w="1276" w:type="dxa"/>
            <w:shd w:val="clear" w:color="auto" w:fill="auto"/>
            <w:noWrap/>
            <w:vAlign w:val="bottom"/>
          </w:tcPr>
          <w:p w14:paraId="1E916780" w14:textId="534770A5" w:rsidR="009243E1" w:rsidRPr="00425DB1" w:rsidRDefault="009243E1" w:rsidP="009243E1">
            <w:pPr>
              <w:pBdr>
                <w:bottom w:val="single" w:sz="4" w:space="0" w:color="000000"/>
              </w:pBdr>
              <w:spacing w:before="40"/>
              <w:jc w:val="right"/>
              <w:rPr>
                <w:rFonts w:asciiTheme="majorBidi" w:hAnsiTheme="majorBidi" w:cstheme="majorBidi"/>
                <w:sz w:val="22"/>
                <w:szCs w:val="22"/>
              </w:rPr>
            </w:pPr>
            <w:r w:rsidRPr="00425DB1">
              <w:rPr>
                <w:rFonts w:asciiTheme="majorBidi" w:hAnsiTheme="majorBidi" w:cstheme="majorBidi"/>
                <w:sz w:val="22"/>
                <w:szCs w:val="22"/>
              </w:rPr>
              <w:t>(1,608)</w:t>
            </w:r>
          </w:p>
        </w:tc>
      </w:tr>
      <w:tr w:rsidR="009243E1" w:rsidRPr="00914258" w14:paraId="5178A702" w14:textId="77777777" w:rsidTr="005101BC">
        <w:trPr>
          <w:trHeight w:val="440"/>
        </w:trPr>
        <w:tc>
          <w:tcPr>
            <w:tcW w:w="2494" w:type="dxa"/>
            <w:shd w:val="clear" w:color="auto" w:fill="auto"/>
            <w:vAlign w:val="bottom"/>
            <w:hideMark/>
          </w:tcPr>
          <w:p w14:paraId="64A3D601" w14:textId="77777777" w:rsidR="009243E1" w:rsidRPr="002B2F95" w:rsidRDefault="009243E1" w:rsidP="009243E1">
            <w:pPr>
              <w:spacing w:before="40"/>
              <w:rPr>
                <w:rFonts w:asciiTheme="majorBidi" w:hAnsiTheme="majorBidi" w:cstheme="majorBidi"/>
                <w:sz w:val="22"/>
                <w:szCs w:val="22"/>
              </w:rPr>
            </w:pPr>
            <w:r w:rsidRPr="002B2F95">
              <w:rPr>
                <w:rFonts w:asciiTheme="majorBidi" w:hAnsiTheme="majorBidi" w:cstheme="majorBidi"/>
                <w:color w:val="000000"/>
                <w:sz w:val="22"/>
                <w:szCs w:val="22"/>
              </w:rPr>
              <w:t>Tax (assets)/liabilities</w:t>
            </w:r>
          </w:p>
        </w:tc>
        <w:tc>
          <w:tcPr>
            <w:tcW w:w="1275" w:type="dxa"/>
            <w:shd w:val="clear" w:color="auto" w:fill="auto"/>
            <w:noWrap/>
            <w:vAlign w:val="bottom"/>
          </w:tcPr>
          <w:p w14:paraId="7C55E2EA" w14:textId="52AC5FF0" w:rsidR="009243E1" w:rsidRPr="00425DB1" w:rsidRDefault="009243E1" w:rsidP="009243E1">
            <w:pPr>
              <w:pBdr>
                <w:bottom w:val="double" w:sz="4" w:space="0" w:color="000000"/>
              </w:pBdr>
              <w:spacing w:before="40"/>
              <w:jc w:val="right"/>
              <w:rPr>
                <w:rFonts w:asciiTheme="majorBidi" w:hAnsiTheme="majorBidi" w:cstheme="majorBidi"/>
                <w:sz w:val="22"/>
                <w:szCs w:val="22"/>
              </w:rPr>
            </w:pPr>
            <w:r w:rsidRPr="00425DB1">
              <w:rPr>
                <w:rFonts w:asciiTheme="majorBidi" w:hAnsiTheme="majorBidi" w:cstheme="majorBidi"/>
                <w:sz w:val="22"/>
                <w:szCs w:val="22"/>
              </w:rPr>
              <w:t>(25,677)</w:t>
            </w:r>
          </w:p>
        </w:tc>
        <w:tc>
          <w:tcPr>
            <w:tcW w:w="1276" w:type="dxa"/>
            <w:shd w:val="clear" w:color="auto" w:fill="auto"/>
            <w:noWrap/>
            <w:vAlign w:val="bottom"/>
          </w:tcPr>
          <w:p w14:paraId="05EF2332" w14:textId="76B944FA" w:rsidR="009243E1" w:rsidRPr="00425DB1" w:rsidRDefault="009243E1" w:rsidP="009243E1">
            <w:pPr>
              <w:pBdr>
                <w:bottom w:val="double" w:sz="4" w:space="0" w:color="000000"/>
              </w:pBdr>
              <w:spacing w:before="40"/>
              <w:jc w:val="right"/>
              <w:rPr>
                <w:rFonts w:asciiTheme="majorBidi" w:hAnsiTheme="majorBidi" w:cstheme="majorBidi"/>
                <w:sz w:val="22"/>
                <w:szCs w:val="22"/>
              </w:rPr>
            </w:pPr>
            <w:r w:rsidRPr="00425DB1">
              <w:rPr>
                <w:rFonts w:asciiTheme="majorBidi" w:hAnsiTheme="majorBidi" w:cstheme="majorBidi"/>
                <w:sz w:val="22"/>
                <w:szCs w:val="22"/>
              </w:rPr>
              <w:t>(26,179)</w:t>
            </w:r>
          </w:p>
        </w:tc>
        <w:tc>
          <w:tcPr>
            <w:tcW w:w="1276" w:type="dxa"/>
            <w:shd w:val="clear" w:color="auto" w:fill="auto"/>
            <w:noWrap/>
            <w:vAlign w:val="bottom"/>
          </w:tcPr>
          <w:p w14:paraId="4225F621" w14:textId="7851C730" w:rsidR="009243E1" w:rsidRPr="00425DB1" w:rsidRDefault="009243E1" w:rsidP="009243E1">
            <w:pPr>
              <w:pBdr>
                <w:bottom w:val="double" w:sz="4" w:space="0" w:color="000000"/>
              </w:pBdr>
              <w:spacing w:before="40"/>
              <w:jc w:val="right"/>
              <w:rPr>
                <w:rFonts w:asciiTheme="majorBidi" w:hAnsiTheme="majorBidi" w:cstheme="majorBidi"/>
                <w:sz w:val="22"/>
                <w:szCs w:val="22"/>
              </w:rPr>
            </w:pPr>
            <w:r w:rsidRPr="00425DB1">
              <w:rPr>
                <w:rFonts w:asciiTheme="majorBidi" w:hAnsiTheme="majorBidi" w:cstheme="majorBidi"/>
                <w:sz w:val="22"/>
                <w:szCs w:val="22"/>
              </w:rPr>
              <w:t>209,358</w:t>
            </w:r>
          </w:p>
        </w:tc>
        <w:tc>
          <w:tcPr>
            <w:tcW w:w="1276" w:type="dxa"/>
            <w:shd w:val="clear" w:color="auto" w:fill="auto"/>
            <w:noWrap/>
            <w:vAlign w:val="bottom"/>
          </w:tcPr>
          <w:p w14:paraId="456015F9" w14:textId="32F40B4F" w:rsidR="009243E1" w:rsidRPr="00425DB1" w:rsidRDefault="009243E1" w:rsidP="009243E1">
            <w:pPr>
              <w:pBdr>
                <w:bottom w:val="double" w:sz="4" w:space="0" w:color="000000"/>
              </w:pBdr>
              <w:spacing w:before="40"/>
              <w:jc w:val="right"/>
              <w:rPr>
                <w:rFonts w:asciiTheme="majorBidi" w:hAnsiTheme="majorBidi" w:cstheme="majorBidi"/>
                <w:sz w:val="22"/>
                <w:szCs w:val="22"/>
              </w:rPr>
            </w:pPr>
            <w:r w:rsidRPr="00425DB1">
              <w:rPr>
                <w:rFonts w:asciiTheme="majorBidi" w:hAnsiTheme="majorBidi" w:cstheme="majorBidi"/>
                <w:sz w:val="22"/>
                <w:szCs w:val="22"/>
              </w:rPr>
              <w:t>188,574</w:t>
            </w:r>
          </w:p>
        </w:tc>
        <w:tc>
          <w:tcPr>
            <w:tcW w:w="1276" w:type="dxa"/>
            <w:shd w:val="clear" w:color="auto" w:fill="auto"/>
            <w:noWrap/>
            <w:vAlign w:val="bottom"/>
          </w:tcPr>
          <w:p w14:paraId="1237BDF6" w14:textId="601975F1" w:rsidR="009243E1" w:rsidRPr="00425DB1" w:rsidRDefault="009243E1" w:rsidP="009243E1">
            <w:pPr>
              <w:pBdr>
                <w:bottom w:val="double" w:sz="4" w:space="0" w:color="000000"/>
              </w:pBdr>
              <w:spacing w:before="40"/>
              <w:jc w:val="right"/>
              <w:rPr>
                <w:rFonts w:asciiTheme="majorBidi" w:hAnsiTheme="majorBidi" w:cstheme="majorBidi"/>
                <w:sz w:val="22"/>
                <w:szCs w:val="22"/>
              </w:rPr>
            </w:pPr>
            <w:r w:rsidRPr="00425DB1">
              <w:rPr>
                <w:rFonts w:asciiTheme="majorBidi" w:hAnsiTheme="majorBidi" w:cstheme="majorBidi"/>
                <w:sz w:val="22"/>
                <w:szCs w:val="22"/>
              </w:rPr>
              <w:t>183,681</w:t>
            </w:r>
          </w:p>
        </w:tc>
        <w:tc>
          <w:tcPr>
            <w:tcW w:w="1276" w:type="dxa"/>
            <w:shd w:val="clear" w:color="auto" w:fill="auto"/>
            <w:noWrap/>
            <w:vAlign w:val="bottom"/>
          </w:tcPr>
          <w:p w14:paraId="7F7F4B4C" w14:textId="3B936412" w:rsidR="009243E1" w:rsidRPr="00425DB1" w:rsidRDefault="009243E1" w:rsidP="009243E1">
            <w:pPr>
              <w:pBdr>
                <w:bottom w:val="double" w:sz="4" w:space="0" w:color="000000"/>
              </w:pBdr>
              <w:spacing w:before="40"/>
              <w:jc w:val="right"/>
              <w:rPr>
                <w:rFonts w:asciiTheme="majorBidi" w:hAnsiTheme="majorBidi" w:cstheme="majorBidi"/>
                <w:sz w:val="22"/>
                <w:szCs w:val="22"/>
              </w:rPr>
            </w:pPr>
            <w:r w:rsidRPr="00425DB1">
              <w:rPr>
                <w:rFonts w:asciiTheme="majorBidi" w:hAnsiTheme="majorBidi" w:cstheme="majorBidi"/>
                <w:sz w:val="22"/>
                <w:szCs w:val="22"/>
              </w:rPr>
              <w:t>162,395</w:t>
            </w:r>
          </w:p>
        </w:tc>
      </w:tr>
      <w:tr w:rsidR="009243E1" w:rsidRPr="00914258" w14:paraId="5DFA9AD6" w14:textId="77777777" w:rsidTr="005101BC">
        <w:trPr>
          <w:trHeight w:val="440"/>
        </w:trPr>
        <w:tc>
          <w:tcPr>
            <w:tcW w:w="2494" w:type="dxa"/>
            <w:shd w:val="clear" w:color="auto" w:fill="auto"/>
            <w:vAlign w:val="bottom"/>
            <w:hideMark/>
          </w:tcPr>
          <w:p w14:paraId="1CABD012" w14:textId="77777777" w:rsidR="009243E1" w:rsidRPr="002B2F95" w:rsidRDefault="009243E1" w:rsidP="009243E1">
            <w:pPr>
              <w:spacing w:before="40"/>
              <w:rPr>
                <w:rFonts w:asciiTheme="majorBidi" w:hAnsiTheme="majorBidi" w:cstheme="majorBidi"/>
                <w:sz w:val="22"/>
                <w:szCs w:val="22"/>
              </w:rPr>
            </w:pPr>
            <w:r w:rsidRPr="002B2F95">
              <w:rPr>
                <w:rFonts w:asciiTheme="majorBidi" w:hAnsiTheme="majorBidi" w:cstheme="majorBidi"/>
                <w:color w:val="000000"/>
                <w:sz w:val="22"/>
                <w:szCs w:val="22"/>
              </w:rPr>
              <w:t xml:space="preserve">Set </w:t>
            </w:r>
            <w:proofErr w:type="gramStart"/>
            <w:r w:rsidRPr="002B2F95">
              <w:rPr>
                <w:rFonts w:asciiTheme="majorBidi" w:hAnsiTheme="majorBidi" w:cstheme="majorBidi"/>
                <w:color w:val="000000"/>
                <w:sz w:val="22"/>
                <w:szCs w:val="22"/>
              </w:rPr>
              <w:t>off of</w:t>
            </w:r>
            <w:proofErr w:type="gramEnd"/>
            <w:r w:rsidRPr="002B2F95">
              <w:rPr>
                <w:rFonts w:asciiTheme="majorBidi" w:hAnsiTheme="majorBidi" w:cstheme="majorBidi"/>
                <w:color w:val="000000"/>
                <w:sz w:val="22"/>
                <w:szCs w:val="22"/>
              </w:rPr>
              <w:t xml:space="preserve"> tax </w:t>
            </w:r>
          </w:p>
        </w:tc>
        <w:tc>
          <w:tcPr>
            <w:tcW w:w="1275" w:type="dxa"/>
            <w:shd w:val="clear" w:color="auto" w:fill="auto"/>
            <w:noWrap/>
            <w:vAlign w:val="bottom"/>
          </w:tcPr>
          <w:p w14:paraId="0659FBF0" w14:textId="5FA6F957" w:rsidR="009243E1" w:rsidRPr="00425DB1" w:rsidRDefault="009243E1" w:rsidP="009243E1">
            <w:pPr>
              <w:pBdr>
                <w:bottom w:val="double" w:sz="4" w:space="0" w:color="000000"/>
              </w:pBdr>
              <w:spacing w:before="40"/>
              <w:jc w:val="right"/>
              <w:rPr>
                <w:rFonts w:asciiTheme="majorBidi" w:hAnsiTheme="majorBidi" w:cstheme="majorBidi"/>
                <w:sz w:val="22"/>
                <w:szCs w:val="22"/>
              </w:rPr>
            </w:pPr>
            <w:r w:rsidRPr="00425DB1">
              <w:rPr>
                <w:rFonts w:asciiTheme="majorBidi" w:hAnsiTheme="majorBidi" w:cstheme="majorBidi"/>
                <w:sz w:val="22"/>
                <w:szCs w:val="22"/>
              </w:rPr>
              <w:t>23,160</w:t>
            </w:r>
          </w:p>
        </w:tc>
        <w:tc>
          <w:tcPr>
            <w:tcW w:w="1276" w:type="dxa"/>
            <w:shd w:val="clear" w:color="auto" w:fill="auto"/>
            <w:noWrap/>
            <w:vAlign w:val="bottom"/>
          </w:tcPr>
          <w:p w14:paraId="4522DEE9" w14:textId="2072D7FD" w:rsidR="009243E1" w:rsidRPr="00425DB1" w:rsidRDefault="009243E1" w:rsidP="009243E1">
            <w:pPr>
              <w:pBdr>
                <w:bottom w:val="double" w:sz="4" w:space="0" w:color="000000"/>
              </w:pBdr>
              <w:spacing w:before="40"/>
              <w:jc w:val="right"/>
              <w:rPr>
                <w:rFonts w:asciiTheme="majorBidi" w:hAnsiTheme="majorBidi" w:cstheme="majorBidi"/>
                <w:sz w:val="22"/>
                <w:szCs w:val="22"/>
              </w:rPr>
            </w:pPr>
            <w:r w:rsidRPr="00425DB1">
              <w:rPr>
                <w:rFonts w:asciiTheme="majorBidi" w:hAnsiTheme="majorBidi" w:cstheme="majorBidi"/>
                <w:sz w:val="22"/>
                <w:szCs w:val="22"/>
              </w:rPr>
              <w:t>19,679</w:t>
            </w:r>
          </w:p>
        </w:tc>
        <w:tc>
          <w:tcPr>
            <w:tcW w:w="1276" w:type="dxa"/>
            <w:shd w:val="clear" w:color="auto" w:fill="auto"/>
            <w:noWrap/>
            <w:vAlign w:val="bottom"/>
          </w:tcPr>
          <w:p w14:paraId="65CE5760" w14:textId="466BD840" w:rsidR="009243E1" w:rsidRPr="00425DB1" w:rsidRDefault="009243E1" w:rsidP="009243E1">
            <w:pPr>
              <w:pBdr>
                <w:bottom w:val="double" w:sz="4" w:space="0" w:color="000000"/>
              </w:pBdr>
              <w:spacing w:before="40"/>
              <w:jc w:val="right"/>
              <w:rPr>
                <w:rFonts w:asciiTheme="majorBidi" w:hAnsiTheme="majorBidi" w:cstheme="majorBidi"/>
                <w:sz w:val="22"/>
                <w:szCs w:val="22"/>
              </w:rPr>
            </w:pPr>
            <w:r w:rsidRPr="00425DB1">
              <w:rPr>
                <w:rFonts w:asciiTheme="majorBidi" w:hAnsiTheme="majorBidi" w:cstheme="majorBidi"/>
                <w:sz w:val="22"/>
                <w:szCs w:val="22"/>
              </w:rPr>
              <w:t>(23,160)</w:t>
            </w:r>
          </w:p>
        </w:tc>
        <w:tc>
          <w:tcPr>
            <w:tcW w:w="1276" w:type="dxa"/>
            <w:shd w:val="clear" w:color="auto" w:fill="auto"/>
            <w:noWrap/>
            <w:vAlign w:val="bottom"/>
          </w:tcPr>
          <w:p w14:paraId="37FAE9B3" w14:textId="2E3F0248" w:rsidR="009243E1" w:rsidRPr="00425DB1" w:rsidRDefault="009243E1" w:rsidP="009243E1">
            <w:pPr>
              <w:pBdr>
                <w:bottom w:val="double" w:sz="4" w:space="0" w:color="000000"/>
              </w:pBdr>
              <w:spacing w:before="40"/>
              <w:jc w:val="right"/>
              <w:rPr>
                <w:rFonts w:asciiTheme="majorBidi" w:hAnsiTheme="majorBidi" w:cstheme="majorBidi"/>
                <w:sz w:val="22"/>
                <w:szCs w:val="22"/>
              </w:rPr>
            </w:pPr>
            <w:r w:rsidRPr="00425DB1">
              <w:rPr>
                <w:rFonts w:asciiTheme="majorBidi" w:hAnsiTheme="majorBidi" w:cstheme="majorBidi"/>
                <w:sz w:val="22"/>
                <w:szCs w:val="22"/>
              </w:rPr>
              <w:t>(19,679)</w:t>
            </w:r>
          </w:p>
        </w:tc>
        <w:tc>
          <w:tcPr>
            <w:tcW w:w="1276" w:type="dxa"/>
            <w:shd w:val="clear" w:color="auto" w:fill="auto"/>
            <w:noWrap/>
            <w:vAlign w:val="bottom"/>
          </w:tcPr>
          <w:p w14:paraId="2FE43A1E" w14:textId="4BCE98D5" w:rsidR="009243E1" w:rsidRPr="00425DB1" w:rsidRDefault="009243E1" w:rsidP="009243E1">
            <w:pPr>
              <w:pBdr>
                <w:bottom w:val="double" w:sz="4" w:space="0" w:color="000000"/>
              </w:pBdr>
              <w:spacing w:before="40"/>
              <w:jc w:val="right"/>
              <w:rPr>
                <w:rFonts w:asciiTheme="majorBidi" w:hAnsiTheme="majorBidi" w:cstheme="majorBidi"/>
                <w:sz w:val="22"/>
                <w:szCs w:val="22"/>
              </w:rPr>
            </w:pPr>
            <w:r w:rsidRPr="00425DB1">
              <w:rPr>
                <w:rFonts w:asciiTheme="majorBidi" w:hAnsiTheme="majorBidi" w:cstheme="majorBidi"/>
                <w:sz w:val="22"/>
                <w:szCs w:val="22"/>
              </w:rPr>
              <w:t>-</w:t>
            </w:r>
          </w:p>
        </w:tc>
        <w:tc>
          <w:tcPr>
            <w:tcW w:w="1276" w:type="dxa"/>
            <w:shd w:val="clear" w:color="auto" w:fill="auto"/>
            <w:noWrap/>
            <w:vAlign w:val="bottom"/>
          </w:tcPr>
          <w:p w14:paraId="61964C51" w14:textId="28F40F2D" w:rsidR="009243E1" w:rsidRPr="00425DB1" w:rsidRDefault="009243E1" w:rsidP="009243E1">
            <w:pPr>
              <w:pBdr>
                <w:bottom w:val="double" w:sz="4" w:space="0" w:color="000000"/>
              </w:pBdr>
              <w:spacing w:before="40"/>
              <w:jc w:val="right"/>
              <w:rPr>
                <w:rFonts w:asciiTheme="majorBidi" w:hAnsiTheme="majorBidi" w:cstheme="majorBidi"/>
                <w:sz w:val="22"/>
                <w:szCs w:val="22"/>
              </w:rPr>
            </w:pPr>
            <w:r w:rsidRPr="00425DB1">
              <w:rPr>
                <w:rFonts w:asciiTheme="majorBidi" w:hAnsiTheme="majorBidi" w:cstheme="majorBidi"/>
                <w:sz w:val="22"/>
                <w:szCs w:val="22"/>
              </w:rPr>
              <w:t>-</w:t>
            </w:r>
          </w:p>
        </w:tc>
      </w:tr>
      <w:tr w:rsidR="009243E1" w:rsidRPr="00914258" w14:paraId="0F05E7C3" w14:textId="77777777" w:rsidTr="005101BC">
        <w:trPr>
          <w:trHeight w:val="440"/>
        </w:trPr>
        <w:tc>
          <w:tcPr>
            <w:tcW w:w="2494" w:type="dxa"/>
            <w:shd w:val="clear" w:color="auto" w:fill="auto"/>
            <w:vAlign w:val="bottom"/>
            <w:hideMark/>
          </w:tcPr>
          <w:p w14:paraId="7212F4A8" w14:textId="77777777" w:rsidR="009243E1" w:rsidRPr="002B2F95" w:rsidRDefault="009243E1" w:rsidP="009243E1">
            <w:pPr>
              <w:spacing w:before="40"/>
              <w:rPr>
                <w:rFonts w:asciiTheme="majorBidi" w:hAnsiTheme="majorBidi" w:cstheme="majorBidi"/>
                <w:sz w:val="22"/>
                <w:szCs w:val="22"/>
              </w:rPr>
            </w:pPr>
            <w:r w:rsidRPr="002B2F95">
              <w:rPr>
                <w:rFonts w:asciiTheme="majorBidi" w:hAnsiTheme="majorBidi" w:cstheme="majorBidi"/>
                <w:color w:val="000000"/>
                <w:sz w:val="22"/>
                <w:szCs w:val="22"/>
              </w:rPr>
              <w:t>Net tax (asset) liabilities</w:t>
            </w:r>
          </w:p>
        </w:tc>
        <w:tc>
          <w:tcPr>
            <w:tcW w:w="1275" w:type="dxa"/>
            <w:shd w:val="clear" w:color="auto" w:fill="auto"/>
            <w:noWrap/>
            <w:vAlign w:val="bottom"/>
          </w:tcPr>
          <w:p w14:paraId="5C40C6F8" w14:textId="562EB1E7" w:rsidR="009243E1" w:rsidRPr="00425DB1" w:rsidRDefault="009243E1" w:rsidP="009243E1">
            <w:pPr>
              <w:pBdr>
                <w:bottom w:val="double" w:sz="4" w:space="0" w:color="000000"/>
              </w:pBdr>
              <w:spacing w:before="40"/>
              <w:jc w:val="right"/>
              <w:rPr>
                <w:rFonts w:asciiTheme="majorBidi" w:hAnsiTheme="majorBidi" w:cstheme="majorBidi"/>
                <w:sz w:val="22"/>
                <w:szCs w:val="22"/>
              </w:rPr>
            </w:pPr>
            <w:r w:rsidRPr="00425DB1">
              <w:rPr>
                <w:rFonts w:asciiTheme="majorBidi" w:hAnsiTheme="majorBidi" w:cstheme="majorBidi"/>
                <w:sz w:val="22"/>
                <w:szCs w:val="22"/>
              </w:rPr>
              <w:t>(2,517)</w:t>
            </w:r>
          </w:p>
        </w:tc>
        <w:tc>
          <w:tcPr>
            <w:tcW w:w="1276" w:type="dxa"/>
            <w:shd w:val="clear" w:color="auto" w:fill="auto"/>
            <w:noWrap/>
            <w:vAlign w:val="bottom"/>
          </w:tcPr>
          <w:p w14:paraId="3C1DEE56" w14:textId="35F7009F" w:rsidR="009243E1" w:rsidRPr="00425DB1" w:rsidRDefault="009243E1" w:rsidP="009243E1">
            <w:pPr>
              <w:pBdr>
                <w:bottom w:val="double" w:sz="4" w:space="0" w:color="000000"/>
              </w:pBdr>
              <w:spacing w:before="40"/>
              <w:jc w:val="right"/>
              <w:rPr>
                <w:rFonts w:asciiTheme="majorBidi" w:hAnsiTheme="majorBidi" w:cstheme="majorBidi"/>
                <w:sz w:val="22"/>
                <w:szCs w:val="22"/>
              </w:rPr>
            </w:pPr>
            <w:r w:rsidRPr="00425DB1">
              <w:rPr>
                <w:rFonts w:asciiTheme="majorBidi" w:hAnsiTheme="majorBidi" w:cstheme="majorBidi"/>
                <w:sz w:val="22"/>
                <w:szCs w:val="22"/>
              </w:rPr>
              <w:t>(6,500)</w:t>
            </w:r>
          </w:p>
        </w:tc>
        <w:tc>
          <w:tcPr>
            <w:tcW w:w="1276" w:type="dxa"/>
            <w:shd w:val="clear" w:color="auto" w:fill="auto"/>
            <w:noWrap/>
            <w:vAlign w:val="bottom"/>
          </w:tcPr>
          <w:p w14:paraId="634D35B4" w14:textId="011A27A0" w:rsidR="009243E1" w:rsidRPr="00425DB1" w:rsidRDefault="009243E1" w:rsidP="009243E1">
            <w:pPr>
              <w:pBdr>
                <w:bottom w:val="double" w:sz="4" w:space="0" w:color="000000"/>
              </w:pBdr>
              <w:spacing w:before="40"/>
              <w:jc w:val="right"/>
              <w:rPr>
                <w:rFonts w:asciiTheme="majorBidi" w:hAnsiTheme="majorBidi" w:cstheme="majorBidi"/>
                <w:sz w:val="22"/>
                <w:szCs w:val="22"/>
              </w:rPr>
            </w:pPr>
            <w:r w:rsidRPr="00425DB1">
              <w:rPr>
                <w:rFonts w:asciiTheme="majorBidi" w:hAnsiTheme="majorBidi" w:cstheme="majorBidi"/>
                <w:sz w:val="22"/>
                <w:szCs w:val="22"/>
              </w:rPr>
              <w:t>186,198</w:t>
            </w:r>
          </w:p>
        </w:tc>
        <w:tc>
          <w:tcPr>
            <w:tcW w:w="1276" w:type="dxa"/>
            <w:shd w:val="clear" w:color="auto" w:fill="auto"/>
            <w:noWrap/>
            <w:vAlign w:val="bottom"/>
          </w:tcPr>
          <w:p w14:paraId="241219C7" w14:textId="241672FB" w:rsidR="009243E1" w:rsidRPr="00425DB1" w:rsidRDefault="009243E1" w:rsidP="009243E1">
            <w:pPr>
              <w:pBdr>
                <w:bottom w:val="double" w:sz="4" w:space="0" w:color="000000"/>
              </w:pBdr>
              <w:spacing w:before="40"/>
              <w:jc w:val="right"/>
              <w:rPr>
                <w:rFonts w:asciiTheme="majorBidi" w:hAnsiTheme="majorBidi" w:cstheme="majorBidi"/>
                <w:sz w:val="22"/>
                <w:szCs w:val="22"/>
              </w:rPr>
            </w:pPr>
            <w:r w:rsidRPr="00425DB1">
              <w:rPr>
                <w:rFonts w:asciiTheme="majorBidi" w:hAnsiTheme="majorBidi" w:cstheme="majorBidi"/>
                <w:sz w:val="22"/>
                <w:szCs w:val="22"/>
              </w:rPr>
              <w:t>168,895</w:t>
            </w:r>
          </w:p>
        </w:tc>
        <w:tc>
          <w:tcPr>
            <w:tcW w:w="1276" w:type="dxa"/>
            <w:shd w:val="clear" w:color="auto" w:fill="auto"/>
            <w:noWrap/>
            <w:vAlign w:val="bottom"/>
          </w:tcPr>
          <w:p w14:paraId="6573A389" w14:textId="3C76DAC0" w:rsidR="009243E1" w:rsidRPr="00425DB1" w:rsidRDefault="009243E1" w:rsidP="009243E1">
            <w:pPr>
              <w:pBdr>
                <w:bottom w:val="double" w:sz="4" w:space="0" w:color="000000"/>
              </w:pBdr>
              <w:spacing w:before="40"/>
              <w:jc w:val="right"/>
              <w:rPr>
                <w:rFonts w:asciiTheme="majorBidi" w:hAnsiTheme="majorBidi" w:cstheme="majorBidi"/>
                <w:sz w:val="22"/>
                <w:szCs w:val="22"/>
              </w:rPr>
            </w:pPr>
            <w:r w:rsidRPr="00425DB1">
              <w:rPr>
                <w:rFonts w:asciiTheme="majorBidi" w:hAnsiTheme="majorBidi" w:cstheme="majorBidi"/>
                <w:sz w:val="22"/>
                <w:szCs w:val="22"/>
              </w:rPr>
              <w:t>183,681</w:t>
            </w:r>
          </w:p>
        </w:tc>
        <w:tc>
          <w:tcPr>
            <w:tcW w:w="1276" w:type="dxa"/>
            <w:shd w:val="clear" w:color="auto" w:fill="auto"/>
            <w:noWrap/>
            <w:vAlign w:val="bottom"/>
          </w:tcPr>
          <w:p w14:paraId="20559A1C" w14:textId="2995B6A3" w:rsidR="009243E1" w:rsidRPr="00425DB1" w:rsidRDefault="009243E1" w:rsidP="009243E1">
            <w:pPr>
              <w:pBdr>
                <w:bottom w:val="double" w:sz="4" w:space="0" w:color="000000"/>
              </w:pBdr>
              <w:spacing w:before="40"/>
              <w:jc w:val="right"/>
              <w:rPr>
                <w:rFonts w:asciiTheme="majorBidi" w:hAnsiTheme="majorBidi" w:cstheme="majorBidi"/>
                <w:sz w:val="22"/>
                <w:szCs w:val="22"/>
              </w:rPr>
            </w:pPr>
            <w:r w:rsidRPr="00425DB1">
              <w:rPr>
                <w:rFonts w:asciiTheme="majorBidi" w:hAnsiTheme="majorBidi" w:cstheme="majorBidi"/>
                <w:sz w:val="22"/>
                <w:szCs w:val="22"/>
              </w:rPr>
              <w:t>162,395</w:t>
            </w:r>
          </w:p>
        </w:tc>
      </w:tr>
    </w:tbl>
    <w:p w14:paraId="17EA8EB5" w14:textId="77777777" w:rsidR="007D655A" w:rsidRPr="00F02921" w:rsidRDefault="007D655A" w:rsidP="00865AA5">
      <w:pPr>
        <w:jc w:val="both"/>
        <w:rPr>
          <w:sz w:val="22"/>
          <w:szCs w:val="22"/>
        </w:rPr>
      </w:pPr>
    </w:p>
    <w:p w14:paraId="2718CCED" w14:textId="67700C54" w:rsidR="00030CEF" w:rsidRDefault="00543E25">
      <w:pPr>
        <w:ind w:left="720"/>
        <w:jc w:val="both"/>
        <w:rPr>
          <w:sz w:val="22"/>
          <w:szCs w:val="22"/>
        </w:rPr>
      </w:pPr>
      <w:r w:rsidRPr="001802D3">
        <w:rPr>
          <w:sz w:val="22"/>
          <w:szCs w:val="22"/>
        </w:rPr>
        <w:t>On</w:t>
      </w:r>
      <w:r w:rsidR="00030CEF" w:rsidRPr="001802D3">
        <w:rPr>
          <w:sz w:val="22"/>
          <w:szCs w:val="22"/>
        </w:rPr>
        <w:t xml:space="preserve"> December 31, </w:t>
      </w:r>
      <w:r w:rsidR="00804B66" w:rsidRPr="001802D3">
        <w:rPr>
          <w:sz w:val="22"/>
          <w:szCs w:val="22"/>
        </w:rPr>
        <w:t>2024</w:t>
      </w:r>
      <w:r w:rsidR="00030CEF" w:rsidRPr="001802D3">
        <w:rPr>
          <w:sz w:val="22"/>
          <w:szCs w:val="22"/>
        </w:rPr>
        <w:t xml:space="preserve">, the Group had total tax losses carried forward for an amount of </w:t>
      </w:r>
      <w:r w:rsidR="00030CEF" w:rsidRPr="00042476">
        <w:rPr>
          <w:sz w:val="22"/>
          <w:szCs w:val="22"/>
        </w:rPr>
        <w:t xml:space="preserve">EUR </w:t>
      </w:r>
      <w:r w:rsidR="00042476">
        <w:rPr>
          <w:sz w:val="22"/>
          <w:szCs w:val="22"/>
        </w:rPr>
        <w:t>178,872</w:t>
      </w:r>
      <w:r w:rsidR="00E70208" w:rsidRPr="001802D3">
        <w:rPr>
          <w:sz w:val="22"/>
          <w:szCs w:val="22"/>
        </w:rPr>
        <w:t xml:space="preserve"> </w:t>
      </w:r>
      <w:r w:rsidR="00030CEF" w:rsidRPr="001802D3">
        <w:rPr>
          <w:sz w:val="22"/>
          <w:szCs w:val="22"/>
        </w:rPr>
        <w:t xml:space="preserve">thousand (December 31, </w:t>
      </w:r>
      <w:r w:rsidR="00521543" w:rsidRPr="001802D3">
        <w:rPr>
          <w:sz w:val="22"/>
          <w:szCs w:val="22"/>
        </w:rPr>
        <w:t>202</w:t>
      </w:r>
      <w:r w:rsidR="00804B66" w:rsidRPr="001802D3">
        <w:rPr>
          <w:sz w:val="22"/>
          <w:szCs w:val="22"/>
        </w:rPr>
        <w:t>3</w:t>
      </w:r>
      <w:r w:rsidR="00030CEF" w:rsidRPr="001802D3">
        <w:rPr>
          <w:sz w:val="22"/>
          <w:szCs w:val="22"/>
        </w:rPr>
        <w:t xml:space="preserve">, EUR </w:t>
      </w:r>
      <w:r w:rsidR="00042476">
        <w:rPr>
          <w:sz w:val="22"/>
          <w:szCs w:val="22"/>
        </w:rPr>
        <w:t>185,578</w:t>
      </w:r>
      <w:r w:rsidR="008E7EEC" w:rsidRPr="001802D3">
        <w:rPr>
          <w:sz w:val="22"/>
          <w:szCs w:val="22"/>
        </w:rPr>
        <w:t xml:space="preserve"> </w:t>
      </w:r>
      <w:r w:rsidR="00030CEF" w:rsidRPr="001802D3">
        <w:rPr>
          <w:sz w:val="22"/>
          <w:szCs w:val="22"/>
        </w:rPr>
        <w:t>thousand)</w:t>
      </w:r>
      <w:r w:rsidR="000272B8" w:rsidRPr="001802D3">
        <w:rPr>
          <w:sz w:val="22"/>
          <w:szCs w:val="22"/>
          <w:lang w:bidi="he-IL"/>
        </w:rPr>
        <w:t xml:space="preserve">. </w:t>
      </w:r>
      <w:r w:rsidR="000272B8" w:rsidRPr="001802D3">
        <w:rPr>
          <w:sz w:val="22"/>
          <w:szCs w:val="22"/>
        </w:rPr>
        <w:t xml:space="preserve">As of December 31, 2024, </w:t>
      </w:r>
      <w:r w:rsidR="00030CEF" w:rsidRPr="001802D3">
        <w:rPr>
          <w:sz w:val="22"/>
          <w:szCs w:val="22"/>
        </w:rPr>
        <w:t xml:space="preserve">deferred tax </w:t>
      </w:r>
      <w:proofErr w:type="gramStart"/>
      <w:r w:rsidR="00030CEF" w:rsidRPr="001802D3">
        <w:rPr>
          <w:sz w:val="22"/>
          <w:szCs w:val="22"/>
        </w:rPr>
        <w:t xml:space="preserve">asset </w:t>
      </w:r>
      <w:r w:rsidR="00F16875" w:rsidRPr="001802D3">
        <w:rPr>
          <w:sz w:val="22"/>
          <w:szCs w:val="22"/>
        </w:rPr>
        <w:t>was</w:t>
      </w:r>
      <w:proofErr w:type="gramEnd"/>
      <w:r w:rsidR="00F16875" w:rsidRPr="001802D3">
        <w:rPr>
          <w:sz w:val="22"/>
          <w:szCs w:val="22"/>
        </w:rPr>
        <w:t xml:space="preserve"> recognized in an amount of </w:t>
      </w:r>
      <w:r w:rsidR="00030CEF" w:rsidRPr="001802D3">
        <w:rPr>
          <w:sz w:val="22"/>
          <w:szCs w:val="22"/>
        </w:rPr>
        <w:t xml:space="preserve">EUR </w:t>
      </w:r>
      <w:r w:rsidR="004F7689" w:rsidRPr="001802D3">
        <w:rPr>
          <w:sz w:val="22"/>
          <w:szCs w:val="22"/>
        </w:rPr>
        <w:t>14,552</w:t>
      </w:r>
      <w:r w:rsidR="00E70208" w:rsidRPr="001802D3">
        <w:rPr>
          <w:sz w:val="22"/>
          <w:szCs w:val="22"/>
        </w:rPr>
        <w:t xml:space="preserve"> </w:t>
      </w:r>
      <w:r w:rsidR="00030CEF" w:rsidRPr="001802D3">
        <w:rPr>
          <w:sz w:val="22"/>
          <w:szCs w:val="22"/>
        </w:rPr>
        <w:t xml:space="preserve">thousand (December 31, </w:t>
      </w:r>
      <w:r w:rsidR="00804B66" w:rsidRPr="001802D3">
        <w:rPr>
          <w:sz w:val="22"/>
          <w:szCs w:val="22"/>
        </w:rPr>
        <w:t>2023</w:t>
      </w:r>
      <w:r w:rsidR="00030CEF" w:rsidRPr="001802D3">
        <w:rPr>
          <w:sz w:val="22"/>
          <w:szCs w:val="22"/>
        </w:rPr>
        <w:t xml:space="preserve">, EUR </w:t>
      </w:r>
      <w:r w:rsidR="00804B66" w:rsidRPr="001802D3">
        <w:rPr>
          <w:sz w:val="22"/>
          <w:szCs w:val="22"/>
        </w:rPr>
        <w:t>12</w:t>
      </w:r>
      <w:r w:rsidR="00521543" w:rsidRPr="001802D3">
        <w:rPr>
          <w:sz w:val="22"/>
          <w:szCs w:val="22"/>
        </w:rPr>
        <w:t>,</w:t>
      </w:r>
      <w:r w:rsidR="00804B66" w:rsidRPr="001802D3">
        <w:rPr>
          <w:sz w:val="22"/>
          <w:szCs w:val="22"/>
        </w:rPr>
        <w:t>340</w:t>
      </w:r>
      <w:r w:rsidR="00B7441E" w:rsidRPr="001802D3">
        <w:rPr>
          <w:sz w:val="22"/>
          <w:szCs w:val="22"/>
        </w:rPr>
        <w:t xml:space="preserve"> </w:t>
      </w:r>
      <w:r w:rsidR="00030CEF" w:rsidRPr="001802D3">
        <w:rPr>
          <w:sz w:val="22"/>
          <w:szCs w:val="22"/>
        </w:rPr>
        <w:t>thousand).</w:t>
      </w:r>
    </w:p>
    <w:p w14:paraId="79522CED" w14:textId="6196A217" w:rsidR="007958E3" w:rsidRDefault="007958E3">
      <w:pPr>
        <w:rPr>
          <w:b/>
          <w:bCs/>
          <w:sz w:val="22"/>
          <w:szCs w:val="22"/>
          <w:rtl/>
          <w:lang w:bidi="he-IL"/>
        </w:rPr>
      </w:pPr>
      <w:r>
        <w:rPr>
          <w:b/>
          <w:bCs/>
          <w:sz w:val="22"/>
          <w:szCs w:val="22"/>
        </w:rPr>
        <w:br w:type="page"/>
      </w:r>
    </w:p>
    <w:p w14:paraId="0B460984" w14:textId="77777777" w:rsidR="002739B3" w:rsidRDefault="002739B3" w:rsidP="004A11B6">
      <w:pPr>
        <w:rPr>
          <w:b/>
          <w:bCs/>
          <w:sz w:val="22"/>
          <w:szCs w:val="22"/>
        </w:rPr>
      </w:pPr>
    </w:p>
    <w:p w14:paraId="5EB5AF63" w14:textId="77777777" w:rsidR="00543265" w:rsidRPr="00543265" w:rsidRDefault="00543265" w:rsidP="00543265">
      <w:pPr>
        <w:rPr>
          <w:sz w:val="22"/>
          <w:szCs w:val="22"/>
        </w:rPr>
      </w:pPr>
      <w:r w:rsidRPr="00543265">
        <w:rPr>
          <w:b/>
          <w:bCs/>
          <w:sz w:val="22"/>
          <w:szCs w:val="22"/>
        </w:rPr>
        <w:t xml:space="preserve">Note 20 - </w:t>
      </w:r>
      <w:r w:rsidRPr="00543265">
        <w:rPr>
          <w:rStyle w:val="Beur"/>
          <w:sz w:val="22"/>
          <w:szCs w:val="22"/>
        </w:rPr>
        <w:t>Income Tax</w:t>
      </w:r>
      <w:r w:rsidRPr="00543265">
        <w:rPr>
          <w:b/>
          <w:bCs/>
          <w:sz w:val="22"/>
          <w:szCs w:val="22"/>
        </w:rPr>
        <w:t xml:space="preserve"> (cont'd)</w:t>
      </w:r>
    </w:p>
    <w:p w14:paraId="2E4B37BA" w14:textId="77777777" w:rsidR="00543265" w:rsidRPr="00543265" w:rsidRDefault="00543265" w:rsidP="00030CEF">
      <w:pPr>
        <w:rPr>
          <w:b/>
          <w:bCs/>
          <w:sz w:val="22"/>
          <w:szCs w:val="22"/>
        </w:rPr>
      </w:pPr>
    </w:p>
    <w:p w14:paraId="5E9EFE1E" w14:textId="296ADB85" w:rsidR="00030CEF" w:rsidRPr="00543265" w:rsidRDefault="00EE6297" w:rsidP="00C01E5D">
      <w:pPr>
        <w:jc w:val="both"/>
        <w:outlineLvl w:val="3"/>
        <w:rPr>
          <w:b/>
          <w:bCs/>
          <w:sz w:val="22"/>
          <w:szCs w:val="22"/>
        </w:rPr>
      </w:pPr>
      <w:bookmarkStart w:id="191" w:name="H4_FMovement_in_temporary_differences_du"/>
      <w:r w:rsidRPr="00543265">
        <w:rPr>
          <w:b/>
          <w:bCs/>
          <w:sz w:val="22"/>
          <w:szCs w:val="22"/>
        </w:rPr>
        <w:t>F</w:t>
      </w:r>
      <w:r w:rsidR="00030CEF" w:rsidRPr="00543265">
        <w:rPr>
          <w:b/>
          <w:bCs/>
          <w:sz w:val="22"/>
          <w:szCs w:val="22"/>
        </w:rPr>
        <w:t>.</w:t>
      </w:r>
      <w:r w:rsidR="00030CEF" w:rsidRPr="00543265">
        <w:rPr>
          <w:b/>
          <w:bCs/>
          <w:sz w:val="22"/>
          <w:szCs w:val="22"/>
        </w:rPr>
        <w:tab/>
        <w:t xml:space="preserve">Movement in temporary differences during the year </w:t>
      </w:r>
    </w:p>
    <w:bookmarkEnd w:id="191"/>
    <w:p w14:paraId="1487A688" w14:textId="77777777" w:rsidR="00030CEF" w:rsidRPr="00F02921" w:rsidRDefault="00030CEF" w:rsidP="00030CEF">
      <w:pPr>
        <w:jc w:val="both"/>
        <w:rPr>
          <w:b/>
          <w:bCs/>
          <w:sz w:val="22"/>
          <w:szCs w:val="22"/>
        </w:rPr>
      </w:pPr>
    </w:p>
    <w:p w14:paraId="330C7CE2" w14:textId="77777777" w:rsidR="00030CEF" w:rsidRPr="00F02921" w:rsidRDefault="00030CEF" w:rsidP="00030CEF">
      <w:pPr>
        <w:ind w:left="720"/>
        <w:rPr>
          <w:rStyle w:val="Koteret"/>
          <w:b w:val="0"/>
          <w:bCs/>
          <w:i/>
          <w:iCs/>
        </w:rPr>
      </w:pPr>
      <w:r w:rsidRPr="00F02921">
        <w:rPr>
          <w:rStyle w:val="Koteret"/>
          <w:b w:val="0"/>
          <w:bCs/>
          <w:i/>
          <w:iCs/>
        </w:rPr>
        <w:t>In thousands of Euros</w:t>
      </w:r>
    </w:p>
    <w:tbl>
      <w:tblPr>
        <w:tblW w:w="0" w:type="auto"/>
        <w:tblInd w:w="720" w:type="dxa"/>
        <w:tblLook w:val="04A0" w:firstRow="1" w:lastRow="0" w:firstColumn="1" w:lastColumn="0" w:noHBand="0" w:noVBand="1"/>
        <w:tblCaption w:val="AHR01"/>
        <w:tblDescription w:val="Movement in temporary differences during the year "/>
      </w:tblPr>
      <w:tblGrid>
        <w:gridCol w:w="5838"/>
        <w:gridCol w:w="1540"/>
        <w:gridCol w:w="1540"/>
      </w:tblGrid>
      <w:tr w:rsidR="001E2335" w:rsidRPr="007E5688" w14:paraId="427DEFB6" w14:textId="77777777" w:rsidTr="00543265">
        <w:trPr>
          <w:cantSplit/>
          <w:trHeight w:val="566"/>
          <w:tblHeader/>
        </w:trPr>
        <w:tc>
          <w:tcPr>
            <w:tcW w:w="5838" w:type="dxa"/>
            <w:shd w:val="clear" w:color="auto" w:fill="auto"/>
            <w:noWrap/>
            <w:vAlign w:val="bottom"/>
            <w:hideMark/>
          </w:tcPr>
          <w:p w14:paraId="011FBCE7" w14:textId="77777777" w:rsidR="001E2335" w:rsidRPr="00866299" w:rsidRDefault="001E2335" w:rsidP="00030CEF">
            <w:pPr>
              <w:spacing w:before="40"/>
              <w:rPr>
                <w:rFonts w:ascii="Arial" w:eastAsia="Arial" w:hAnsi="Arial" w:cs="Arial"/>
                <w:sz w:val="20"/>
              </w:rPr>
            </w:pPr>
            <w:bookmarkStart w:id="192" w:name="Title_48" w:colFirst="0" w:colLast="0"/>
          </w:p>
        </w:tc>
        <w:tc>
          <w:tcPr>
            <w:tcW w:w="1540" w:type="dxa"/>
            <w:shd w:val="clear" w:color="auto" w:fill="auto"/>
            <w:vAlign w:val="bottom"/>
            <w:hideMark/>
          </w:tcPr>
          <w:p w14:paraId="28ADAEFF" w14:textId="77777777" w:rsidR="001E2335" w:rsidRPr="00866299" w:rsidRDefault="001E2335" w:rsidP="00543265">
            <w:pPr>
              <w:spacing w:before="40"/>
              <w:jc w:val="center"/>
              <w:rPr>
                <w:b/>
                <w:bCs/>
                <w:sz w:val="20"/>
              </w:rPr>
            </w:pPr>
            <w:r w:rsidRPr="00866299">
              <w:rPr>
                <w:b/>
                <w:bCs/>
                <w:color w:val="000000"/>
                <w:sz w:val="20"/>
              </w:rPr>
              <w:t>December 31,</w:t>
            </w:r>
          </w:p>
          <w:p w14:paraId="399E9261" w14:textId="4305181E" w:rsidR="001E2335" w:rsidRPr="00866299" w:rsidRDefault="00AD1E41" w:rsidP="007958E3">
            <w:pPr>
              <w:pBdr>
                <w:bottom w:val="single" w:sz="4" w:space="0" w:color="000000"/>
              </w:pBdr>
              <w:spacing w:before="40"/>
              <w:ind w:left="57"/>
              <w:jc w:val="center"/>
              <w:rPr>
                <w:b/>
                <w:bCs/>
                <w:sz w:val="20"/>
              </w:rPr>
            </w:pPr>
            <w:r>
              <w:rPr>
                <w:b/>
                <w:bCs/>
                <w:color w:val="000000"/>
                <w:sz w:val="20"/>
              </w:rPr>
              <w:t>20</w:t>
            </w:r>
            <w:r w:rsidR="007958E3">
              <w:rPr>
                <w:b/>
                <w:bCs/>
                <w:color w:val="000000"/>
                <w:sz w:val="20"/>
              </w:rPr>
              <w:t>24</w:t>
            </w:r>
          </w:p>
        </w:tc>
        <w:tc>
          <w:tcPr>
            <w:tcW w:w="1540" w:type="dxa"/>
            <w:shd w:val="clear" w:color="auto" w:fill="auto"/>
            <w:vAlign w:val="bottom"/>
            <w:hideMark/>
          </w:tcPr>
          <w:p w14:paraId="3D8E0846" w14:textId="77777777" w:rsidR="001E2335" w:rsidRPr="00866299" w:rsidRDefault="001E2335" w:rsidP="00543265">
            <w:pPr>
              <w:spacing w:before="40"/>
              <w:jc w:val="center"/>
              <w:rPr>
                <w:b/>
                <w:bCs/>
                <w:sz w:val="20"/>
              </w:rPr>
            </w:pPr>
            <w:r w:rsidRPr="00866299">
              <w:rPr>
                <w:b/>
                <w:bCs/>
                <w:color w:val="000000"/>
                <w:sz w:val="20"/>
              </w:rPr>
              <w:t>December 31,</w:t>
            </w:r>
          </w:p>
          <w:p w14:paraId="13627061" w14:textId="4D6ED222" w:rsidR="001E2335" w:rsidRPr="00866299" w:rsidRDefault="00AD1E41" w:rsidP="007958E3">
            <w:pPr>
              <w:pBdr>
                <w:bottom w:val="single" w:sz="4" w:space="0" w:color="000000"/>
              </w:pBdr>
              <w:spacing w:before="40"/>
              <w:ind w:left="57"/>
              <w:jc w:val="center"/>
              <w:rPr>
                <w:b/>
                <w:bCs/>
                <w:sz w:val="20"/>
                <w:lang w:bidi="he-IL"/>
              </w:rPr>
            </w:pPr>
            <w:r>
              <w:rPr>
                <w:b/>
                <w:bCs/>
                <w:color w:val="000000"/>
                <w:sz w:val="20"/>
              </w:rPr>
              <w:t>202</w:t>
            </w:r>
            <w:r w:rsidR="007958E3">
              <w:rPr>
                <w:b/>
                <w:bCs/>
                <w:sz w:val="20"/>
                <w:lang w:bidi="he-IL"/>
              </w:rPr>
              <w:t>3</w:t>
            </w:r>
          </w:p>
        </w:tc>
      </w:tr>
      <w:bookmarkEnd w:id="192"/>
      <w:tr w:rsidR="0069032C" w:rsidRPr="007E5688" w14:paraId="1123EDA7" w14:textId="77777777" w:rsidTr="0069032C">
        <w:trPr>
          <w:trHeight w:val="283"/>
        </w:trPr>
        <w:tc>
          <w:tcPr>
            <w:tcW w:w="5838" w:type="dxa"/>
            <w:shd w:val="clear" w:color="auto" w:fill="auto"/>
            <w:noWrap/>
            <w:vAlign w:val="bottom"/>
            <w:hideMark/>
          </w:tcPr>
          <w:p w14:paraId="7F6C3C70" w14:textId="77777777" w:rsidR="0069032C" w:rsidRPr="007E5688" w:rsidRDefault="0069032C" w:rsidP="0069032C">
            <w:pPr>
              <w:spacing w:before="40"/>
              <w:rPr>
                <w:sz w:val="22"/>
                <w:szCs w:val="22"/>
              </w:rPr>
            </w:pPr>
            <w:r w:rsidRPr="007E5688">
              <w:rPr>
                <w:color w:val="000000"/>
                <w:sz w:val="22"/>
                <w:szCs w:val="22"/>
              </w:rPr>
              <w:t>Balance as at beginning of the year</w:t>
            </w:r>
          </w:p>
        </w:tc>
        <w:tc>
          <w:tcPr>
            <w:tcW w:w="1540" w:type="dxa"/>
            <w:shd w:val="clear" w:color="auto" w:fill="auto"/>
            <w:noWrap/>
            <w:vAlign w:val="bottom"/>
          </w:tcPr>
          <w:p w14:paraId="76579663" w14:textId="7C67AFF8" w:rsidR="0069032C" w:rsidRPr="0069032C" w:rsidRDefault="0069032C" w:rsidP="0069032C">
            <w:pPr>
              <w:spacing w:before="40"/>
              <w:jc w:val="right"/>
              <w:rPr>
                <w:b/>
                <w:bCs/>
                <w:sz w:val="22"/>
                <w:szCs w:val="22"/>
                <w:highlight w:val="yellow"/>
              </w:rPr>
            </w:pPr>
            <w:r w:rsidRPr="0069032C">
              <w:rPr>
                <w:sz w:val="22"/>
                <w:szCs w:val="22"/>
              </w:rPr>
              <w:t>162,395</w:t>
            </w:r>
          </w:p>
        </w:tc>
        <w:tc>
          <w:tcPr>
            <w:tcW w:w="1540" w:type="dxa"/>
            <w:shd w:val="clear" w:color="auto" w:fill="auto"/>
            <w:noWrap/>
            <w:vAlign w:val="bottom"/>
          </w:tcPr>
          <w:p w14:paraId="19313DFE" w14:textId="0B36AAAC" w:rsidR="0069032C" w:rsidRPr="00543265" w:rsidRDefault="0069032C" w:rsidP="0069032C">
            <w:pPr>
              <w:spacing w:before="40"/>
              <w:jc w:val="right"/>
              <w:rPr>
                <w:sz w:val="22"/>
                <w:szCs w:val="22"/>
              </w:rPr>
            </w:pPr>
            <w:r>
              <w:rPr>
                <w:sz w:val="22"/>
                <w:szCs w:val="22"/>
              </w:rPr>
              <w:t>162,245</w:t>
            </w:r>
          </w:p>
        </w:tc>
      </w:tr>
      <w:tr w:rsidR="0069032C" w:rsidRPr="007E5688" w14:paraId="5A73EFE0" w14:textId="77777777" w:rsidTr="0069032C">
        <w:trPr>
          <w:trHeight w:val="283"/>
        </w:trPr>
        <w:tc>
          <w:tcPr>
            <w:tcW w:w="5838" w:type="dxa"/>
            <w:shd w:val="clear" w:color="auto" w:fill="auto"/>
            <w:noWrap/>
            <w:vAlign w:val="bottom"/>
            <w:hideMark/>
          </w:tcPr>
          <w:p w14:paraId="2A60D1DF" w14:textId="77777777" w:rsidR="0069032C" w:rsidRPr="007E5688" w:rsidRDefault="0069032C" w:rsidP="0069032C">
            <w:pPr>
              <w:spacing w:before="40"/>
              <w:rPr>
                <w:sz w:val="22"/>
                <w:szCs w:val="22"/>
              </w:rPr>
            </w:pPr>
            <w:r w:rsidRPr="007E5688">
              <w:rPr>
                <w:color w:val="000000"/>
                <w:sz w:val="22"/>
                <w:szCs w:val="22"/>
              </w:rPr>
              <w:t>Recognized in profit or loss</w:t>
            </w:r>
          </w:p>
        </w:tc>
        <w:tc>
          <w:tcPr>
            <w:tcW w:w="1540" w:type="dxa"/>
            <w:shd w:val="clear" w:color="auto" w:fill="auto"/>
            <w:noWrap/>
            <w:vAlign w:val="bottom"/>
          </w:tcPr>
          <w:p w14:paraId="5F60264F" w14:textId="385CC777" w:rsidR="0069032C" w:rsidRPr="0069032C" w:rsidRDefault="0069032C" w:rsidP="0069032C">
            <w:pPr>
              <w:spacing w:before="40"/>
              <w:jc w:val="right"/>
              <w:rPr>
                <w:b/>
                <w:bCs/>
                <w:sz w:val="22"/>
                <w:szCs w:val="22"/>
                <w:highlight w:val="yellow"/>
              </w:rPr>
            </w:pPr>
            <w:r w:rsidRPr="0069032C">
              <w:rPr>
                <w:sz w:val="22"/>
                <w:szCs w:val="22"/>
              </w:rPr>
              <w:t>22,978</w:t>
            </w:r>
          </w:p>
        </w:tc>
        <w:tc>
          <w:tcPr>
            <w:tcW w:w="1540" w:type="dxa"/>
            <w:shd w:val="clear" w:color="auto" w:fill="auto"/>
            <w:noWrap/>
            <w:vAlign w:val="bottom"/>
          </w:tcPr>
          <w:p w14:paraId="06AA9DCA" w14:textId="2CBD477B" w:rsidR="0069032C" w:rsidRPr="00543265" w:rsidRDefault="0069032C" w:rsidP="0069032C">
            <w:pPr>
              <w:spacing w:before="40"/>
              <w:jc w:val="right"/>
              <w:rPr>
                <w:sz w:val="22"/>
                <w:szCs w:val="22"/>
              </w:rPr>
            </w:pPr>
            <w:r>
              <w:rPr>
                <w:sz w:val="22"/>
                <w:szCs w:val="22"/>
              </w:rPr>
              <w:t xml:space="preserve">1,056 </w:t>
            </w:r>
          </w:p>
        </w:tc>
      </w:tr>
      <w:tr w:rsidR="0069032C" w:rsidRPr="007E5688" w14:paraId="387F6EC0" w14:textId="77777777" w:rsidTr="0069032C">
        <w:trPr>
          <w:trHeight w:val="283"/>
        </w:trPr>
        <w:tc>
          <w:tcPr>
            <w:tcW w:w="5838" w:type="dxa"/>
            <w:shd w:val="clear" w:color="auto" w:fill="auto"/>
            <w:noWrap/>
            <w:vAlign w:val="bottom"/>
            <w:hideMark/>
          </w:tcPr>
          <w:p w14:paraId="2CC645A2" w14:textId="77777777" w:rsidR="0069032C" w:rsidRPr="007E5688" w:rsidRDefault="0069032C" w:rsidP="0069032C">
            <w:pPr>
              <w:spacing w:before="40"/>
              <w:rPr>
                <w:sz w:val="22"/>
                <w:szCs w:val="22"/>
              </w:rPr>
            </w:pPr>
            <w:r w:rsidRPr="007E5688">
              <w:rPr>
                <w:color w:val="000000"/>
                <w:sz w:val="22"/>
                <w:szCs w:val="22"/>
              </w:rPr>
              <w:t>Recognized in other comprehensive income</w:t>
            </w:r>
          </w:p>
        </w:tc>
        <w:tc>
          <w:tcPr>
            <w:tcW w:w="1540" w:type="dxa"/>
            <w:shd w:val="clear" w:color="auto" w:fill="auto"/>
            <w:noWrap/>
            <w:vAlign w:val="bottom"/>
          </w:tcPr>
          <w:p w14:paraId="4D6A28D9" w14:textId="5A5CEB4F" w:rsidR="0069032C" w:rsidRPr="0069032C" w:rsidRDefault="0069032C" w:rsidP="0069032C">
            <w:pPr>
              <w:spacing w:before="40"/>
              <w:jc w:val="right"/>
              <w:rPr>
                <w:b/>
                <w:bCs/>
                <w:sz w:val="22"/>
                <w:szCs w:val="22"/>
                <w:highlight w:val="yellow"/>
              </w:rPr>
            </w:pPr>
            <w:r w:rsidRPr="0069032C">
              <w:rPr>
                <w:sz w:val="22"/>
                <w:szCs w:val="22"/>
              </w:rPr>
              <w:t>(1,771)</w:t>
            </w:r>
          </w:p>
        </w:tc>
        <w:tc>
          <w:tcPr>
            <w:tcW w:w="1540" w:type="dxa"/>
            <w:shd w:val="clear" w:color="auto" w:fill="auto"/>
            <w:noWrap/>
            <w:vAlign w:val="bottom"/>
          </w:tcPr>
          <w:p w14:paraId="7CADF43B" w14:textId="703BB89A" w:rsidR="0069032C" w:rsidRPr="00543265" w:rsidRDefault="0069032C" w:rsidP="0069032C">
            <w:pPr>
              <w:spacing w:before="40"/>
              <w:jc w:val="right"/>
              <w:rPr>
                <w:sz w:val="22"/>
                <w:szCs w:val="22"/>
              </w:rPr>
            </w:pPr>
            <w:r>
              <w:rPr>
                <w:sz w:val="22"/>
                <w:szCs w:val="22"/>
              </w:rPr>
              <w:t>(1,009)</w:t>
            </w:r>
          </w:p>
        </w:tc>
      </w:tr>
      <w:tr w:rsidR="0069032C" w:rsidRPr="007E5688" w14:paraId="28427082" w14:textId="77777777" w:rsidTr="0069032C">
        <w:trPr>
          <w:trHeight w:val="283"/>
        </w:trPr>
        <w:tc>
          <w:tcPr>
            <w:tcW w:w="5838" w:type="dxa"/>
            <w:shd w:val="clear" w:color="auto" w:fill="auto"/>
            <w:noWrap/>
            <w:vAlign w:val="bottom"/>
            <w:hideMark/>
          </w:tcPr>
          <w:p w14:paraId="0BC88436" w14:textId="77777777" w:rsidR="0069032C" w:rsidRPr="007E5688" w:rsidRDefault="0069032C" w:rsidP="0069032C">
            <w:pPr>
              <w:spacing w:before="40"/>
              <w:rPr>
                <w:sz w:val="22"/>
                <w:szCs w:val="22"/>
              </w:rPr>
            </w:pPr>
            <w:r w:rsidRPr="007E5688">
              <w:rPr>
                <w:color w:val="000000"/>
                <w:sz w:val="22"/>
                <w:szCs w:val="22"/>
              </w:rPr>
              <w:t>Effect of movement in foreign excha</w:t>
            </w:r>
            <w:r w:rsidRPr="007E5688">
              <w:rPr>
                <w:color w:val="000000"/>
                <w:sz w:val="22"/>
                <w:szCs w:val="22"/>
                <w:lang w:bidi="he-IL"/>
              </w:rPr>
              <w:t>n</w:t>
            </w:r>
            <w:r w:rsidRPr="007E5688">
              <w:rPr>
                <w:color w:val="000000"/>
                <w:sz w:val="22"/>
                <w:szCs w:val="22"/>
              </w:rPr>
              <w:t>ge</w:t>
            </w:r>
          </w:p>
        </w:tc>
        <w:tc>
          <w:tcPr>
            <w:tcW w:w="1540" w:type="dxa"/>
            <w:shd w:val="clear" w:color="auto" w:fill="auto"/>
            <w:noWrap/>
            <w:vAlign w:val="bottom"/>
          </w:tcPr>
          <w:p w14:paraId="2684B188" w14:textId="7EB2B28B" w:rsidR="0069032C" w:rsidRPr="0069032C" w:rsidRDefault="0069032C" w:rsidP="0069032C">
            <w:pPr>
              <w:pBdr>
                <w:bottom w:val="single" w:sz="4" w:space="0" w:color="000000"/>
              </w:pBdr>
              <w:spacing w:before="40"/>
              <w:jc w:val="right"/>
              <w:rPr>
                <w:b/>
                <w:bCs/>
                <w:sz w:val="22"/>
                <w:szCs w:val="22"/>
                <w:highlight w:val="yellow"/>
              </w:rPr>
            </w:pPr>
            <w:r w:rsidRPr="0069032C">
              <w:rPr>
                <w:sz w:val="22"/>
                <w:szCs w:val="22"/>
              </w:rPr>
              <w:t>79</w:t>
            </w:r>
          </w:p>
        </w:tc>
        <w:tc>
          <w:tcPr>
            <w:tcW w:w="1540" w:type="dxa"/>
            <w:shd w:val="clear" w:color="auto" w:fill="auto"/>
            <w:noWrap/>
            <w:vAlign w:val="bottom"/>
          </w:tcPr>
          <w:p w14:paraId="4B9B84CC" w14:textId="4C0FEB86" w:rsidR="0069032C" w:rsidRPr="00543265" w:rsidRDefault="0069032C" w:rsidP="0069032C">
            <w:pPr>
              <w:pBdr>
                <w:bottom w:val="single" w:sz="4" w:space="0" w:color="000000"/>
              </w:pBdr>
              <w:spacing w:before="40"/>
              <w:jc w:val="right"/>
              <w:rPr>
                <w:sz w:val="22"/>
                <w:szCs w:val="22"/>
              </w:rPr>
            </w:pPr>
            <w:r>
              <w:rPr>
                <w:sz w:val="22"/>
                <w:szCs w:val="22"/>
              </w:rPr>
              <w:t xml:space="preserve">103 </w:t>
            </w:r>
          </w:p>
        </w:tc>
      </w:tr>
      <w:tr w:rsidR="0069032C" w:rsidRPr="007E5688" w14:paraId="2BD955B6" w14:textId="77777777" w:rsidTr="0069032C">
        <w:trPr>
          <w:trHeight w:val="283"/>
        </w:trPr>
        <w:tc>
          <w:tcPr>
            <w:tcW w:w="5838" w:type="dxa"/>
            <w:shd w:val="clear" w:color="auto" w:fill="auto"/>
            <w:noWrap/>
            <w:vAlign w:val="bottom"/>
            <w:hideMark/>
          </w:tcPr>
          <w:p w14:paraId="17E3025F" w14:textId="77777777" w:rsidR="0069032C" w:rsidRPr="007E5688" w:rsidRDefault="0069032C" w:rsidP="0069032C">
            <w:pPr>
              <w:spacing w:before="40"/>
              <w:rPr>
                <w:sz w:val="22"/>
                <w:szCs w:val="22"/>
              </w:rPr>
            </w:pPr>
            <w:r w:rsidRPr="007E5688">
              <w:rPr>
                <w:color w:val="000000"/>
                <w:sz w:val="22"/>
                <w:szCs w:val="22"/>
              </w:rPr>
              <w:t>Balance as at end of the year</w:t>
            </w:r>
          </w:p>
        </w:tc>
        <w:tc>
          <w:tcPr>
            <w:tcW w:w="1540" w:type="dxa"/>
            <w:shd w:val="clear" w:color="auto" w:fill="auto"/>
            <w:noWrap/>
            <w:vAlign w:val="bottom"/>
          </w:tcPr>
          <w:p w14:paraId="7ADEB380" w14:textId="3053F9C7" w:rsidR="0069032C" w:rsidRPr="0069032C" w:rsidRDefault="0069032C" w:rsidP="0069032C">
            <w:pPr>
              <w:pBdr>
                <w:bottom w:val="double" w:sz="4" w:space="0" w:color="000000"/>
              </w:pBdr>
              <w:spacing w:before="40"/>
              <w:jc w:val="right"/>
              <w:rPr>
                <w:b/>
                <w:bCs/>
                <w:sz w:val="22"/>
                <w:szCs w:val="22"/>
                <w:highlight w:val="yellow"/>
              </w:rPr>
            </w:pPr>
            <w:r w:rsidRPr="0069032C">
              <w:rPr>
                <w:sz w:val="22"/>
                <w:szCs w:val="22"/>
              </w:rPr>
              <w:t>183,681</w:t>
            </w:r>
          </w:p>
        </w:tc>
        <w:tc>
          <w:tcPr>
            <w:tcW w:w="1540" w:type="dxa"/>
            <w:shd w:val="clear" w:color="auto" w:fill="auto"/>
            <w:noWrap/>
            <w:vAlign w:val="bottom"/>
          </w:tcPr>
          <w:p w14:paraId="4C993028" w14:textId="25A66D4B" w:rsidR="0069032C" w:rsidRPr="00543265" w:rsidRDefault="0069032C" w:rsidP="0069032C">
            <w:pPr>
              <w:pBdr>
                <w:bottom w:val="double" w:sz="4" w:space="0" w:color="000000"/>
              </w:pBdr>
              <w:spacing w:before="40"/>
              <w:jc w:val="right"/>
              <w:rPr>
                <w:sz w:val="22"/>
                <w:szCs w:val="22"/>
              </w:rPr>
            </w:pPr>
            <w:r>
              <w:rPr>
                <w:sz w:val="22"/>
                <w:szCs w:val="22"/>
              </w:rPr>
              <w:t>162,395</w:t>
            </w:r>
          </w:p>
        </w:tc>
      </w:tr>
    </w:tbl>
    <w:p w14:paraId="791F0336" w14:textId="0BA74622" w:rsidR="00C93C69" w:rsidRDefault="00C93C69" w:rsidP="00BF2911">
      <w:pPr>
        <w:jc w:val="both"/>
        <w:rPr>
          <w:b/>
          <w:bCs/>
          <w:sz w:val="26"/>
          <w:szCs w:val="26"/>
        </w:rPr>
      </w:pPr>
    </w:p>
    <w:p w14:paraId="0E76A750" w14:textId="45DFF412" w:rsidR="00C35D07" w:rsidRPr="00543265" w:rsidRDefault="00D80291" w:rsidP="00C01E5D">
      <w:pPr>
        <w:jc w:val="both"/>
        <w:outlineLvl w:val="2"/>
        <w:rPr>
          <w:b/>
          <w:bCs/>
          <w:sz w:val="22"/>
          <w:szCs w:val="22"/>
        </w:rPr>
      </w:pPr>
      <w:bookmarkStart w:id="193" w:name="H3_Note_21__Financial_Instruments_"/>
      <w:r w:rsidRPr="00543265">
        <w:rPr>
          <w:b/>
          <w:bCs/>
          <w:sz w:val="22"/>
          <w:szCs w:val="22"/>
        </w:rPr>
        <w:t>N</w:t>
      </w:r>
      <w:r w:rsidR="00C35D07" w:rsidRPr="00543265">
        <w:rPr>
          <w:b/>
          <w:bCs/>
          <w:sz w:val="22"/>
          <w:szCs w:val="22"/>
        </w:rPr>
        <w:t xml:space="preserve">ote </w:t>
      </w:r>
      <w:r w:rsidR="00F66EC1" w:rsidRPr="00543265">
        <w:rPr>
          <w:b/>
          <w:bCs/>
          <w:sz w:val="22"/>
          <w:szCs w:val="22"/>
        </w:rPr>
        <w:t xml:space="preserve">21 </w:t>
      </w:r>
      <w:r w:rsidR="00C35D07" w:rsidRPr="00543265">
        <w:rPr>
          <w:b/>
          <w:bCs/>
          <w:sz w:val="22"/>
          <w:szCs w:val="22"/>
        </w:rPr>
        <w:t xml:space="preserve">- Financial Instruments </w:t>
      </w:r>
    </w:p>
    <w:bookmarkEnd w:id="193"/>
    <w:p w14:paraId="78FD6593" w14:textId="77777777" w:rsidR="00C35D07" w:rsidRPr="00F02921" w:rsidRDefault="00C35D07" w:rsidP="004A3C21">
      <w:pPr>
        <w:ind w:left="720"/>
        <w:rPr>
          <w:sz w:val="22"/>
          <w:szCs w:val="22"/>
        </w:rPr>
      </w:pPr>
    </w:p>
    <w:p w14:paraId="2C2EBD7A" w14:textId="77777777" w:rsidR="00C35D07" w:rsidRPr="00F02921" w:rsidRDefault="00C35D07" w:rsidP="004A3C21">
      <w:pPr>
        <w:ind w:left="720"/>
        <w:jc w:val="both"/>
        <w:rPr>
          <w:sz w:val="22"/>
          <w:szCs w:val="22"/>
        </w:rPr>
      </w:pPr>
      <w:r w:rsidRPr="00F02921">
        <w:rPr>
          <w:sz w:val="22"/>
          <w:szCs w:val="22"/>
        </w:rPr>
        <w:t>Exposure to credit, interest rate and currency risk arises in the normal course of the Group’s business. The Group uses derivative financial instruments in certain loan agreements to hedge its exposure to interest rate risks arising from construction, financing and investment activities. Furthermore, the Group does not hold or issue derivative financial instruments for trading purposes.</w:t>
      </w:r>
    </w:p>
    <w:p w14:paraId="1827BB94" w14:textId="77777777" w:rsidR="00C35D07" w:rsidRPr="00F02921" w:rsidRDefault="00C35D07" w:rsidP="004A3C21">
      <w:pPr>
        <w:ind w:left="720"/>
        <w:jc w:val="both"/>
        <w:rPr>
          <w:sz w:val="22"/>
          <w:szCs w:val="22"/>
        </w:rPr>
      </w:pPr>
    </w:p>
    <w:p w14:paraId="4753D077" w14:textId="77777777" w:rsidR="00C35D07" w:rsidRPr="00F02921" w:rsidRDefault="000A7F0B" w:rsidP="00C01E5D">
      <w:pPr>
        <w:ind w:left="567" w:hanging="567"/>
        <w:jc w:val="both"/>
        <w:outlineLvl w:val="3"/>
        <w:rPr>
          <w:sz w:val="22"/>
          <w:szCs w:val="22"/>
        </w:rPr>
      </w:pPr>
      <w:bookmarkStart w:id="194" w:name="H4_ACredit_risk_"/>
      <w:r w:rsidRPr="00C435F7">
        <w:rPr>
          <w:b/>
          <w:bCs/>
          <w:sz w:val="22"/>
          <w:szCs w:val="22"/>
        </w:rPr>
        <w:t>A.</w:t>
      </w:r>
      <w:r w:rsidRPr="00C435F7">
        <w:rPr>
          <w:b/>
          <w:bCs/>
          <w:sz w:val="22"/>
          <w:szCs w:val="22"/>
        </w:rPr>
        <w:tab/>
      </w:r>
      <w:r w:rsidR="00C35D07" w:rsidRPr="00F02921">
        <w:rPr>
          <w:b/>
          <w:bCs/>
          <w:sz w:val="22"/>
          <w:szCs w:val="22"/>
        </w:rPr>
        <w:t xml:space="preserve">Credit risk </w:t>
      </w:r>
    </w:p>
    <w:bookmarkEnd w:id="194"/>
    <w:p w14:paraId="75714BCE" w14:textId="77777777" w:rsidR="00C35D07" w:rsidRPr="00F02921" w:rsidRDefault="00C35D07" w:rsidP="004A3C21">
      <w:pPr>
        <w:ind w:left="720"/>
        <w:jc w:val="both"/>
        <w:rPr>
          <w:sz w:val="22"/>
          <w:szCs w:val="22"/>
        </w:rPr>
      </w:pPr>
    </w:p>
    <w:p w14:paraId="1676113A" w14:textId="34F8DD17" w:rsidR="00030CEF" w:rsidRDefault="00C35D07" w:rsidP="00030CEF">
      <w:pPr>
        <w:ind w:left="720"/>
        <w:jc w:val="both"/>
        <w:rPr>
          <w:sz w:val="22"/>
          <w:szCs w:val="22"/>
        </w:rPr>
      </w:pPr>
      <w:r w:rsidRPr="00F02921">
        <w:rPr>
          <w:sz w:val="22"/>
          <w:szCs w:val="22"/>
        </w:rPr>
        <w:t xml:space="preserve">Management has a credit policy in place and the exposure to credit risk is monitored on an ongoing basis. Credit evaluations are performed on all customers requiring credit over a certain amount. The Group requires </w:t>
      </w:r>
      <w:proofErr w:type="gramStart"/>
      <w:r w:rsidRPr="00F02921">
        <w:rPr>
          <w:sz w:val="22"/>
          <w:szCs w:val="22"/>
        </w:rPr>
        <w:t>collateral</w:t>
      </w:r>
      <w:proofErr w:type="gramEnd"/>
      <w:r w:rsidRPr="00F02921">
        <w:rPr>
          <w:sz w:val="22"/>
          <w:szCs w:val="22"/>
        </w:rPr>
        <w:t xml:space="preserve"> from its </w:t>
      </w:r>
      <w:r w:rsidR="00125107">
        <w:rPr>
          <w:sz w:val="22"/>
          <w:szCs w:val="22"/>
          <w:lang w:bidi="he-IL"/>
        </w:rPr>
        <w:t xml:space="preserve">commercial </w:t>
      </w:r>
      <w:r w:rsidRPr="00F02921">
        <w:rPr>
          <w:sz w:val="22"/>
          <w:szCs w:val="22"/>
        </w:rPr>
        <w:t>tenants (bank guarantee or cash deposits usually equal to three months' rent income) in respect of lease agreements.</w:t>
      </w:r>
    </w:p>
    <w:p w14:paraId="4A7FAD6B" w14:textId="77777777" w:rsidR="00030CEF" w:rsidRDefault="00030CEF" w:rsidP="00030CEF">
      <w:pPr>
        <w:ind w:left="720"/>
        <w:jc w:val="both"/>
        <w:rPr>
          <w:sz w:val="22"/>
          <w:szCs w:val="22"/>
        </w:rPr>
      </w:pPr>
    </w:p>
    <w:p w14:paraId="1F2CC96D" w14:textId="77777777" w:rsidR="00C35D07" w:rsidRPr="00F02921" w:rsidRDefault="00C35D07" w:rsidP="00030CEF">
      <w:pPr>
        <w:ind w:left="720"/>
        <w:jc w:val="both"/>
        <w:rPr>
          <w:sz w:val="22"/>
          <w:szCs w:val="22"/>
        </w:rPr>
      </w:pPr>
      <w:r w:rsidRPr="00F02921">
        <w:rPr>
          <w:sz w:val="22"/>
          <w:szCs w:val="22"/>
        </w:rPr>
        <w:t>The carrying amount of financial assets represents the maximum credit exposure. The maximum exposure to credit risk at the balance date was:</w:t>
      </w:r>
    </w:p>
    <w:p w14:paraId="14380F20" w14:textId="77777777" w:rsidR="00C35D07" w:rsidRPr="00F02921" w:rsidRDefault="00C35D07" w:rsidP="004A3C21">
      <w:pPr>
        <w:ind w:left="720"/>
        <w:jc w:val="both"/>
        <w:rPr>
          <w:rStyle w:val="Koteret"/>
          <w:b w:val="0"/>
          <w:bCs/>
          <w:i/>
          <w:iCs/>
          <w:sz w:val="10"/>
          <w:szCs w:val="10"/>
          <w:rtl/>
          <w:lang w:bidi="he-IL"/>
        </w:rPr>
      </w:pPr>
    </w:p>
    <w:p w14:paraId="45A8FEC3" w14:textId="77777777" w:rsidR="00C35D07" w:rsidRPr="00F02921" w:rsidRDefault="00C35D07" w:rsidP="004A3C21">
      <w:pPr>
        <w:ind w:left="720"/>
        <w:jc w:val="both"/>
        <w:rPr>
          <w:rStyle w:val="Koteret"/>
          <w:b w:val="0"/>
          <w:bCs/>
          <w:i/>
          <w:iCs/>
          <w:rtl/>
          <w:lang w:bidi="he-IL"/>
        </w:rPr>
      </w:pPr>
      <w:r w:rsidRPr="00F02921">
        <w:rPr>
          <w:rStyle w:val="Koteret"/>
          <w:b w:val="0"/>
          <w:bCs/>
          <w:i/>
          <w:iCs/>
        </w:rPr>
        <w:t>In thousands of Euros</w:t>
      </w:r>
    </w:p>
    <w:tbl>
      <w:tblPr>
        <w:tblW w:w="8937" w:type="dxa"/>
        <w:tblInd w:w="720" w:type="dxa"/>
        <w:tblLayout w:type="fixed"/>
        <w:tblLook w:val="06A0" w:firstRow="1" w:lastRow="0" w:firstColumn="1" w:lastColumn="0" w:noHBand="1" w:noVBand="1"/>
        <w:tblCaption w:val="AHR02"/>
        <w:tblDescription w:val="Credit risk "/>
      </w:tblPr>
      <w:tblGrid>
        <w:gridCol w:w="4025"/>
        <w:gridCol w:w="1572"/>
        <w:gridCol w:w="1670"/>
        <w:gridCol w:w="1670"/>
      </w:tblGrid>
      <w:tr w:rsidR="001141B2" w:rsidRPr="00866299" w14:paraId="191E5907" w14:textId="77777777" w:rsidTr="005101BC">
        <w:trPr>
          <w:cantSplit/>
          <w:trHeight w:val="283"/>
          <w:tblHeader/>
        </w:trPr>
        <w:tc>
          <w:tcPr>
            <w:tcW w:w="4025" w:type="dxa"/>
            <w:shd w:val="clear" w:color="auto" w:fill="auto"/>
            <w:noWrap/>
            <w:vAlign w:val="bottom"/>
            <w:hideMark/>
          </w:tcPr>
          <w:p w14:paraId="7F426B42" w14:textId="77777777" w:rsidR="001141B2" w:rsidRPr="00866299" w:rsidRDefault="001141B2">
            <w:pPr>
              <w:spacing w:before="40"/>
              <w:rPr>
                <w:rFonts w:ascii="Arial" w:eastAsia="Arial" w:hAnsi="Arial" w:cs="Arial"/>
                <w:sz w:val="20"/>
              </w:rPr>
            </w:pPr>
            <w:bookmarkStart w:id="195" w:name="Title_49" w:colFirst="0" w:colLast="0"/>
          </w:p>
        </w:tc>
        <w:tc>
          <w:tcPr>
            <w:tcW w:w="1572" w:type="dxa"/>
            <w:shd w:val="clear" w:color="auto" w:fill="auto"/>
            <w:vAlign w:val="bottom"/>
            <w:hideMark/>
          </w:tcPr>
          <w:p w14:paraId="3219BCD0" w14:textId="77777777" w:rsidR="001141B2" w:rsidRPr="00866299" w:rsidRDefault="001141B2" w:rsidP="00543265">
            <w:pPr>
              <w:spacing w:before="40"/>
              <w:jc w:val="center"/>
              <w:rPr>
                <w:b/>
                <w:bCs/>
                <w:sz w:val="20"/>
              </w:rPr>
            </w:pPr>
          </w:p>
        </w:tc>
        <w:tc>
          <w:tcPr>
            <w:tcW w:w="3340" w:type="dxa"/>
            <w:gridSpan w:val="2"/>
            <w:shd w:val="clear" w:color="auto" w:fill="auto"/>
            <w:vAlign w:val="bottom"/>
            <w:hideMark/>
          </w:tcPr>
          <w:p w14:paraId="206D3887" w14:textId="77777777" w:rsidR="001141B2" w:rsidRPr="00866299" w:rsidRDefault="005F2ABB" w:rsidP="00543265">
            <w:pPr>
              <w:pBdr>
                <w:bottom w:val="single" w:sz="4" w:space="0" w:color="000000"/>
              </w:pBdr>
              <w:spacing w:before="40"/>
              <w:jc w:val="center"/>
              <w:rPr>
                <w:b/>
                <w:bCs/>
                <w:sz w:val="20"/>
              </w:rPr>
            </w:pPr>
            <w:r w:rsidRPr="00866299">
              <w:rPr>
                <w:b/>
                <w:bCs/>
                <w:color w:val="000000"/>
                <w:sz w:val="20"/>
              </w:rPr>
              <w:t>Carrying amounts</w:t>
            </w:r>
          </w:p>
        </w:tc>
      </w:tr>
      <w:bookmarkEnd w:id="195"/>
      <w:tr w:rsidR="008E7EEC" w:rsidRPr="00866299" w14:paraId="683D7806" w14:textId="77777777" w:rsidTr="005101BC">
        <w:trPr>
          <w:cantSplit/>
          <w:trHeight w:val="283"/>
          <w:tblHeader/>
        </w:trPr>
        <w:tc>
          <w:tcPr>
            <w:tcW w:w="4025" w:type="dxa"/>
            <w:shd w:val="clear" w:color="auto" w:fill="auto"/>
            <w:noWrap/>
            <w:vAlign w:val="bottom"/>
            <w:hideMark/>
          </w:tcPr>
          <w:p w14:paraId="3C4A2E0C" w14:textId="77777777" w:rsidR="008E7EEC" w:rsidRPr="00866299" w:rsidRDefault="008E7EEC" w:rsidP="008E7EEC">
            <w:pPr>
              <w:spacing w:before="40"/>
              <w:rPr>
                <w:rFonts w:ascii="Arial" w:eastAsia="Arial" w:hAnsi="Arial" w:cs="Arial"/>
                <w:sz w:val="20"/>
              </w:rPr>
            </w:pPr>
          </w:p>
        </w:tc>
        <w:tc>
          <w:tcPr>
            <w:tcW w:w="1572" w:type="dxa"/>
            <w:shd w:val="clear" w:color="auto" w:fill="auto"/>
            <w:vAlign w:val="bottom"/>
            <w:hideMark/>
          </w:tcPr>
          <w:p w14:paraId="04D5474C" w14:textId="77777777" w:rsidR="008E7EEC" w:rsidRPr="00866299" w:rsidRDefault="008E7EEC" w:rsidP="00543265">
            <w:pPr>
              <w:pBdr>
                <w:bottom w:val="single" w:sz="4" w:space="0" w:color="000000"/>
              </w:pBdr>
              <w:spacing w:before="40"/>
              <w:jc w:val="center"/>
              <w:rPr>
                <w:b/>
                <w:bCs/>
                <w:sz w:val="20"/>
              </w:rPr>
            </w:pPr>
            <w:r w:rsidRPr="00866299">
              <w:rPr>
                <w:b/>
                <w:bCs/>
                <w:color w:val="000000"/>
                <w:sz w:val="20"/>
              </w:rPr>
              <w:t>Note</w:t>
            </w:r>
          </w:p>
        </w:tc>
        <w:tc>
          <w:tcPr>
            <w:tcW w:w="1670" w:type="dxa"/>
            <w:shd w:val="clear" w:color="auto" w:fill="auto"/>
            <w:vAlign w:val="bottom"/>
            <w:hideMark/>
          </w:tcPr>
          <w:p w14:paraId="051CE649" w14:textId="4687775D" w:rsidR="008E7EEC" w:rsidRPr="00866299" w:rsidRDefault="00AD1E41" w:rsidP="00543265">
            <w:pPr>
              <w:pBdr>
                <w:bottom w:val="single" w:sz="4" w:space="0" w:color="000000"/>
              </w:pBdr>
              <w:bidi/>
              <w:spacing w:before="40"/>
              <w:ind w:left="57"/>
              <w:jc w:val="center"/>
              <w:rPr>
                <w:b/>
                <w:bCs/>
                <w:sz w:val="20"/>
              </w:rPr>
            </w:pPr>
            <w:r>
              <w:rPr>
                <w:b/>
                <w:bCs/>
                <w:color w:val="000000"/>
                <w:sz w:val="20"/>
              </w:rPr>
              <w:t>202</w:t>
            </w:r>
            <w:r w:rsidR="007958E3">
              <w:rPr>
                <w:b/>
                <w:bCs/>
                <w:color w:val="000000"/>
                <w:sz w:val="20"/>
              </w:rPr>
              <w:t>4</w:t>
            </w:r>
          </w:p>
        </w:tc>
        <w:tc>
          <w:tcPr>
            <w:tcW w:w="1670" w:type="dxa"/>
            <w:shd w:val="clear" w:color="auto" w:fill="auto"/>
            <w:vAlign w:val="bottom"/>
            <w:hideMark/>
          </w:tcPr>
          <w:p w14:paraId="40BB306C" w14:textId="5433A62E" w:rsidR="008E7EEC" w:rsidRPr="00866299" w:rsidRDefault="007958E3" w:rsidP="00543265">
            <w:pPr>
              <w:pBdr>
                <w:bottom w:val="single" w:sz="4" w:space="0" w:color="000000"/>
              </w:pBdr>
              <w:bidi/>
              <w:spacing w:before="40"/>
              <w:ind w:left="57"/>
              <w:jc w:val="center"/>
              <w:rPr>
                <w:b/>
                <w:bCs/>
                <w:sz w:val="20"/>
              </w:rPr>
            </w:pPr>
            <w:r>
              <w:rPr>
                <w:b/>
                <w:bCs/>
                <w:color w:val="000000"/>
                <w:sz w:val="20"/>
              </w:rPr>
              <w:t>2023</w:t>
            </w:r>
          </w:p>
        </w:tc>
      </w:tr>
      <w:tr w:rsidR="00252209" w:rsidRPr="00866299" w14:paraId="2B8156E8" w14:textId="77777777" w:rsidTr="005101BC">
        <w:trPr>
          <w:trHeight w:val="283"/>
        </w:trPr>
        <w:tc>
          <w:tcPr>
            <w:tcW w:w="4025" w:type="dxa"/>
            <w:shd w:val="clear" w:color="auto" w:fill="auto"/>
            <w:noWrap/>
            <w:vAlign w:val="bottom"/>
            <w:hideMark/>
          </w:tcPr>
          <w:p w14:paraId="19326163" w14:textId="75527895" w:rsidR="00252209" w:rsidRPr="00866299" w:rsidRDefault="00252209" w:rsidP="00252209">
            <w:pPr>
              <w:spacing w:before="40"/>
              <w:rPr>
                <w:sz w:val="22"/>
                <w:szCs w:val="22"/>
              </w:rPr>
            </w:pPr>
            <w:r w:rsidRPr="00866299">
              <w:rPr>
                <w:color w:val="000000"/>
                <w:sz w:val="22"/>
                <w:szCs w:val="22"/>
              </w:rPr>
              <w:t>Non-current trade and other receivable</w:t>
            </w:r>
            <w:r>
              <w:rPr>
                <w:color w:val="000000"/>
                <w:sz w:val="22"/>
                <w:szCs w:val="22"/>
              </w:rPr>
              <w:t>s</w:t>
            </w:r>
            <w:r w:rsidRPr="00866299">
              <w:rPr>
                <w:color w:val="000000"/>
                <w:sz w:val="22"/>
                <w:szCs w:val="22"/>
              </w:rPr>
              <w:t xml:space="preserve"> </w:t>
            </w:r>
          </w:p>
        </w:tc>
        <w:tc>
          <w:tcPr>
            <w:tcW w:w="1572" w:type="dxa"/>
            <w:shd w:val="clear" w:color="auto" w:fill="auto"/>
            <w:vAlign w:val="bottom"/>
            <w:hideMark/>
          </w:tcPr>
          <w:p w14:paraId="3CCED953" w14:textId="77777777" w:rsidR="00252209" w:rsidRPr="00FA26B4" w:rsidRDefault="00252209" w:rsidP="00252209">
            <w:pPr>
              <w:spacing w:before="40"/>
              <w:jc w:val="right"/>
              <w:rPr>
                <w:b/>
                <w:bCs/>
                <w:sz w:val="22"/>
                <w:szCs w:val="22"/>
              </w:rPr>
            </w:pPr>
          </w:p>
        </w:tc>
        <w:tc>
          <w:tcPr>
            <w:tcW w:w="1670" w:type="dxa"/>
            <w:shd w:val="clear" w:color="auto" w:fill="auto"/>
            <w:noWrap/>
          </w:tcPr>
          <w:p w14:paraId="66740E21" w14:textId="1A52CF8B" w:rsidR="00252209" w:rsidRPr="0069032C" w:rsidRDefault="00252209" w:rsidP="00252209">
            <w:pPr>
              <w:spacing w:before="40"/>
              <w:jc w:val="right"/>
              <w:rPr>
                <w:b/>
                <w:bCs/>
                <w:color w:val="000000"/>
                <w:sz w:val="22"/>
                <w:szCs w:val="22"/>
                <w:highlight w:val="yellow"/>
              </w:rPr>
            </w:pPr>
            <w:r w:rsidRPr="00B3631E">
              <w:t xml:space="preserve"> 45,514 </w:t>
            </w:r>
          </w:p>
        </w:tc>
        <w:tc>
          <w:tcPr>
            <w:tcW w:w="1670" w:type="dxa"/>
            <w:shd w:val="clear" w:color="auto" w:fill="auto"/>
            <w:noWrap/>
            <w:vAlign w:val="bottom"/>
          </w:tcPr>
          <w:p w14:paraId="0D4F050C" w14:textId="159BB74F" w:rsidR="00252209" w:rsidRPr="00543265" w:rsidRDefault="00252209" w:rsidP="00252209">
            <w:pPr>
              <w:spacing w:before="40"/>
              <w:jc w:val="right"/>
              <w:rPr>
                <w:sz w:val="22"/>
                <w:szCs w:val="22"/>
              </w:rPr>
            </w:pPr>
            <w:r>
              <w:rPr>
                <w:color w:val="000000"/>
                <w:sz w:val="22"/>
                <w:szCs w:val="22"/>
              </w:rPr>
              <w:t>119,156</w:t>
            </w:r>
          </w:p>
        </w:tc>
      </w:tr>
      <w:tr w:rsidR="00252209" w:rsidRPr="00866299" w14:paraId="4B401E8B" w14:textId="77777777" w:rsidTr="005101BC">
        <w:trPr>
          <w:trHeight w:val="283"/>
        </w:trPr>
        <w:tc>
          <w:tcPr>
            <w:tcW w:w="4025" w:type="dxa"/>
            <w:shd w:val="clear" w:color="auto" w:fill="auto"/>
            <w:noWrap/>
            <w:vAlign w:val="bottom"/>
            <w:hideMark/>
          </w:tcPr>
          <w:p w14:paraId="1BEFC8F1" w14:textId="5194EAEF" w:rsidR="00252209" w:rsidRPr="00866299" w:rsidRDefault="00252209" w:rsidP="00252209">
            <w:pPr>
              <w:spacing w:before="40"/>
              <w:rPr>
                <w:sz w:val="22"/>
                <w:szCs w:val="22"/>
              </w:rPr>
            </w:pPr>
            <w:r w:rsidRPr="00866299">
              <w:rPr>
                <w:color w:val="000000"/>
                <w:sz w:val="22"/>
                <w:szCs w:val="22"/>
              </w:rPr>
              <w:t>Loans to associate company</w:t>
            </w:r>
          </w:p>
        </w:tc>
        <w:tc>
          <w:tcPr>
            <w:tcW w:w="1572" w:type="dxa"/>
            <w:shd w:val="clear" w:color="auto" w:fill="auto"/>
            <w:noWrap/>
            <w:vAlign w:val="bottom"/>
            <w:hideMark/>
          </w:tcPr>
          <w:p w14:paraId="58FC840A" w14:textId="79FEDB0A" w:rsidR="00252209" w:rsidRPr="007715B5" w:rsidRDefault="00252209" w:rsidP="00252209">
            <w:pPr>
              <w:spacing w:before="40"/>
              <w:jc w:val="right"/>
              <w:rPr>
                <w:sz w:val="22"/>
                <w:szCs w:val="22"/>
              </w:rPr>
            </w:pPr>
            <w:r w:rsidRPr="007715B5">
              <w:rPr>
                <w:color w:val="000000"/>
                <w:sz w:val="22"/>
                <w:szCs w:val="22"/>
              </w:rPr>
              <w:t>4</w:t>
            </w:r>
          </w:p>
        </w:tc>
        <w:tc>
          <w:tcPr>
            <w:tcW w:w="1670" w:type="dxa"/>
            <w:shd w:val="clear" w:color="auto" w:fill="auto"/>
            <w:noWrap/>
          </w:tcPr>
          <w:p w14:paraId="6A626034" w14:textId="33D39F7F" w:rsidR="00252209" w:rsidRPr="0069032C" w:rsidRDefault="00252209" w:rsidP="00252209">
            <w:pPr>
              <w:spacing w:before="40"/>
              <w:jc w:val="right"/>
              <w:rPr>
                <w:b/>
                <w:bCs/>
                <w:color w:val="000000"/>
                <w:sz w:val="22"/>
                <w:szCs w:val="22"/>
                <w:highlight w:val="yellow"/>
              </w:rPr>
            </w:pPr>
            <w:r w:rsidRPr="00B3631E">
              <w:t xml:space="preserve"> 16,213 </w:t>
            </w:r>
          </w:p>
        </w:tc>
        <w:tc>
          <w:tcPr>
            <w:tcW w:w="1670" w:type="dxa"/>
            <w:shd w:val="clear" w:color="auto" w:fill="auto"/>
            <w:noWrap/>
            <w:vAlign w:val="bottom"/>
          </w:tcPr>
          <w:p w14:paraId="5B118C4C" w14:textId="0EEE347A" w:rsidR="00252209" w:rsidRPr="00543265" w:rsidRDefault="00252209" w:rsidP="00252209">
            <w:pPr>
              <w:spacing w:before="40"/>
              <w:jc w:val="right"/>
              <w:rPr>
                <w:sz w:val="22"/>
                <w:szCs w:val="22"/>
              </w:rPr>
            </w:pPr>
            <w:r>
              <w:rPr>
                <w:color w:val="000000"/>
                <w:sz w:val="22"/>
                <w:szCs w:val="22"/>
              </w:rPr>
              <w:t>11,998</w:t>
            </w:r>
          </w:p>
        </w:tc>
      </w:tr>
      <w:tr w:rsidR="00252209" w:rsidRPr="00866299" w14:paraId="34076439" w14:textId="77777777" w:rsidTr="005101BC">
        <w:trPr>
          <w:trHeight w:val="283"/>
        </w:trPr>
        <w:tc>
          <w:tcPr>
            <w:tcW w:w="4025" w:type="dxa"/>
            <w:shd w:val="clear" w:color="auto" w:fill="auto"/>
            <w:noWrap/>
            <w:vAlign w:val="bottom"/>
          </w:tcPr>
          <w:p w14:paraId="19AC91EB" w14:textId="2AC21255" w:rsidR="00252209" w:rsidRPr="00866299" w:rsidRDefault="00252209" w:rsidP="00252209">
            <w:pPr>
              <w:spacing w:before="40"/>
              <w:rPr>
                <w:color w:val="000000"/>
                <w:sz w:val="22"/>
                <w:szCs w:val="22"/>
              </w:rPr>
            </w:pPr>
            <w:r w:rsidRPr="009F3369">
              <w:rPr>
                <w:color w:val="000000"/>
                <w:sz w:val="22"/>
                <w:szCs w:val="22"/>
              </w:rPr>
              <w:t>Short term investments</w:t>
            </w:r>
          </w:p>
        </w:tc>
        <w:tc>
          <w:tcPr>
            <w:tcW w:w="1572" w:type="dxa"/>
            <w:shd w:val="clear" w:color="auto" w:fill="auto"/>
            <w:noWrap/>
            <w:vAlign w:val="bottom"/>
          </w:tcPr>
          <w:p w14:paraId="0C66AD0E" w14:textId="71B4A487" w:rsidR="00252209" w:rsidRPr="007715B5" w:rsidRDefault="00252209" w:rsidP="00252209">
            <w:pPr>
              <w:spacing w:before="40"/>
              <w:jc w:val="right"/>
              <w:rPr>
                <w:color w:val="000000"/>
                <w:sz w:val="22"/>
                <w:szCs w:val="22"/>
              </w:rPr>
            </w:pPr>
            <w:r w:rsidRPr="007715B5">
              <w:rPr>
                <w:color w:val="000000"/>
                <w:sz w:val="22"/>
                <w:szCs w:val="22"/>
              </w:rPr>
              <w:t>8</w:t>
            </w:r>
          </w:p>
        </w:tc>
        <w:tc>
          <w:tcPr>
            <w:tcW w:w="1670" w:type="dxa"/>
            <w:shd w:val="clear" w:color="auto" w:fill="auto"/>
            <w:noWrap/>
          </w:tcPr>
          <w:p w14:paraId="5A09ACE7" w14:textId="3B84CCDC" w:rsidR="00252209" w:rsidRPr="0069032C" w:rsidRDefault="00252209" w:rsidP="00252209">
            <w:pPr>
              <w:spacing w:before="40"/>
              <w:jc w:val="right"/>
              <w:rPr>
                <w:b/>
                <w:bCs/>
                <w:color w:val="000000"/>
                <w:sz w:val="22"/>
                <w:szCs w:val="22"/>
                <w:highlight w:val="yellow"/>
              </w:rPr>
            </w:pPr>
            <w:r w:rsidRPr="00B3631E">
              <w:t xml:space="preserve"> 19,950 </w:t>
            </w:r>
          </w:p>
        </w:tc>
        <w:tc>
          <w:tcPr>
            <w:tcW w:w="1670" w:type="dxa"/>
            <w:shd w:val="clear" w:color="auto" w:fill="auto"/>
            <w:noWrap/>
            <w:vAlign w:val="bottom"/>
          </w:tcPr>
          <w:p w14:paraId="403B0A50" w14:textId="735DE125" w:rsidR="00252209" w:rsidRPr="00543265" w:rsidRDefault="00252209" w:rsidP="00252209">
            <w:pPr>
              <w:spacing w:before="40"/>
              <w:jc w:val="right"/>
              <w:rPr>
                <w:color w:val="000000"/>
                <w:sz w:val="22"/>
                <w:szCs w:val="22"/>
              </w:rPr>
            </w:pPr>
            <w:r>
              <w:rPr>
                <w:color w:val="000000"/>
                <w:sz w:val="22"/>
                <w:szCs w:val="22"/>
              </w:rPr>
              <w:t>17,184</w:t>
            </w:r>
          </w:p>
        </w:tc>
      </w:tr>
      <w:tr w:rsidR="00252209" w:rsidRPr="00866299" w14:paraId="42FE2800" w14:textId="77777777" w:rsidTr="005101BC">
        <w:trPr>
          <w:trHeight w:val="283"/>
        </w:trPr>
        <w:tc>
          <w:tcPr>
            <w:tcW w:w="4025" w:type="dxa"/>
            <w:shd w:val="clear" w:color="auto" w:fill="auto"/>
            <w:noWrap/>
            <w:vAlign w:val="bottom"/>
            <w:hideMark/>
          </w:tcPr>
          <w:p w14:paraId="75E099A7" w14:textId="00682B47" w:rsidR="00252209" w:rsidRPr="00866299" w:rsidRDefault="00252209" w:rsidP="00252209">
            <w:pPr>
              <w:spacing w:before="40"/>
              <w:rPr>
                <w:sz w:val="22"/>
                <w:szCs w:val="22"/>
              </w:rPr>
            </w:pPr>
            <w:r w:rsidRPr="00866299">
              <w:rPr>
                <w:color w:val="000000"/>
                <w:sz w:val="22"/>
                <w:szCs w:val="22"/>
              </w:rPr>
              <w:t>Current trade and other receivable</w:t>
            </w:r>
            <w:r>
              <w:rPr>
                <w:color w:val="000000"/>
                <w:sz w:val="22"/>
                <w:szCs w:val="22"/>
              </w:rPr>
              <w:t>s</w:t>
            </w:r>
          </w:p>
        </w:tc>
        <w:tc>
          <w:tcPr>
            <w:tcW w:w="1572" w:type="dxa"/>
            <w:shd w:val="clear" w:color="auto" w:fill="auto"/>
            <w:noWrap/>
            <w:vAlign w:val="bottom"/>
            <w:hideMark/>
          </w:tcPr>
          <w:p w14:paraId="44738FBB" w14:textId="4125FC41" w:rsidR="00252209" w:rsidRPr="007715B5" w:rsidRDefault="00252209" w:rsidP="00252209">
            <w:pPr>
              <w:spacing w:before="40"/>
              <w:jc w:val="right"/>
              <w:rPr>
                <w:sz w:val="22"/>
                <w:szCs w:val="22"/>
              </w:rPr>
            </w:pPr>
            <w:r w:rsidRPr="007715B5">
              <w:rPr>
                <w:color w:val="000000"/>
                <w:sz w:val="22"/>
                <w:szCs w:val="22"/>
              </w:rPr>
              <w:t>9</w:t>
            </w:r>
          </w:p>
        </w:tc>
        <w:tc>
          <w:tcPr>
            <w:tcW w:w="1670" w:type="dxa"/>
            <w:shd w:val="clear" w:color="auto" w:fill="auto"/>
            <w:noWrap/>
          </w:tcPr>
          <w:p w14:paraId="205DE0B6" w14:textId="42A698A6" w:rsidR="00252209" w:rsidRPr="0069032C" w:rsidRDefault="00252209" w:rsidP="00252209">
            <w:pPr>
              <w:spacing w:before="40"/>
              <w:jc w:val="right"/>
              <w:rPr>
                <w:b/>
                <w:bCs/>
                <w:color w:val="000000"/>
                <w:sz w:val="22"/>
                <w:szCs w:val="22"/>
                <w:highlight w:val="yellow"/>
              </w:rPr>
            </w:pPr>
            <w:r w:rsidRPr="00B3631E">
              <w:t xml:space="preserve"> 57,277 </w:t>
            </w:r>
          </w:p>
        </w:tc>
        <w:tc>
          <w:tcPr>
            <w:tcW w:w="1670" w:type="dxa"/>
            <w:shd w:val="clear" w:color="auto" w:fill="auto"/>
            <w:noWrap/>
            <w:vAlign w:val="bottom"/>
          </w:tcPr>
          <w:p w14:paraId="4C826F8C" w14:textId="72C72596" w:rsidR="00252209" w:rsidRPr="00543265" w:rsidRDefault="00252209" w:rsidP="00252209">
            <w:pPr>
              <w:spacing w:before="40"/>
              <w:jc w:val="right"/>
              <w:rPr>
                <w:sz w:val="22"/>
                <w:szCs w:val="22"/>
              </w:rPr>
            </w:pPr>
            <w:r>
              <w:rPr>
                <w:color w:val="000000"/>
                <w:sz w:val="22"/>
                <w:szCs w:val="22"/>
              </w:rPr>
              <w:t>92,391</w:t>
            </w:r>
          </w:p>
        </w:tc>
      </w:tr>
      <w:tr w:rsidR="00252209" w:rsidRPr="00866299" w14:paraId="18113559" w14:textId="77777777" w:rsidTr="005101BC">
        <w:trPr>
          <w:trHeight w:val="283"/>
        </w:trPr>
        <w:tc>
          <w:tcPr>
            <w:tcW w:w="4025" w:type="dxa"/>
            <w:shd w:val="clear" w:color="auto" w:fill="auto"/>
            <w:noWrap/>
            <w:vAlign w:val="bottom"/>
            <w:hideMark/>
          </w:tcPr>
          <w:p w14:paraId="2B514F2F" w14:textId="77777777" w:rsidR="00252209" w:rsidRPr="00866299" w:rsidRDefault="00252209" w:rsidP="00252209">
            <w:pPr>
              <w:spacing w:before="40"/>
              <w:rPr>
                <w:sz w:val="22"/>
                <w:szCs w:val="22"/>
              </w:rPr>
            </w:pPr>
            <w:r w:rsidRPr="00866299">
              <w:rPr>
                <w:color w:val="000000"/>
                <w:sz w:val="22"/>
                <w:szCs w:val="22"/>
              </w:rPr>
              <w:t>Cash and cash equivalents</w:t>
            </w:r>
          </w:p>
        </w:tc>
        <w:tc>
          <w:tcPr>
            <w:tcW w:w="1572" w:type="dxa"/>
            <w:shd w:val="clear" w:color="auto" w:fill="auto"/>
            <w:noWrap/>
            <w:vAlign w:val="bottom"/>
            <w:hideMark/>
          </w:tcPr>
          <w:p w14:paraId="695786FA" w14:textId="694B198F" w:rsidR="00252209" w:rsidRPr="007715B5" w:rsidRDefault="00252209" w:rsidP="00252209">
            <w:pPr>
              <w:spacing w:before="40"/>
              <w:jc w:val="right"/>
              <w:rPr>
                <w:sz w:val="22"/>
                <w:szCs w:val="22"/>
              </w:rPr>
            </w:pPr>
            <w:r w:rsidRPr="007715B5">
              <w:rPr>
                <w:color w:val="000000"/>
                <w:sz w:val="22"/>
                <w:szCs w:val="22"/>
              </w:rPr>
              <w:t>10</w:t>
            </w:r>
          </w:p>
        </w:tc>
        <w:tc>
          <w:tcPr>
            <w:tcW w:w="1670" w:type="dxa"/>
            <w:shd w:val="clear" w:color="auto" w:fill="auto"/>
            <w:noWrap/>
          </w:tcPr>
          <w:p w14:paraId="5DE21AE8" w14:textId="4C3A492F" w:rsidR="00252209" w:rsidRPr="0069032C" w:rsidRDefault="00252209" w:rsidP="00252209">
            <w:pPr>
              <w:pBdr>
                <w:bottom w:val="single" w:sz="4" w:space="0" w:color="000000"/>
              </w:pBdr>
              <w:spacing w:before="40"/>
              <w:jc w:val="right"/>
              <w:rPr>
                <w:b/>
                <w:bCs/>
                <w:color w:val="000000"/>
                <w:sz w:val="22"/>
                <w:szCs w:val="22"/>
                <w:highlight w:val="yellow"/>
              </w:rPr>
            </w:pPr>
            <w:r w:rsidRPr="00B3631E">
              <w:t xml:space="preserve"> 104,068 </w:t>
            </w:r>
          </w:p>
        </w:tc>
        <w:tc>
          <w:tcPr>
            <w:tcW w:w="1670" w:type="dxa"/>
            <w:shd w:val="clear" w:color="auto" w:fill="auto"/>
            <w:noWrap/>
            <w:vAlign w:val="bottom"/>
          </w:tcPr>
          <w:p w14:paraId="462F1A4F" w14:textId="7A60E295" w:rsidR="00252209" w:rsidRPr="00543265" w:rsidRDefault="00252209" w:rsidP="00252209">
            <w:pPr>
              <w:pBdr>
                <w:bottom w:val="single" w:sz="4" w:space="0" w:color="000000"/>
              </w:pBdr>
              <w:spacing w:before="40"/>
              <w:jc w:val="right"/>
              <w:rPr>
                <w:sz w:val="22"/>
                <w:szCs w:val="22"/>
              </w:rPr>
            </w:pPr>
            <w:r>
              <w:rPr>
                <w:color w:val="000000"/>
                <w:sz w:val="22"/>
                <w:szCs w:val="22"/>
              </w:rPr>
              <w:t>82,818</w:t>
            </w:r>
          </w:p>
        </w:tc>
      </w:tr>
      <w:tr w:rsidR="00252209" w:rsidRPr="00866299" w14:paraId="3AA8C027" w14:textId="77777777" w:rsidTr="005101BC">
        <w:trPr>
          <w:trHeight w:val="283"/>
        </w:trPr>
        <w:tc>
          <w:tcPr>
            <w:tcW w:w="4025" w:type="dxa"/>
            <w:shd w:val="clear" w:color="auto" w:fill="auto"/>
            <w:noWrap/>
            <w:vAlign w:val="bottom"/>
            <w:hideMark/>
          </w:tcPr>
          <w:p w14:paraId="67385957" w14:textId="77777777" w:rsidR="00252209" w:rsidRPr="00866299" w:rsidRDefault="00252209" w:rsidP="00252209">
            <w:pPr>
              <w:spacing w:before="40"/>
              <w:rPr>
                <w:rFonts w:ascii="Arial" w:eastAsia="Arial" w:hAnsi="Arial" w:cs="Arial"/>
                <w:sz w:val="22"/>
                <w:szCs w:val="22"/>
              </w:rPr>
            </w:pPr>
          </w:p>
        </w:tc>
        <w:tc>
          <w:tcPr>
            <w:tcW w:w="1572" w:type="dxa"/>
            <w:shd w:val="clear" w:color="auto" w:fill="auto"/>
            <w:noWrap/>
            <w:vAlign w:val="bottom"/>
            <w:hideMark/>
          </w:tcPr>
          <w:p w14:paraId="77C85FC7" w14:textId="77777777" w:rsidR="00252209" w:rsidRPr="00866299" w:rsidRDefault="00252209" w:rsidP="00252209">
            <w:pPr>
              <w:spacing w:before="40"/>
              <w:rPr>
                <w:rFonts w:ascii="Arial" w:eastAsia="Arial" w:hAnsi="Arial" w:cs="Arial"/>
                <w:sz w:val="22"/>
                <w:szCs w:val="22"/>
              </w:rPr>
            </w:pPr>
          </w:p>
        </w:tc>
        <w:tc>
          <w:tcPr>
            <w:tcW w:w="1670" w:type="dxa"/>
            <w:shd w:val="clear" w:color="auto" w:fill="auto"/>
            <w:noWrap/>
          </w:tcPr>
          <w:p w14:paraId="5D0F5B30" w14:textId="3C3ADB14" w:rsidR="00252209" w:rsidRPr="0069032C" w:rsidRDefault="00252209" w:rsidP="00252209">
            <w:pPr>
              <w:pBdr>
                <w:bottom w:val="double" w:sz="4" w:space="0" w:color="000000"/>
              </w:pBdr>
              <w:spacing w:before="40"/>
              <w:jc w:val="right"/>
              <w:rPr>
                <w:b/>
                <w:bCs/>
                <w:color w:val="000000"/>
                <w:sz w:val="22"/>
                <w:szCs w:val="22"/>
                <w:highlight w:val="yellow"/>
              </w:rPr>
            </w:pPr>
            <w:r w:rsidRPr="00B3631E">
              <w:t xml:space="preserve"> 243,022 </w:t>
            </w:r>
          </w:p>
        </w:tc>
        <w:tc>
          <w:tcPr>
            <w:tcW w:w="1670" w:type="dxa"/>
            <w:shd w:val="clear" w:color="auto" w:fill="auto"/>
            <w:noWrap/>
            <w:vAlign w:val="bottom"/>
          </w:tcPr>
          <w:p w14:paraId="312A310E" w14:textId="6D41C801" w:rsidR="00252209" w:rsidRPr="00543265" w:rsidRDefault="00252209" w:rsidP="00252209">
            <w:pPr>
              <w:pBdr>
                <w:bottom w:val="double" w:sz="4" w:space="0" w:color="000000"/>
              </w:pBdr>
              <w:spacing w:before="40"/>
              <w:jc w:val="right"/>
              <w:rPr>
                <w:sz w:val="22"/>
                <w:szCs w:val="22"/>
              </w:rPr>
            </w:pPr>
            <w:r>
              <w:rPr>
                <w:color w:val="000000"/>
                <w:sz w:val="22"/>
                <w:szCs w:val="22"/>
              </w:rPr>
              <w:t>323,547</w:t>
            </w:r>
          </w:p>
        </w:tc>
      </w:tr>
    </w:tbl>
    <w:p w14:paraId="16ED33E7" w14:textId="77777777" w:rsidR="00DC62D7" w:rsidRDefault="00DC62D7" w:rsidP="004338D1">
      <w:pPr>
        <w:rPr>
          <w:b/>
          <w:bCs/>
          <w:sz w:val="26"/>
          <w:szCs w:val="26"/>
        </w:rPr>
      </w:pPr>
    </w:p>
    <w:p w14:paraId="32E58EAE" w14:textId="13233F7F" w:rsidR="00543265" w:rsidRDefault="00543265">
      <w:pPr>
        <w:rPr>
          <w:b/>
          <w:bCs/>
          <w:sz w:val="26"/>
          <w:szCs w:val="26"/>
        </w:rPr>
      </w:pPr>
      <w:r>
        <w:rPr>
          <w:b/>
          <w:bCs/>
          <w:sz w:val="26"/>
          <w:szCs w:val="26"/>
        </w:rPr>
        <w:br w:type="page"/>
      </w:r>
    </w:p>
    <w:p w14:paraId="4A384038" w14:textId="77777777" w:rsidR="00543265" w:rsidRPr="00543265" w:rsidRDefault="00543265" w:rsidP="004338D1">
      <w:pPr>
        <w:rPr>
          <w:b/>
          <w:bCs/>
          <w:sz w:val="22"/>
          <w:szCs w:val="22"/>
        </w:rPr>
      </w:pPr>
    </w:p>
    <w:p w14:paraId="03986954" w14:textId="77777777" w:rsidR="00543265" w:rsidRPr="00543265" w:rsidRDefault="00543265" w:rsidP="00543265">
      <w:pPr>
        <w:jc w:val="both"/>
        <w:rPr>
          <w:b/>
          <w:bCs/>
          <w:sz w:val="22"/>
          <w:szCs w:val="22"/>
        </w:rPr>
      </w:pPr>
      <w:r w:rsidRPr="00543265">
        <w:rPr>
          <w:b/>
          <w:bCs/>
          <w:sz w:val="22"/>
          <w:szCs w:val="22"/>
        </w:rPr>
        <w:t>Note 21 - Financial Instruments (cont’d)</w:t>
      </w:r>
    </w:p>
    <w:p w14:paraId="190C2FF4" w14:textId="77777777" w:rsidR="00543265" w:rsidRPr="00543265" w:rsidRDefault="00543265" w:rsidP="004338D1">
      <w:pPr>
        <w:rPr>
          <w:b/>
          <w:bCs/>
          <w:sz w:val="22"/>
          <w:szCs w:val="22"/>
        </w:rPr>
      </w:pPr>
    </w:p>
    <w:p w14:paraId="27A613D7" w14:textId="77777777" w:rsidR="00C35D07" w:rsidRPr="00F02921" w:rsidRDefault="00C35D07" w:rsidP="004A3C21">
      <w:pPr>
        <w:ind w:left="720"/>
        <w:jc w:val="both"/>
        <w:rPr>
          <w:sz w:val="22"/>
          <w:szCs w:val="22"/>
          <w:u w:val="single"/>
        </w:rPr>
      </w:pPr>
      <w:r w:rsidRPr="00F02921">
        <w:rPr>
          <w:sz w:val="22"/>
          <w:szCs w:val="22"/>
          <w:u w:val="single"/>
        </w:rPr>
        <w:t>Allowance for doubtful debts</w:t>
      </w:r>
    </w:p>
    <w:p w14:paraId="2953E04B" w14:textId="77777777" w:rsidR="00C35D07" w:rsidRPr="00F02921" w:rsidRDefault="00C35D07" w:rsidP="004A3C21">
      <w:pPr>
        <w:ind w:left="720"/>
        <w:jc w:val="both"/>
        <w:rPr>
          <w:sz w:val="22"/>
          <w:szCs w:val="22"/>
        </w:rPr>
      </w:pPr>
    </w:p>
    <w:p w14:paraId="11D07823" w14:textId="77777777" w:rsidR="00C35D07" w:rsidRPr="00F02921" w:rsidRDefault="00C35D07" w:rsidP="004A3C21">
      <w:pPr>
        <w:ind w:left="720"/>
        <w:jc w:val="both"/>
        <w:rPr>
          <w:sz w:val="22"/>
          <w:szCs w:val="22"/>
        </w:rPr>
      </w:pPr>
      <w:r w:rsidRPr="00F02921">
        <w:rPr>
          <w:sz w:val="22"/>
          <w:szCs w:val="22"/>
        </w:rPr>
        <w:t>The aging of trade receivables due from tenants at the balance sheet date was:</w:t>
      </w:r>
    </w:p>
    <w:p w14:paraId="059D96DB" w14:textId="77777777" w:rsidR="00C35D07" w:rsidRPr="00F02921" w:rsidRDefault="00C35D07" w:rsidP="004A3C21">
      <w:pPr>
        <w:ind w:left="720"/>
        <w:jc w:val="both"/>
        <w:rPr>
          <w:rStyle w:val="Koteret"/>
          <w:b w:val="0"/>
          <w:bCs/>
          <w:i/>
          <w:iCs/>
          <w:sz w:val="10"/>
          <w:szCs w:val="10"/>
          <w:rtl/>
          <w:lang w:bidi="he-IL"/>
        </w:rPr>
      </w:pPr>
    </w:p>
    <w:p w14:paraId="09B1159F" w14:textId="77777777" w:rsidR="00C35D07" w:rsidRPr="00F02921" w:rsidRDefault="00C35D07" w:rsidP="004A3C21">
      <w:pPr>
        <w:ind w:left="720"/>
        <w:jc w:val="both"/>
        <w:rPr>
          <w:rStyle w:val="Koteret"/>
          <w:b w:val="0"/>
          <w:bCs/>
          <w:i/>
          <w:iCs/>
          <w:rtl/>
          <w:lang w:bidi="he-IL"/>
        </w:rPr>
      </w:pPr>
      <w:r w:rsidRPr="00F02921">
        <w:rPr>
          <w:rStyle w:val="Koteret"/>
          <w:b w:val="0"/>
          <w:bCs/>
          <w:i/>
          <w:iCs/>
        </w:rPr>
        <w:t>In thousands of Euros</w:t>
      </w:r>
    </w:p>
    <w:tbl>
      <w:tblPr>
        <w:tblW w:w="8364" w:type="dxa"/>
        <w:tblInd w:w="675" w:type="dxa"/>
        <w:tblLook w:val="06A0" w:firstRow="1" w:lastRow="0" w:firstColumn="1" w:lastColumn="0" w:noHBand="1" w:noVBand="1"/>
        <w:tblCaption w:val="AHR01"/>
        <w:tblDescription w:val="Allowance for doubtful debts"/>
      </w:tblPr>
      <w:tblGrid>
        <w:gridCol w:w="2920"/>
        <w:gridCol w:w="1361"/>
        <w:gridCol w:w="1361"/>
        <w:gridCol w:w="1361"/>
        <w:gridCol w:w="1361"/>
      </w:tblGrid>
      <w:tr w:rsidR="001E2335" w14:paraId="6C5DAA60" w14:textId="77777777" w:rsidTr="005101BC">
        <w:trPr>
          <w:cantSplit/>
          <w:trHeight w:val="566"/>
          <w:tblHeader/>
        </w:trPr>
        <w:tc>
          <w:tcPr>
            <w:tcW w:w="2920" w:type="dxa"/>
            <w:shd w:val="clear" w:color="auto" w:fill="auto"/>
            <w:noWrap/>
            <w:vAlign w:val="bottom"/>
            <w:hideMark/>
          </w:tcPr>
          <w:p w14:paraId="699721DE" w14:textId="77777777" w:rsidR="001E2335" w:rsidRPr="00866299" w:rsidRDefault="001E2335" w:rsidP="001660A5">
            <w:pPr>
              <w:spacing w:before="40"/>
              <w:rPr>
                <w:rFonts w:ascii="Arial" w:eastAsia="Arial" w:hAnsi="Arial" w:cs="Arial"/>
                <w:sz w:val="20"/>
              </w:rPr>
            </w:pPr>
            <w:bookmarkStart w:id="196" w:name="Title_50" w:colFirst="0" w:colLast="0"/>
          </w:p>
        </w:tc>
        <w:tc>
          <w:tcPr>
            <w:tcW w:w="1361" w:type="dxa"/>
            <w:shd w:val="clear" w:color="auto" w:fill="auto"/>
            <w:vAlign w:val="bottom"/>
            <w:hideMark/>
          </w:tcPr>
          <w:p w14:paraId="45F232E8" w14:textId="77777777" w:rsidR="001E2335" w:rsidRPr="00866299" w:rsidRDefault="001E2335" w:rsidP="00543265">
            <w:pPr>
              <w:spacing w:before="40"/>
              <w:jc w:val="center"/>
              <w:rPr>
                <w:b/>
                <w:bCs/>
                <w:sz w:val="20"/>
              </w:rPr>
            </w:pPr>
            <w:r w:rsidRPr="00866299">
              <w:rPr>
                <w:b/>
                <w:bCs/>
                <w:color w:val="000000"/>
                <w:sz w:val="20"/>
              </w:rPr>
              <w:t>Gross</w:t>
            </w:r>
          </w:p>
          <w:p w14:paraId="65FB28D3" w14:textId="7203F7A1" w:rsidR="001E2335" w:rsidRPr="00866299" w:rsidRDefault="00AD1E41" w:rsidP="00543265">
            <w:pPr>
              <w:pBdr>
                <w:bottom w:val="single" w:sz="4" w:space="0" w:color="000000"/>
              </w:pBdr>
              <w:bidi/>
              <w:spacing w:before="40"/>
              <w:ind w:left="57"/>
              <w:jc w:val="center"/>
              <w:rPr>
                <w:b/>
                <w:bCs/>
                <w:sz w:val="20"/>
              </w:rPr>
            </w:pPr>
            <w:r>
              <w:rPr>
                <w:b/>
                <w:bCs/>
                <w:color w:val="000000"/>
                <w:sz w:val="20"/>
              </w:rPr>
              <w:t>202</w:t>
            </w:r>
            <w:r w:rsidR="007958E3">
              <w:rPr>
                <w:b/>
                <w:bCs/>
                <w:color w:val="000000"/>
                <w:sz w:val="20"/>
              </w:rPr>
              <w:t>4</w:t>
            </w:r>
          </w:p>
        </w:tc>
        <w:tc>
          <w:tcPr>
            <w:tcW w:w="1361" w:type="dxa"/>
            <w:shd w:val="clear" w:color="auto" w:fill="auto"/>
            <w:vAlign w:val="bottom"/>
            <w:hideMark/>
          </w:tcPr>
          <w:p w14:paraId="674C1773" w14:textId="77777777" w:rsidR="001E2335" w:rsidRPr="00866299" w:rsidRDefault="001E2335" w:rsidP="00543265">
            <w:pPr>
              <w:spacing w:before="40"/>
              <w:jc w:val="center"/>
              <w:rPr>
                <w:b/>
                <w:bCs/>
                <w:sz w:val="20"/>
              </w:rPr>
            </w:pPr>
            <w:r w:rsidRPr="00866299">
              <w:rPr>
                <w:b/>
                <w:bCs/>
                <w:color w:val="000000"/>
                <w:sz w:val="20"/>
              </w:rPr>
              <w:t>Impairment</w:t>
            </w:r>
          </w:p>
          <w:p w14:paraId="6F5A050F" w14:textId="34A29538" w:rsidR="001E2335" w:rsidRPr="00866299" w:rsidRDefault="00AD1E41" w:rsidP="00543265">
            <w:pPr>
              <w:pBdr>
                <w:bottom w:val="single" w:sz="4" w:space="0" w:color="000000"/>
              </w:pBdr>
              <w:bidi/>
              <w:spacing w:before="40"/>
              <w:ind w:left="57"/>
              <w:jc w:val="center"/>
              <w:rPr>
                <w:b/>
                <w:bCs/>
                <w:sz w:val="20"/>
              </w:rPr>
            </w:pPr>
            <w:r>
              <w:rPr>
                <w:b/>
                <w:bCs/>
                <w:color w:val="000000"/>
                <w:sz w:val="20"/>
              </w:rPr>
              <w:t>202</w:t>
            </w:r>
            <w:r w:rsidR="007958E3">
              <w:rPr>
                <w:b/>
                <w:bCs/>
                <w:color w:val="000000"/>
                <w:sz w:val="20"/>
              </w:rPr>
              <w:t>4</w:t>
            </w:r>
          </w:p>
        </w:tc>
        <w:tc>
          <w:tcPr>
            <w:tcW w:w="1361" w:type="dxa"/>
            <w:vAlign w:val="bottom"/>
          </w:tcPr>
          <w:p w14:paraId="19721A09" w14:textId="77777777" w:rsidR="001E2335" w:rsidRPr="00866299" w:rsidRDefault="001E2335" w:rsidP="00543265">
            <w:pPr>
              <w:spacing w:before="40"/>
              <w:jc w:val="center"/>
              <w:rPr>
                <w:b/>
                <w:bCs/>
                <w:color w:val="000000"/>
                <w:sz w:val="20"/>
              </w:rPr>
            </w:pPr>
            <w:r w:rsidRPr="00866299">
              <w:rPr>
                <w:b/>
                <w:bCs/>
                <w:color w:val="000000"/>
                <w:sz w:val="20"/>
              </w:rPr>
              <w:t>Gross</w:t>
            </w:r>
          </w:p>
          <w:p w14:paraId="57ED7607" w14:textId="20007BBD" w:rsidR="001E2335" w:rsidRPr="00866299" w:rsidRDefault="00AD1E41" w:rsidP="00543265">
            <w:pPr>
              <w:pBdr>
                <w:bottom w:val="single" w:sz="4" w:space="0" w:color="000000"/>
              </w:pBdr>
              <w:bidi/>
              <w:spacing w:before="40"/>
              <w:ind w:left="57"/>
              <w:jc w:val="center"/>
              <w:rPr>
                <w:b/>
                <w:bCs/>
                <w:color w:val="000000"/>
                <w:sz w:val="20"/>
              </w:rPr>
            </w:pPr>
            <w:r>
              <w:rPr>
                <w:b/>
                <w:bCs/>
                <w:color w:val="000000"/>
                <w:sz w:val="20"/>
              </w:rPr>
              <w:t>202</w:t>
            </w:r>
            <w:r w:rsidR="007958E3">
              <w:rPr>
                <w:b/>
                <w:bCs/>
                <w:color w:val="000000"/>
                <w:sz w:val="20"/>
              </w:rPr>
              <w:t>3</w:t>
            </w:r>
          </w:p>
        </w:tc>
        <w:tc>
          <w:tcPr>
            <w:tcW w:w="1361" w:type="dxa"/>
            <w:vAlign w:val="bottom"/>
          </w:tcPr>
          <w:p w14:paraId="52BC4562" w14:textId="77777777" w:rsidR="001E2335" w:rsidRPr="00866299" w:rsidRDefault="001E2335" w:rsidP="00543265">
            <w:pPr>
              <w:spacing w:before="40"/>
              <w:jc w:val="center"/>
              <w:rPr>
                <w:b/>
                <w:bCs/>
                <w:color w:val="000000"/>
                <w:sz w:val="20"/>
              </w:rPr>
            </w:pPr>
            <w:r w:rsidRPr="00866299">
              <w:rPr>
                <w:b/>
                <w:bCs/>
                <w:color w:val="000000"/>
                <w:sz w:val="20"/>
              </w:rPr>
              <w:t>Impairment</w:t>
            </w:r>
          </w:p>
          <w:p w14:paraId="4BD5BEC3" w14:textId="53D585CE" w:rsidR="001E2335" w:rsidRPr="00866299" w:rsidRDefault="00AD1E41" w:rsidP="00543265">
            <w:pPr>
              <w:pBdr>
                <w:bottom w:val="single" w:sz="4" w:space="0" w:color="000000"/>
              </w:pBdr>
              <w:bidi/>
              <w:spacing w:before="40"/>
              <w:ind w:left="57"/>
              <w:jc w:val="center"/>
              <w:rPr>
                <w:b/>
                <w:bCs/>
                <w:color w:val="000000"/>
                <w:sz w:val="20"/>
              </w:rPr>
            </w:pPr>
            <w:r>
              <w:rPr>
                <w:b/>
                <w:bCs/>
                <w:color w:val="000000"/>
                <w:sz w:val="20"/>
              </w:rPr>
              <w:t>202</w:t>
            </w:r>
            <w:r w:rsidR="007958E3">
              <w:rPr>
                <w:b/>
                <w:bCs/>
                <w:color w:val="000000"/>
                <w:sz w:val="20"/>
              </w:rPr>
              <w:t>3</w:t>
            </w:r>
          </w:p>
        </w:tc>
      </w:tr>
      <w:bookmarkEnd w:id="196"/>
      <w:tr w:rsidR="00B255F7" w14:paraId="16B1F62C" w14:textId="77777777" w:rsidTr="005101BC">
        <w:trPr>
          <w:trHeight w:val="283"/>
        </w:trPr>
        <w:tc>
          <w:tcPr>
            <w:tcW w:w="2920" w:type="dxa"/>
            <w:shd w:val="clear" w:color="auto" w:fill="auto"/>
            <w:vAlign w:val="bottom"/>
            <w:hideMark/>
          </w:tcPr>
          <w:p w14:paraId="1F4A6680" w14:textId="77777777" w:rsidR="00B255F7" w:rsidRDefault="00B255F7" w:rsidP="00B255F7">
            <w:pPr>
              <w:spacing w:before="40"/>
              <w:rPr>
                <w:sz w:val="22"/>
              </w:rPr>
            </w:pPr>
            <w:r>
              <w:rPr>
                <w:color w:val="000000"/>
                <w:sz w:val="22"/>
                <w:szCs w:val="22"/>
              </w:rPr>
              <w:t>Not past due</w:t>
            </w:r>
          </w:p>
        </w:tc>
        <w:tc>
          <w:tcPr>
            <w:tcW w:w="1361" w:type="dxa"/>
            <w:shd w:val="clear" w:color="auto" w:fill="auto"/>
            <w:noWrap/>
            <w:vAlign w:val="bottom"/>
          </w:tcPr>
          <w:p w14:paraId="044B125F" w14:textId="3B0A56BC" w:rsidR="00B255F7" w:rsidRPr="00026504" w:rsidRDefault="00B255F7" w:rsidP="00026504">
            <w:pPr>
              <w:spacing w:before="40"/>
              <w:jc w:val="right"/>
              <w:rPr>
                <w:b/>
                <w:bCs/>
                <w:sz w:val="22"/>
                <w:szCs w:val="22"/>
                <w:highlight w:val="yellow"/>
              </w:rPr>
            </w:pPr>
            <w:r w:rsidRPr="00026504">
              <w:rPr>
                <w:sz w:val="22"/>
                <w:szCs w:val="22"/>
              </w:rPr>
              <w:t>14,288</w:t>
            </w:r>
          </w:p>
        </w:tc>
        <w:tc>
          <w:tcPr>
            <w:tcW w:w="1361" w:type="dxa"/>
            <w:shd w:val="clear" w:color="auto" w:fill="auto"/>
            <w:noWrap/>
            <w:vAlign w:val="bottom"/>
          </w:tcPr>
          <w:p w14:paraId="4F0C8022" w14:textId="37C63563" w:rsidR="00B255F7" w:rsidRPr="00026504" w:rsidRDefault="00B255F7" w:rsidP="00026504">
            <w:pPr>
              <w:spacing w:before="40"/>
              <w:jc w:val="right"/>
              <w:rPr>
                <w:b/>
                <w:bCs/>
                <w:sz w:val="22"/>
                <w:szCs w:val="22"/>
                <w:highlight w:val="yellow"/>
              </w:rPr>
            </w:pPr>
            <w:r w:rsidRPr="00026504">
              <w:rPr>
                <w:sz w:val="22"/>
                <w:szCs w:val="22"/>
              </w:rPr>
              <w:t>-</w:t>
            </w:r>
          </w:p>
        </w:tc>
        <w:tc>
          <w:tcPr>
            <w:tcW w:w="1361" w:type="dxa"/>
            <w:shd w:val="clear" w:color="auto" w:fill="auto"/>
            <w:vAlign w:val="bottom"/>
          </w:tcPr>
          <w:p w14:paraId="352121C0" w14:textId="7655AF94" w:rsidR="00B255F7" w:rsidRPr="00026504" w:rsidRDefault="00B255F7" w:rsidP="00026504">
            <w:pPr>
              <w:spacing w:before="40"/>
              <w:jc w:val="right"/>
              <w:rPr>
                <w:sz w:val="22"/>
                <w:szCs w:val="22"/>
              </w:rPr>
            </w:pPr>
            <w:r w:rsidRPr="00026504">
              <w:rPr>
                <w:sz w:val="22"/>
                <w:szCs w:val="22"/>
              </w:rPr>
              <w:t>9,665</w:t>
            </w:r>
          </w:p>
        </w:tc>
        <w:tc>
          <w:tcPr>
            <w:tcW w:w="1361" w:type="dxa"/>
            <w:shd w:val="clear" w:color="auto" w:fill="auto"/>
            <w:vAlign w:val="bottom"/>
          </w:tcPr>
          <w:p w14:paraId="53188A3B" w14:textId="69B99784" w:rsidR="00B255F7" w:rsidRPr="00026504" w:rsidRDefault="00B255F7" w:rsidP="00026504">
            <w:pPr>
              <w:spacing w:before="40"/>
              <w:jc w:val="right"/>
              <w:rPr>
                <w:sz w:val="22"/>
                <w:szCs w:val="22"/>
              </w:rPr>
            </w:pPr>
            <w:r w:rsidRPr="00026504">
              <w:rPr>
                <w:sz w:val="22"/>
                <w:szCs w:val="22"/>
              </w:rPr>
              <w:t>-</w:t>
            </w:r>
          </w:p>
        </w:tc>
      </w:tr>
      <w:tr w:rsidR="00B255F7" w14:paraId="3CB05BF0" w14:textId="77777777" w:rsidTr="005101BC">
        <w:trPr>
          <w:trHeight w:val="283"/>
        </w:trPr>
        <w:tc>
          <w:tcPr>
            <w:tcW w:w="2920" w:type="dxa"/>
            <w:shd w:val="clear" w:color="auto" w:fill="auto"/>
            <w:vAlign w:val="bottom"/>
            <w:hideMark/>
          </w:tcPr>
          <w:p w14:paraId="443DAD82" w14:textId="77777777" w:rsidR="00B255F7" w:rsidRDefault="00B255F7" w:rsidP="00B255F7">
            <w:pPr>
              <w:spacing w:before="40"/>
              <w:rPr>
                <w:sz w:val="22"/>
              </w:rPr>
            </w:pPr>
            <w:r>
              <w:rPr>
                <w:color w:val="000000"/>
                <w:sz w:val="22"/>
                <w:szCs w:val="22"/>
              </w:rPr>
              <w:t>Past due 0-30 days</w:t>
            </w:r>
          </w:p>
        </w:tc>
        <w:tc>
          <w:tcPr>
            <w:tcW w:w="1361" w:type="dxa"/>
            <w:shd w:val="clear" w:color="auto" w:fill="auto"/>
            <w:noWrap/>
            <w:vAlign w:val="bottom"/>
          </w:tcPr>
          <w:p w14:paraId="0D361E8F" w14:textId="383D3FCE" w:rsidR="00B255F7" w:rsidRPr="00026504" w:rsidRDefault="00B255F7" w:rsidP="00026504">
            <w:pPr>
              <w:spacing w:before="40"/>
              <w:jc w:val="right"/>
              <w:rPr>
                <w:b/>
                <w:bCs/>
                <w:sz w:val="22"/>
                <w:szCs w:val="22"/>
                <w:highlight w:val="yellow"/>
              </w:rPr>
            </w:pPr>
            <w:r w:rsidRPr="00026504">
              <w:rPr>
                <w:sz w:val="22"/>
                <w:szCs w:val="22"/>
              </w:rPr>
              <w:t>3,219</w:t>
            </w:r>
          </w:p>
        </w:tc>
        <w:tc>
          <w:tcPr>
            <w:tcW w:w="1361" w:type="dxa"/>
            <w:shd w:val="clear" w:color="auto" w:fill="auto"/>
            <w:noWrap/>
            <w:vAlign w:val="bottom"/>
          </w:tcPr>
          <w:p w14:paraId="703F0E9E" w14:textId="57DB0E8E" w:rsidR="00B255F7" w:rsidRPr="009357E9" w:rsidRDefault="00B255F7" w:rsidP="00026504">
            <w:pPr>
              <w:spacing w:before="40"/>
              <w:jc w:val="right"/>
              <w:rPr>
                <w:b/>
                <w:bCs/>
                <w:sz w:val="22"/>
                <w:szCs w:val="22"/>
              </w:rPr>
            </w:pPr>
            <w:r w:rsidRPr="009357E9">
              <w:rPr>
                <w:sz w:val="22"/>
                <w:szCs w:val="22"/>
              </w:rPr>
              <w:t>9</w:t>
            </w:r>
          </w:p>
        </w:tc>
        <w:tc>
          <w:tcPr>
            <w:tcW w:w="1361" w:type="dxa"/>
            <w:shd w:val="clear" w:color="auto" w:fill="auto"/>
            <w:vAlign w:val="bottom"/>
          </w:tcPr>
          <w:p w14:paraId="7E08A337" w14:textId="7F071EF0" w:rsidR="00B255F7" w:rsidRPr="00026504" w:rsidRDefault="00B255F7" w:rsidP="00026504">
            <w:pPr>
              <w:spacing w:before="40"/>
              <w:jc w:val="right"/>
              <w:rPr>
                <w:sz w:val="22"/>
                <w:szCs w:val="22"/>
              </w:rPr>
            </w:pPr>
            <w:r w:rsidRPr="00026504">
              <w:rPr>
                <w:sz w:val="22"/>
                <w:szCs w:val="22"/>
              </w:rPr>
              <w:t>8,078</w:t>
            </w:r>
          </w:p>
        </w:tc>
        <w:tc>
          <w:tcPr>
            <w:tcW w:w="1361" w:type="dxa"/>
            <w:shd w:val="clear" w:color="auto" w:fill="auto"/>
            <w:vAlign w:val="bottom"/>
          </w:tcPr>
          <w:p w14:paraId="2C6A80E0" w14:textId="21F2A424" w:rsidR="00B255F7" w:rsidRPr="00026504" w:rsidRDefault="00B255F7" w:rsidP="00026504">
            <w:pPr>
              <w:spacing w:before="40"/>
              <w:jc w:val="right"/>
              <w:rPr>
                <w:sz w:val="22"/>
                <w:szCs w:val="22"/>
              </w:rPr>
            </w:pPr>
            <w:r w:rsidRPr="00026504">
              <w:rPr>
                <w:sz w:val="22"/>
                <w:szCs w:val="22"/>
              </w:rPr>
              <w:t>-</w:t>
            </w:r>
          </w:p>
        </w:tc>
      </w:tr>
      <w:tr w:rsidR="00B255F7" w14:paraId="088F1E47" w14:textId="77777777" w:rsidTr="005101BC">
        <w:trPr>
          <w:trHeight w:val="283"/>
        </w:trPr>
        <w:tc>
          <w:tcPr>
            <w:tcW w:w="2920" w:type="dxa"/>
            <w:shd w:val="clear" w:color="auto" w:fill="auto"/>
            <w:vAlign w:val="bottom"/>
            <w:hideMark/>
          </w:tcPr>
          <w:p w14:paraId="54C3D0E4" w14:textId="77777777" w:rsidR="00B255F7" w:rsidRDefault="00B255F7" w:rsidP="00B255F7">
            <w:pPr>
              <w:spacing w:before="40"/>
              <w:rPr>
                <w:sz w:val="22"/>
              </w:rPr>
            </w:pPr>
            <w:r>
              <w:rPr>
                <w:color w:val="000000"/>
                <w:sz w:val="22"/>
                <w:szCs w:val="22"/>
              </w:rPr>
              <w:t>Past due 31-120 days</w:t>
            </w:r>
          </w:p>
        </w:tc>
        <w:tc>
          <w:tcPr>
            <w:tcW w:w="1361" w:type="dxa"/>
            <w:shd w:val="clear" w:color="auto" w:fill="auto"/>
            <w:noWrap/>
            <w:vAlign w:val="bottom"/>
          </w:tcPr>
          <w:p w14:paraId="77319856" w14:textId="2CDCEC5C" w:rsidR="00B255F7" w:rsidRPr="00026504" w:rsidRDefault="00B255F7" w:rsidP="00026504">
            <w:pPr>
              <w:spacing w:before="40"/>
              <w:jc w:val="right"/>
              <w:rPr>
                <w:b/>
                <w:bCs/>
                <w:sz w:val="22"/>
                <w:szCs w:val="22"/>
                <w:highlight w:val="yellow"/>
              </w:rPr>
            </w:pPr>
            <w:r w:rsidRPr="00026504">
              <w:rPr>
                <w:sz w:val="22"/>
                <w:szCs w:val="22"/>
              </w:rPr>
              <w:t>2,873</w:t>
            </w:r>
          </w:p>
        </w:tc>
        <w:tc>
          <w:tcPr>
            <w:tcW w:w="1361" w:type="dxa"/>
            <w:shd w:val="clear" w:color="auto" w:fill="auto"/>
            <w:noWrap/>
            <w:vAlign w:val="bottom"/>
          </w:tcPr>
          <w:p w14:paraId="44AE0F75" w14:textId="4C0408EA" w:rsidR="00B255F7" w:rsidRPr="009357E9" w:rsidRDefault="00B255F7" w:rsidP="00026504">
            <w:pPr>
              <w:spacing w:before="40"/>
              <w:jc w:val="right"/>
              <w:rPr>
                <w:b/>
                <w:bCs/>
                <w:sz w:val="22"/>
                <w:szCs w:val="22"/>
              </w:rPr>
            </w:pPr>
            <w:r w:rsidRPr="009357E9">
              <w:rPr>
                <w:sz w:val="22"/>
                <w:szCs w:val="22"/>
              </w:rPr>
              <w:t>33</w:t>
            </w:r>
          </w:p>
        </w:tc>
        <w:tc>
          <w:tcPr>
            <w:tcW w:w="1361" w:type="dxa"/>
            <w:shd w:val="clear" w:color="auto" w:fill="auto"/>
            <w:vAlign w:val="bottom"/>
          </w:tcPr>
          <w:p w14:paraId="59EAA897" w14:textId="4A149024" w:rsidR="00B255F7" w:rsidRPr="00026504" w:rsidRDefault="00B255F7" w:rsidP="00026504">
            <w:pPr>
              <w:spacing w:before="40"/>
              <w:jc w:val="right"/>
              <w:rPr>
                <w:sz w:val="22"/>
                <w:szCs w:val="22"/>
              </w:rPr>
            </w:pPr>
            <w:r w:rsidRPr="00026504">
              <w:rPr>
                <w:sz w:val="22"/>
                <w:szCs w:val="22"/>
              </w:rPr>
              <w:t>2,945</w:t>
            </w:r>
          </w:p>
        </w:tc>
        <w:tc>
          <w:tcPr>
            <w:tcW w:w="1361" w:type="dxa"/>
            <w:shd w:val="clear" w:color="auto" w:fill="auto"/>
            <w:vAlign w:val="bottom"/>
          </w:tcPr>
          <w:p w14:paraId="1A52870B" w14:textId="6F655470" w:rsidR="00B255F7" w:rsidRPr="00026504" w:rsidRDefault="00B255F7" w:rsidP="00026504">
            <w:pPr>
              <w:spacing w:before="40"/>
              <w:jc w:val="right"/>
              <w:rPr>
                <w:sz w:val="22"/>
                <w:szCs w:val="22"/>
              </w:rPr>
            </w:pPr>
            <w:r w:rsidRPr="00026504">
              <w:rPr>
                <w:sz w:val="22"/>
                <w:szCs w:val="22"/>
              </w:rPr>
              <w:t>-</w:t>
            </w:r>
          </w:p>
        </w:tc>
      </w:tr>
      <w:tr w:rsidR="00B255F7" w14:paraId="6F1CD546" w14:textId="77777777" w:rsidTr="005101BC">
        <w:trPr>
          <w:trHeight w:val="283"/>
        </w:trPr>
        <w:tc>
          <w:tcPr>
            <w:tcW w:w="2920" w:type="dxa"/>
            <w:shd w:val="clear" w:color="auto" w:fill="auto"/>
            <w:vAlign w:val="bottom"/>
            <w:hideMark/>
          </w:tcPr>
          <w:p w14:paraId="758949EE" w14:textId="77777777" w:rsidR="00B255F7" w:rsidRDefault="00B255F7" w:rsidP="00B255F7">
            <w:pPr>
              <w:spacing w:before="40"/>
              <w:rPr>
                <w:sz w:val="22"/>
              </w:rPr>
            </w:pPr>
            <w:r>
              <w:rPr>
                <w:color w:val="000000"/>
                <w:sz w:val="22"/>
                <w:szCs w:val="22"/>
              </w:rPr>
              <w:t>Past due 121-365 days</w:t>
            </w:r>
          </w:p>
        </w:tc>
        <w:tc>
          <w:tcPr>
            <w:tcW w:w="1361" w:type="dxa"/>
            <w:shd w:val="clear" w:color="auto" w:fill="auto"/>
            <w:noWrap/>
            <w:vAlign w:val="bottom"/>
          </w:tcPr>
          <w:p w14:paraId="2EE61BE2" w14:textId="3832EE37" w:rsidR="00B255F7" w:rsidRPr="00026504" w:rsidRDefault="00B255F7" w:rsidP="00026504">
            <w:pPr>
              <w:spacing w:before="40"/>
              <w:jc w:val="right"/>
              <w:rPr>
                <w:b/>
                <w:bCs/>
                <w:sz w:val="22"/>
                <w:szCs w:val="22"/>
                <w:highlight w:val="yellow"/>
              </w:rPr>
            </w:pPr>
            <w:r w:rsidRPr="00026504">
              <w:rPr>
                <w:sz w:val="22"/>
                <w:szCs w:val="22"/>
              </w:rPr>
              <w:t>933</w:t>
            </w:r>
          </w:p>
        </w:tc>
        <w:tc>
          <w:tcPr>
            <w:tcW w:w="1361" w:type="dxa"/>
            <w:shd w:val="clear" w:color="auto" w:fill="auto"/>
            <w:noWrap/>
            <w:vAlign w:val="bottom"/>
          </w:tcPr>
          <w:p w14:paraId="4CC880A5" w14:textId="5B5AAC58" w:rsidR="00B255F7" w:rsidRPr="00026504" w:rsidRDefault="00B255F7" w:rsidP="00026504">
            <w:pPr>
              <w:spacing w:before="40"/>
              <w:jc w:val="right"/>
              <w:rPr>
                <w:b/>
                <w:bCs/>
                <w:sz w:val="22"/>
                <w:szCs w:val="22"/>
                <w:highlight w:val="yellow"/>
              </w:rPr>
            </w:pPr>
            <w:r w:rsidRPr="00026504">
              <w:rPr>
                <w:sz w:val="22"/>
                <w:szCs w:val="22"/>
              </w:rPr>
              <w:t>83</w:t>
            </w:r>
          </w:p>
        </w:tc>
        <w:tc>
          <w:tcPr>
            <w:tcW w:w="1361" w:type="dxa"/>
            <w:shd w:val="clear" w:color="auto" w:fill="auto"/>
            <w:vAlign w:val="bottom"/>
          </w:tcPr>
          <w:p w14:paraId="63DC924A" w14:textId="4D8C4EE4" w:rsidR="00B255F7" w:rsidRPr="00026504" w:rsidRDefault="00B255F7" w:rsidP="00026504">
            <w:pPr>
              <w:spacing w:before="40"/>
              <w:jc w:val="right"/>
              <w:rPr>
                <w:sz w:val="22"/>
                <w:szCs w:val="22"/>
              </w:rPr>
            </w:pPr>
            <w:r w:rsidRPr="00026504">
              <w:rPr>
                <w:sz w:val="22"/>
                <w:szCs w:val="22"/>
              </w:rPr>
              <w:t>800</w:t>
            </w:r>
          </w:p>
        </w:tc>
        <w:tc>
          <w:tcPr>
            <w:tcW w:w="1361" w:type="dxa"/>
            <w:shd w:val="clear" w:color="auto" w:fill="auto"/>
            <w:vAlign w:val="bottom"/>
          </w:tcPr>
          <w:p w14:paraId="1FE504EA" w14:textId="2238B0C9" w:rsidR="00B255F7" w:rsidRPr="00026504" w:rsidRDefault="00B255F7" w:rsidP="00026504">
            <w:pPr>
              <w:spacing w:before="40"/>
              <w:jc w:val="right"/>
              <w:rPr>
                <w:sz w:val="22"/>
                <w:szCs w:val="22"/>
              </w:rPr>
            </w:pPr>
            <w:r w:rsidRPr="00026504">
              <w:rPr>
                <w:sz w:val="22"/>
                <w:szCs w:val="22"/>
              </w:rPr>
              <w:t>13</w:t>
            </w:r>
          </w:p>
        </w:tc>
      </w:tr>
      <w:tr w:rsidR="00B255F7" w14:paraId="28C40FCA" w14:textId="77777777" w:rsidTr="005101BC">
        <w:trPr>
          <w:trHeight w:val="283"/>
        </w:trPr>
        <w:tc>
          <w:tcPr>
            <w:tcW w:w="2920" w:type="dxa"/>
            <w:shd w:val="clear" w:color="auto" w:fill="auto"/>
            <w:vAlign w:val="bottom"/>
            <w:hideMark/>
          </w:tcPr>
          <w:p w14:paraId="402EC575" w14:textId="77777777" w:rsidR="00B255F7" w:rsidRDefault="00B255F7" w:rsidP="00B255F7">
            <w:pPr>
              <w:spacing w:before="40"/>
              <w:rPr>
                <w:sz w:val="22"/>
              </w:rPr>
            </w:pPr>
            <w:r>
              <w:rPr>
                <w:color w:val="000000"/>
                <w:sz w:val="22"/>
                <w:szCs w:val="22"/>
              </w:rPr>
              <w:t>More than one year</w:t>
            </w:r>
          </w:p>
        </w:tc>
        <w:tc>
          <w:tcPr>
            <w:tcW w:w="1361" w:type="dxa"/>
            <w:shd w:val="clear" w:color="auto" w:fill="auto"/>
            <w:noWrap/>
            <w:vAlign w:val="bottom"/>
          </w:tcPr>
          <w:p w14:paraId="5D59EA0D" w14:textId="523ACFD1" w:rsidR="00B255F7" w:rsidRPr="00026504" w:rsidRDefault="00B255F7" w:rsidP="00026504">
            <w:pPr>
              <w:pBdr>
                <w:bottom w:val="single" w:sz="4" w:space="0" w:color="000000"/>
              </w:pBdr>
              <w:spacing w:before="40"/>
              <w:jc w:val="right"/>
              <w:rPr>
                <w:b/>
                <w:bCs/>
                <w:sz w:val="22"/>
                <w:szCs w:val="22"/>
              </w:rPr>
            </w:pPr>
            <w:r w:rsidRPr="00026504">
              <w:rPr>
                <w:sz w:val="22"/>
                <w:szCs w:val="22"/>
              </w:rPr>
              <w:t>1,794</w:t>
            </w:r>
          </w:p>
        </w:tc>
        <w:tc>
          <w:tcPr>
            <w:tcW w:w="1361" w:type="dxa"/>
            <w:shd w:val="clear" w:color="auto" w:fill="auto"/>
            <w:noWrap/>
            <w:vAlign w:val="bottom"/>
          </w:tcPr>
          <w:p w14:paraId="5D74D8AD" w14:textId="74A2D65B" w:rsidR="00B255F7" w:rsidRPr="00026504" w:rsidRDefault="00B255F7" w:rsidP="00026504">
            <w:pPr>
              <w:pBdr>
                <w:bottom w:val="single" w:sz="4" w:space="0" w:color="000000"/>
              </w:pBdr>
              <w:spacing w:before="40"/>
              <w:jc w:val="right"/>
              <w:rPr>
                <w:b/>
                <w:bCs/>
                <w:sz w:val="22"/>
                <w:szCs w:val="22"/>
                <w:highlight w:val="yellow"/>
              </w:rPr>
            </w:pPr>
            <w:r w:rsidRPr="00026504">
              <w:rPr>
                <w:sz w:val="22"/>
                <w:szCs w:val="22"/>
              </w:rPr>
              <w:t>1,450</w:t>
            </w:r>
          </w:p>
        </w:tc>
        <w:tc>
          <w:tcPr>
            <w:tcW w:w="1361" w:type="dxa"/>
            <w:shd w:val="clear" w:color="auto" w:fill="auto"/>
            <w:vAlign w:val="bottom"/>
          </w:tcPr>
          <w:p w14:paraId="30273E42" w14:textId="5E6EA6BF" w:rsidR="00B255F7" w:rsidRPr="00026504" w:rsidRDefault="00B255F7" w:rsidP="00026504">
            <w:pPr>
              <w:pBdr>
                <w:bottom w:val="single" w:sz="4" w:space="0" w:color="000000"/>
              </w:pBdr>
              <w:spacing w:before="40"/>
              <w:jc w:val="right"/>
              <w:rPr>
                <w:sz w:val="22"/>
                <w:szCs w:val="22"/>
              </w:rPr>
            </w:pPr>
            <w:r w:rsidRPr="00026504">
              <w:rPr>
                <w:sz w:val="22"/>
                <w:szCs w:val="22"/>
              </w:rPr>
              <w:t>1,710</w:t>
            </w:r>
          </w:p>
        </w:tc>
        <w:tc>
          <w:tcPr>
            <w:tcW w:w="1361" w:type="dxa"/>
            <w:shd w:val="clear" w:color="auto" w:fill="auto"/>
            <w:vAlign w:val="bottom"/>
          </w:tcPr>
          <w:p w14:paraId="6C8C44CA" w14:textId="5159C46E" w:rsidR="00B255F7" w:rsidRPr="00026504" w:rsidRDefault="00B255F7" w:rsidP="00026504">
            <w:pPr>
              <w:pBdr>
                <w:bottom w:val="single" w:sz="4" w:space="0" w:color="000000"/>
              </w:pBdr>
              <w:spacing w:before="40"/>
              <w:jc w:val="right"/>
              <w:rPr>
                <w:sz w:val="22"/>
                <w:szCs w:val="22"/>
              </w:rPr>
            </w:pPr>
            <w:r w:rsidRPr="00026504">
              <w:rPr>
                <w:sz w:val="22"/>
                <w:szCs w:val="22"/>
              </w:rPr>
              <w:t>1,479</w:t>
            </w:r>
          </w:p>
        </w:tc>
      </w:tr>
      <w:tr w:rsidR="00B255F7" w14:paraId="6FE58551" w14:textId="77777777" w:rsidTr="005101BC">
        <w:trPr>
          <w:trHeight w:val="283"/>
        </w:trPr>
        <w:tc>
          <w:tcPr>
            <w:tcW w:w="2920" w:type="dxa"/>
            <w:shd w:val="clear" w:color="auto" w:fill="auto"/>
            <w:vAlign w:val="bottom"/>
            <w:hideMark/>
          </w:tcPr>
          <w:p w14:paraId="049E7514" w14:textId="77777777" w:rsidR="00B255F7" w:rsidRDefault="00B255F7" w:rsidP="00B255F7">
            <w:pPr>
              <w:spacing w:before="40"/>
              <w:rPr>
                <w:sz w:val="22"/>
              </w:rPr>
            </w:pPr>
            <w:r>
              <w:rPr>
                <w:color w:val="000000"/>
                <w:sz w:val="22"/>
                <w:szCs w:val="22"/>
              </w:rPr>
              <w:t xml:space="preserve"> </w:t>
            </w:r>
          </w:p>
        </w:tc>
        <w:tc>
          <w:tcPr>
            <w:tcW w:w="1361" w:type="dxa"/>
            <w:shd w:val="clear" w:color="auto" w:fill="auto"/>
            <w:noWrap/>
            <w:vAlign w:val="bottom"/>
          </w:tcPr>
          <w:p w14:paraId="4DFE38B0" w14:textId="5B447650" w:rsidR="00B255F7" w:rsidRPr="00026504" w:rsidRDefault="00B255F7" w:rsidP="00026504">
            <w:pPr>
              <w:pBdr>
                <w:bottom w:val="double" w:sz="4" w:space="0" w:color="000000"/>
              </w:pBdr>
              <w:spacing w:before="40"/>
              <w:jc w:val="right"/>
              <w:rPr>
                <w:b/>
                <w:bCs/>
                <w:sz w:val="22"/>
                <w:szCs w:val="22"/>
                <w:highlight w:val="yellow"/>
              </w:rPr>
            </w:pPr>
            <w:r w:rsidRPr="00026504">
              <w:rPr>
                <w:sz w:val="22"/>
                <w:szCs w:val="22"/>
              </w:rPr>
              <w:t>23,107</w:t>
            </w:r>
          </w:p>
        </w:tc>
        <w:tc>
          <w:tcPr>
            <w:tcW w:w="1361" w:type="dxa"/>
            <w:shd w:val="clear" w:color="auto" w:fill="auto"/>
            <w:noWrap/>
            <w:vAlign w:val="bottom"/>
          </w:tcPr>
          <w:p w14:paraId="2CD18929" w14:textId="636A15F9" w:rsidR="00B255F7" w:rsidRPr="00026504" w:rsidRDefault="00B255F7" w:rsidP="00026504">
            <w:pPr>
              <w:pBdr>
                <w:bottom w:val="double" w:sz="4" w:space="0" w:color="000000"/>
              </w:pBdr>
              <w:spacing w:before="40"/>
              <w:jc w:val="right"/>
              <w:rPr>
                <w:b/>
                <w:bCs/>
                <w:sz w:val="22"/>
                <w:szCs w:val="22"/>
                <w:highlight w:val="yellow"/>
              </w:rPr>
            </w:pPr>
            <w:r w:rsidRPr="00026504">
              <w:rPr>
                <w:sz w:val="22"/>
                <w:szCs w:val="22"/>
              </w:rPr>
              <w:t>1,575</w:t>
            </w:r>
          </w:p>
        </w:tc>
        <w:tc>
          <w:tcPr>
            <w:tcW w:w="1361" w:type="dxa"/>
            <w:shd w:val="clear" w:color="auto" w:fill="auto"/>
            <w:vAlign w:val="bottom"/>
          </w:tcPr>
          <w:p w14:paraId="658979A0" w14:textId="3215FE55" w:rsidR="00B255F7" w:rsidRPr="00026504" w:rsidRDefault="00B255F7" w:rsidP="00026504">
            <w:pPr>
              <w:pBdr>
                <w:bottom w:val="double" w:sz="4" w:space="0" w:color="000000"/>
              </w:pBdr>
              <w:spacing w:before="40"/>
              <w:jc w:val="right"/>
              <w:rPr>
                <w:sz w:val="22"/>
                <w:szCs w:val="22"/>
              </w:rPr>
            </w:pPr>
            <w:r w:rsidRPr="00026504">
              <w:rPr>
                <w:color w:val="000000"/>
                <w:sz w:val="22"/>
                <w:szCs w:val="22"/>
              </w:rPr>
              <w:t>23,198</w:t>
            </w:r>
          </w:p>
        </w:tc>
        <w:tc>
          <w:tcPr>
            <w:tcW w:w="1361" w:type="dxa"/>
            <w:shd w:val="clear" w:color="auto" w:fill="auto"/>
            <w:vAlign w:val="bottom"/>
          </w:tcPr>
          <w:p w14:paraId="660BC930" w14:textId="51A4CEF7" w:rsidR="00B255F7" w:rsidRPr="00026504" w:rsidRDefault="00B255F7" w:rsidP="00026504">
            <w:pPr>
              <w:pBdr>
                <w:bottom w:val="double" w:sz="4" w:space="0" w:color="000000"/>
              </w:pBdr>
              <w:spacing w:before="40"/>
              <w:jc w:val="right"/>
              <w:rPr>
                <w:sz w:val="22"/>
                <w:szCs w:val="22"/>
              </w:rPr>
            </w:pPr>
            <w:r w:rsidRPr="00026504">
              <w:rPr>
                <w:color w:val="000000"/>
                <w:sz w:val="22"/>
                <w:szCs w:val="22"/>
              </w:rPr>
              <w:t>1,492</w:t>
            </w:r>
          </w:p>
        </w:tc>
      </w:tr>
    </w:tbl>
    <w:p w14:paraId="53386378" w14:textId="77777777" w:rsidR="00C35D07" w:rsidRPr="00F02921" w:rsidRDefault="00C35D07" w:rsidP="004A3C21">
      <w:pPr>
        <w:ind w:left="720"/>
        <w:rPr>
          <w:sz w:val="22"/>
          <w:szCs w:val="22"/>
        </w:rPr>
      </w:pPr>
    </w:p>
    <w:p w14:paraId="354CD3ED" w14:textId="630CF3C5" w:rsidR="00C35D07" w:rsidRPr="00F02921" w:rsidRDefault="00C35D07" w:rsidP="004A3C21">
      <w:pPr>
        <w:ind w:left="720"/>
        <w:jc w:val="both"/>
        <w:rPr>
          <w:sz w:val="22"/>
          <w:szCs w:val="22"/>
        </w:rPr>
      </w:pPr>
      <w:r w:rsidRPr="00F02921">
        <w:rPr>
          <w:sz w:val="22"/>
          <w:szCs w:val="22"/>
        </w:rPr>
        <w:t>The movement in the allowance for doubtful debts in respect of trade receivables due from tenants during the year was as follows:</w:t>
      </w:r>
    </w:p>
    <w:p w14:paraId="5F6B0310" w14:textId="77777777" w:rsidR="00665169" w:rsidRPr="00AA0C77" w:rsidRDefault="00665169" w:rsidP="004A3C21">
      <w:pPr>
        <w:ind w:left="720"/>
        <w:jc w:val="both"/>
        <w:rPr>
          <w:rStyle w:val="Koteret"/>
          <w:b w:val="0"/>
          <w:bCs/>
          <w:i/>
          <w:iCs/>
          <w:sz w:val="10"/>
          <w:szCs w:val="12"/>
        </w:rPr>
      </w:pPr>
    </w:p>
    <w:p w14:paraId="27616018" w14:textId="77777777" w:rsidR="00C35D07" w:rsidRPr="00F02921" w:rsidRDefault="00C35D07" w:rsidP="004A3C21">
      <w:pPr>
        <w:ind w:left="720"/>
        <w:jc w:val="both"/>
        <w:rPr>
          <w:rStyle w:val="Koteret"/>
          <w:b w:val="0"/>
          <w:bCs/>
          <w:i/>
          <w:iCs/>
          <w:rtl/>
          <w:lang w:bidi="he-IL"/>
        </w:rPr>
      </w:pPr>
      <w:r w:rsidRPr="00F02921">
        <w:rPr>
          <w:rStyle w:val="Koteret"/>
          <w:b w:val="0"/>
          <w:bCs/>
          <w:i/>
          <w:iCs/>
        </w:rPr>
        <w:t>In thousands of Euros</w:t>
      </w:r>
    </w:p>
    <w:tbl>
      <w:tblPr>
        <w:tblW w:w="0" w:type="auto"/>
        <w:tblInd w:w="720" w:type="dxa"/>
        <w:tblLook w:val="06A0" w:firstRow="1" w:lastRow="0" w:firstColumn="1" w:lastColumn="0" w:noHBand="1" w:noVBand="1"/>
        <w:tblCaption w:val="AHR01"/>
        <w:tblDescription w:val="The movement in the allowance for doubtful debts in respect of trade receivables due from tenants during the year"/>
      </w:tblPr>
      <w:tblGrid>
        <w:gridCol w:w="5102"/>
        <w:gridCol w:w="1620"/>
        <w:gridCol w:w="1620"/>
      </w:tblGrid>
      <w:tr w:rsidR="001141B2" w14:paraId="04333E89" w14:textId="77777777" w:rsidTr="005101BC">
        <w:trPr>
          <w:cantSplit/>
          <w:trHeight w:val="283"/>
          <w:tblHeader/>
        </w:trPr>
        <w:tc>
          <w:tcPr>
            <w:tcW w:w="5102" w:type="dxa"/>
            <w:shd w:val="clear" w:color="auto" w:fill="auto"/>
            <w:noWrap/>
            <w:vAlign w:val="bottom"/>
            <w:hideMark/>
          </w:tcPr>
          <w:p w14:paraId="5DB0460B" w14:textId="77777777" w:rsidR="001141B2" w:rsidRPr="00866299" w:rsidRDefault="001141B2">
            <w:pPr>
              <w:spacing w:before="40"/>
              <w:rPr>
                <w:rFonts w:ascii="Arial" w:eastAsia="Arial" w:hAnsi="Arial" w:cs="Arial"/>
                <w:sz w:val="20"/>
              </w:rPr>
            </w:pPr>
            <w:bookmarkStart w:id="197" w:name="Title_51" w:colFirst="0" w:colLast="0"/>
          </w:p>
        </w:tc>
        <w:tc>
          <w:tcPr>
            <w:tcW w:w="1620" w:type="dxa"/>
            <w:shd w:val="clear" w:color="auto" w:fill="auto"/>
            <w:vAlign w:val="bottom"/>
            <w:hideMark/>
          </w:tcPr>
          <w:p w14:paraId="4E7BFF38" w14:textId="59CF0DA0" w:rsidR="001141B2" w:rsidRPr="00866299" w:rsidRDefault="00AD1E41" w:rsidP="00543265">
            <w:pPr>
              <w:pBdr>
                <w:bottom w:val="single" w:sz="4" w:space="0" w:color="000000"/>
              </w:pBdr>
              <w:bidi/>
              <w:spacing w:before="40"/>
              <w:ind w:left="57"/>
              <w:jc w:val="center"/>
              <w:rPr>
                <w:b/>
                <w:bCs/>
                <w:sz w:val="20"/>
              </w:rPr>
            </w:pPr>
            <w:r>
              <w:rPr>
                <w:b/>
                <w:bCs/>
                <w:color w:val="000000"/>
                <w:sz w:val="20"/>
              </w:rPr>
              <w:t>202</w:t>
            </w:r>
            <w:r w:rsidR="007958E3">
              <w:rPr>
                <w:b/>
                <w:bCs/>
                <w:color w:val="000000"/>
                <w:sz w:val="20"/>
              </w:rPr>
              <w:t>4</w:t>
            </w:r>
          </w:p>
        </w:tc>
        <w:tc>
          <w:tcPr>
            <w:tcW w:w="1620" w:type="dxa"/>
            <w:shd w:val="clear" w:color="auto" w:fill="auto"/>
            <w:vAlign w:val="bottom"/>
            <w:hideMark/>
          </w:tcPr>
          <w:p w14:paraId="05FADE6A" w14:textId="051C8E3B" w:rsidR="001141B2" w:rsidRPr="00866299" w:rsidRDefault="00AD1E41" w:rsidP="00543265">
            <w:pPr>
              <w:pBdr>
                <w:bottom w:val="single" w:sz="4" w:space="0" w:color="000000"/>
              </w:pBdr>
              <w:bidi/>
              <w:spacing w:before="40"/>
              <w:ind w:left="57"/>
              <w:jc w:val="center"/>
              <w:rPr>
                <w:b/>
                <w:bCs/>
                <w:sz w:val="20"/>
              </w:rPr>
            </w:pPr>
            <w:r>
              <w:rPr>
                <w:b/>
                <w:bCs/>
                <w:color w:val="000000"/>
                <w:sz w:val="20"/>
              </w:rPr>
              <w:t>202</w:t>
            </w:r>
            <w:r w:rsidR="007958E3">
              <w:rPr>
                <w:b/>
                <w:bCs/>
                <w:sz w:val="20"/>
              </w:rPr>
              <w:t>3</w:t>
            </w:r>
          </w:p>
        </w:tc>
      </w:tr>
      <w:bookmarkEnd w:id="197"/>
      <w:tr w:rsidR="00026504" w14:paraId="2A2745FB" w14:textId="77777777" w:rsidTr="005101BC">
        <w:trPr>
          <w:trHeight w:val="283"/>
        </w:trPr>
        <w:tc>
          <w:tcPr>
            <w:tcW w:w="5102" w:type="dxa"/>
            <w:shd w:val="clear" w:color="auto" w:fill="auto"/>
            <w:vAlign w:val="bottom"/>
            <w:hideMark/>
          </w:tcPr>
          <w:p w14:paraId="3CF2BFD2" w14:textId="77777777" w:rsidR="00026504" w:rsidRPr="000A7F0B" w:rsidRDefault="00026504" w:rsidP="00026504">
            <w:pPr>
              <w:spacing w:before="40"/>
              <w:rPr>
                <w:sz w:val="22"/>
                <w:szCs w:val="22"/>
              </w:rPr>
            </w:pPr>
            <w:r w:rsidRPr="000A7F0B">
              <w:rPr>
                <w:color w:val="000000"/>
                <w:sz w:val="22"/>
                <w:szCs w:val="22"/>
              </w:rPr>
              <w:t xml:space="preserve">Balance </w:t>
            </w:r>
            <w:proofErr w:type="gramStart"/>
            <w:r w:rsidRPr="000A7F0B">
              <w:rPr>
                <w:color w:val="000000"/>
                <w:sz w:val="22"/>
                <w:szCs w:val="22"/>
              </w:rPr>
              <w:t>at</w:t>
            </w:r>
            <w:proofErr w:type="gramEnd"/>
            <w:r w:rsidRPr="000A7F0B">
              <w:rPr>
                <w:color w:val="000000"/>
                <w:sz w:val="22"/>
                <w:szCs w:val="22"/>
              </w:rPr>
              <w:t xml:space="preserve"> January 1</w:t>
            </w:r>
          </w:p>
        </w:tc>
        <w:tc>
          <w:tcPr>
            <w:tcW w:w="1620" w:type="dxa"/>
            <w:shd w:val="clear" w:color="auto" w:fill="auto"/>
            <w:noWrap/>
            <w:vAlign w:val="bottom"/>
          </w:tcPr>
          <w:p w14:paraId="47B5C204" w14:textId="1A43D869" w:rsidR="00026504" w:rsidRPr="00026504" w:rsidRDefault="00026504" w:rsidP="00026504">
            <w:pPr>
              <w:spacing w:before="40"/>
              <w:jc w:val="right"/>
              <w:rPr>
                <w:b/>
                <w:bCs/>
                <w:sz w:val="22"/>
                <w:szCs w:val="22"/>
                <w:highlight w:val="yellow"/>
              </w:rPr>
            </w:pPr>
            <w:r w:rsidRPr="00026504">
              <w:rPr>
                <w:sz w:val="22"/>
                <w:szCs w:val="22"/>
              </w:rPr>
              <w:t>1,492</w:t>
            </w:r>
          </w:p>
        </w:tc>
        <w:tc>
          <w:tcPr>
            <w:tcW w:w="1620" w:type="dxa"/>
            <w:shd w:val="clear" w:color="auto" w:fill="auto"/>
            <w:noWrap/>
            <w:vAlign w:val="bottom"/>
          </w:tcPr>
          <w:p w14:paraId="22E0EE6B" w14:textId="35B6F17F" w:rsidR="00026504" w:rsidRPr="00026504" w:rsidRDefault="00026504" w:rsidP="00026504">
            <w:pPr>
              <w:spacing w:before="40"/>
              <w:jc w:val="right"/>
              <w:rPr>
                <w:sz w:val="22"/>
                <w:szCs w:val="22"/>
              </w:rPr>
            </w:pPr>
            <w:r w:rsidRPr="00026504">
              <w:rPr>
                <w:sz w:val="22"/>
                <w:szCs w:val="22"/>
              </w:rPr>
              <w:t>1,910</w:t>
            </w:r>
          </w:p>
        </w:tc>
      </w:tr>
      <w:tr w:rsidR="00026504" w14:paraId="67D2A308" w14:textId="77777777" w:rsidTr="005101BC">
        <w:trPr>
          <w:trHeight w:val="283"/>
        </w:trPr>
        <w:tc>
          <w:tcPr>
            <w:tcW w:w="5102" w:type="dxa"/>
            <w:shd w:val="clear" w:color="auto" w:fill="auto"/>
            <w:vAlign w:val="bottom"/>
            <w:hideMark/>
          </w:tcPr>
          <w:p w14:paraId="3FB4701F" w14:textId="77777777" w:rsidR="00026504" w:rsidRPr="000A7F0B" w:rsidRDefault="00026504" w:rsidP="00026504">
            <w:pPr>
              <w:spacing w:before="40"/>
              <w:rPr>
                <w:sz w:val="22"/>
                <w:szCs w:val="22"/>
              </w:rPr>
            </w:pPr>
            <w:r w:rsidRPr="000A7F0B">
              <w:rPr>
                <w:color w:val="000000"/>
                <w:sz w:val="22"/>
                <w:szCs w:val="22"/>
              </w:rPr>
              <w:t>Impairment loss recognized</w:t>
            </w:r>
          </w:p>
        </w:tc>
        <w:tc>
          <w:tcPr>
            <w:tcW w:w="1620" w:type="dxa"/>
            <w:shd w:val="clear" w:color="auto" w:fill="auto"/>
            <w:noWrap/>
            <w:vAlign w:val="bottom"/>
          </w:tcPr>
          <w:p w14:paraId="083E291C" w14:textId="0C02C12D" w:rsidR="00026504" w:rsidRPr="00026504" w:rsidRDefault="00026504" w:rsidP="00026504">
            <w:pPr>
              <w:spacing w:before="40"/>
              <w:jc w:val="right"/>
              <w:rPr>
                <w:b/>
                <w:bCs/>
                <w:sz w:val="22"/>
                <w:szCs w:val="22"/>
                <w:highlight w:val="yellow"/>
              </w:rPr>
            </w:pPr>
            <w:r w:rsidRPr="00026504">
              <w:rPr>
                <w:sz w:val="22"/>
                <w:szCs w:val="22"/>
              </w:rPr>
              <w:t>360</w:t>
            </w:r>
          </w:p>
        </w:tc>
        <w:tc>
          <w:tcPr>
            <w:tcW w:w="1620" w:type="dxa"/>
            <w:shd w:val="clear" w:color="auto" w:fill="auto"/>
            <w:noWrap/>
            <w:vAlign w:val="bottom"/>
          </w:tcPr>
          <w:p w14:paraId="53BBD476" w14:textId="3B9AEB8E" w:rsidR="00026504" w:rsidRPr="00026504" w:rsidRDefault="00026504" w:rsidP="00026504">
            <w:pPr>
              <w:spacing w:before="40"/>
              <w:jc w:val="right"/>
              <w:rPr>
                <w:sz w:val="22"/>
                <w:szCs w:val="22"/>
              </w:rPr>
            </w:pPr>
            <w:r w:rsidRPr="00026504">
              <w:rPr>
                <w:sz w:val="22"/>
                <w:szCs w:val="22"/>
              </w:rPr>
              <w:t>-</w:t>
            </w:r>
          </w:p>
        </w:tc>
      </w:tr>
      <w:tr w:rsidR="00026504" w14:paraId="3A30B56E" w14:textId="77777777" w:rsidTr="005101BC">
        <w:trPr>
          <w:trHeight w:val="283"/>
        </w:trPr>
        <w:tc>
          <w:tcPr>
            <w:tcW w:w="5102" w:type="dxa"/>
            <w:shd w:val="clear" w:color="auto" w:fill="auto"/>
            <w:vAlign w:val="bottom"/>
            <w:hideMark/>
          </w:tcPr>
          <w:p w14:paraId="16C566E4" w14:textId="77777777" w:rsidR="00026504" w:rsidRPr="000A7F0B" w:rsidRDefault="00026504" w:rsidP="00026504">
            <w:pPr>
              <w:spacing w:before="40"/>
              <w:rPr>
                <w:sz w:val="22"/>
                <w:szCs w:val="22"/>
              </w:rPr>
            </w:pPr>
            <w:r w:rsidRPr="000A7F0B">
              <w:rPr>
                <w:color w:val="000000"/>
                <w:sz w:val="22"/>
                <w:szCs w:val="22"/>
              </w:rPr>
              <w:t>Receivables write off</w:t>
            </w:r>
          </w:p>
        </w:tc>
        <w:tc>
          <w:tcPr>
            <w:tcW w:w="1620" w:type="dxa"/>
            <w:shd w:val="clear" w:color="auto" w:fill="auto"/>
            <w:noWrap/>
            <w:vAlign w:val="bottom"/>
          </w:tcPr>
          <w:p w14:paraId="2E08EB68" w14:textId="60B99ACF" w:rsidR="00026504" w:rsidRPr="00026504" w:rsidRDefault="00026504" w:rsidP="00026504">
            <w:pPr>
              <w:spacing w:before="40"/>
              <w:jc w:val="right"/>
              <w:rPr>
                <w:b/>
                <w:bCs/>
                <w:sz w:val="22"/>
                <w:szCs w:val="22"/>
                <w:highlight w:val="yellow"/>
              </w:rPr>
            </w:pPr>
            <w:r w:rsidRPr="00026504">
              <w:rPr>
                <w:sz w:val="22"/>
                <w:szCs w:val="22"/>
              </w:rPr>
              <w:t>(277)</w:t>
            </w:r>
          </w:p>
        </w:tc>
        <w:tc>
          <w:tcPr>
            <w:tcW w:w="1620" w:type="dxa"/>
            <w:shd w:val="clear" w:color="auto" w:fill="auto"/>
            <w:noWrap/>
            <w:vAlign w:val="bottom"/>
          </w:tcPr>
          <w:p w14:paraId="273BBF90" w14:textId="079C1202" w:rsidR="00026504" w:rsidRPr="00026504" w:rsidRDefault="00026504" w:rsidP="00026504">
            <w:pPr>
              <w:spacing w:before="40"/>
              <w:jc w:val="right"/>
              <w:rPr>
                <w:sz w:val="22"/>
                <w:szCs w:val="22"/>
              </w:rPr>
            </w:pPr>
            <w:r w:rsidRPr="00026504">
              <w:rPr>
                <w:sz w:val="22"/>
                <w:szCs w:val="22"/>
              </w:rPr>
              <w:t>(418)</w:t>
            </w:r>
          </w:p>
        </w:tc>
      </w:tr>
      <w:tr w:rsidR="00026504" w14:paraId="124159F5" w14:textId="77777777" w:rsidTr="005101BC">
        <w:trPr>
          <w:trHeight w:val="283"/>
        </w:trPr>
        <w:tc>
          <w:tcPr>
            <w:tcW w:w="5102" w:type="dxa"/>
            <w:shd w:val="clear" w:color="auto" w:fill="auto"/>
            <w:vAlign w:val="bottom"/>
            <w:hideMark/>
          </w:tcPr>
          <w:p w14:paraId="79AD06B0" w14:textId="77777777" w:rsidR="00026504" w:rsidRPr="000A7F0B" w:rsidRDefault="00026504" w:rsidP="00026504">
            <w:pPr>
              <w:spacing w:before="40"/>
              <w:rPr>
                <w:sz w:val="22"/>
                <w:szCs w:val="22"/>
              </w:rPr>
            </w:pPr>
            <w:r w:rsidRPr="000A7F0B">
              <w:rPr>
                <w:color w:val="000000"/>
                <w:sz w:val="22"/>
                <w:szCs w:val="22"/>
              </w:rPr>
              <w:t xml:space="preserve">Balance as </w:t>
            </w:r>
            <w:proofErr w:type="gramStart"/>
            <w:r w:rsidRPr="000A7F0B">
              <w:rPr>
                <w:color w:val="000000"/>
                <w:sz w:val="22"/>
                <w:szCs w:val="22"/>
              </w:rPr>
              <w:t>at</w:t>
            </w:r>
            <w:proofErr w:type="gramEnd"/>
            <w:r w:rsidRPr="000A7F0B">
              <w:rPr>
                <w:color w:val="000000"/>
                <w:sz w:val="22"/>
                <w:szCs w:val="22"/>
              </w:rPr>
              <w:t xml:space="preserve"> December 31</w:t>
            </w:r>
          </w:p>
        </w:tc>
        <w:tc>
          <w:tcPr>
            <w:tcW w:w="1620" w:type="dxa"/>
            <w:tcBorders>
              <w:top w:val="single" w:sz="4" w:space="0" w:color="000000"/>
            </w:tcBorders>
            <w:shd w:val="clear" w:color="auto" w:fill="auto"/>
            <w:noWrap/>
            <w:vAlign w:val="bottom"/>
          </w:tcPr>
          <w:p w14:paraId="7DE683F2" w14:textId="6066A60C" w:rsidR="00026504" w:rsidRPr="00026504" w:rsidRDefault="00026504" w:rsidP="00026504">
            <w:pPr>
              <w:pBdr>
                <w:bottom w:val="double" w:sz="4" w:space="0" w:color="000000"/>
              </w:pBdr>
              <w:spacing w:before="40"/>
              <w:jc w:val="right"/>
              <w:rPr>
                <w:b/>
                <w:bCs/>
                <w:sz w:val="22"/>
                <w:szCs w:val="22"/>
                <w:highlight w:val="yellow"/>
              </w:rPr>
            </w:pPr>
            <w:r w:rsidRPr="00026504">
              <w:rPr>
                <w:sz w:val="22"/>
                <w:szCs w:val="22"/>
              </w:rPr>
              <w:t>1,575</w:t>
            </w:r>
          </w:p>
        </w:tc>
        <w:tc>
          <w:tcPr>
            <w:tcW w:w="1620" w:type="dxa"/>
            <w:tcBorders>
              <w:top w:val="single" w:sz="4" w:space="0" w:color="000000"/>
            </w:tcBorders>
            <w:shd w:val="clear" w:color="auto" w:fill="auto"/>
            <w:noWrap/>
            <w:vAlign w:val="bottom"/>
          </w:tcPr>
          <w:p w14:paraId="0F60DE6B" w14:textId="7D14E4E5" w:rsidR="00026504" w:rsidRPr="00026504" w:rsidRDefault="00026504" w:rsidP="00026504">
            <w:pPr>
              <w:pBdr>
                <w:bottom w:val="double" w:sz="4" w:space="0" w:color="000000"/>
              </w:pBdr>
              <w:spacing w:before="40"/>
              <w:jc w:val="right"/>
              <w:rPr>
                <w:sz w:val="22"/>
                <w:szCs w:val="22"/>
              </w:rPr>
            </w:pPr>
            <w:r w:rsidRPr="00026504">
              <w:rPr>
                <w:sz w:val="22"/>
                <w:szCs w:val="22"/>
              </w:rPr>
              <w:t>1,492</w:t>
            </w:r>
          </w:p>
        </w:tc>
      </w:tr>
    </w:tbl>
    <w:p w14:paraId="671C44E0" w14:textId="77777777" w:rsidR="003D1055" w:rsidRPr="00F02921" w:rsidRDefault="003D1055" w:rsidP="004A3C21">
      <w:pPr>
        <w:ind w:left="720"/>
        <w:jc w:val="both"/>
        <w:rPr>
          <w:sz w:val="22"/>
          <w:szCs w:val="22"/>
        </w:rPr>
      </w:pPr>
    </w:p>
    <w:p w14:paraId="7B2481C4" w14:textId="77777777" w:rsidR="00C35D07" w:rsidRPr="00F02921" w:rsidRDefault="00556ECD" w:rsidP="00C01E5D">
      <w:pPr>
        <w:ind w:left="567" w:hanging="567"/>
        <w:jc w:val="both"/>
        <w:outlineLvl w:val="3"/>
        <w:rPr>
          <w:b/>
          <w:bCs/>
          <w:sz w:val="22"/>
          <w:szCs w:val="22"/>
        </w:rPr>
      </w:pPr>
      <w:bookmarkStart w:id="198" w:name="H4_BLiquidity_risk"/>
      <w:r w:rsidRPr="007C2983">
        <w:rPr>
          <w:b/>
          <w:bCs/>
          <w:sz w:val="22"/>
          <w:szCs w:val="22"/>
        </w:rPr>
        <w:t>B.</w:t>
      </w:r>
      <w:r w:rsidRPr="007C2983">
        <w:rPr>
          <w:b/>
          <w:bCs/>
          <w:sz w:val="22"/>
          <w:szCs w:val="22"/>
        </w:rPr>
        <w:tab/>
      </w:r>
      <w:r w:rsidR="00C35D07" w:rsidRPr="007C2983">
        <w:rPr>
          <w:b/>
          <w:bCs/>
          <w:sz w:val="22"/>
          <w:szCs w:val="22"/>
        </w:rPr>
        <w:t>Liquidity risk</w:t>
      </w:r>
    </w:p>
    <w:bookmarkEnd w:id="198"/>
    <w:p w14:paraId="429331D7" w14:textId="77777777" w:rsidR="00C35D07" w:rsidRPr="00F02921" w:rsidRDefault="00C35D07" w:rsidP="004A3C21">
      <w:pPr>
        <w:ind w:left="720"/>
        <w:jc w:val="both"/>
        <w:rPr>
          <w:sz w:val="22"/>
          <w:szCs w:val="22"/>
        </w:rPr>
      </w:pPr>
    </w:p>
    <w:p w14:paraId="23EBE5D7" w14:textId="77777777" w:rsidR="00C35D07" w:rsidRPr="00F02921" w:rsidRDefault="00C35D07" w:rsidP="004A3C21">
      <w:pPr>
        <w:ind w:left="720"/>
        <w:jc w:val="both"/>
        <w:rPr>
          <w:sz w:val="22"/>
          <w:szCs w:val="22"/>
        </w:rPr>
      </w:pPr>
      <w:r w:rsidRPr="00F02921">
        <w:rPr>
          <w:sz w:val="22"/>
          <w:szCs w:val="22"/>
        </w:rPr>
        <w:t>The following are the contractual maturities of financial liabilities, including estimated interest payments and excluding the impact of netting agreements:</w:t>
      </w:r>
    </w:p>
    <w:p w14:paraId="2BDD2FB1" w14:textId="77777777" w:rsidR="00C35D07" w:rsidRPr="00AA0C77" w:rsidRDefault="00C35D07" w:rsidP="004A3C21">
      <w:pPr>
        <w:ind w:left="720"/>
        <w:jc w:val="both"/>
        <w:rPr>
          <w:sz w:val="14"/>
          <w:szCs w:val="14"/>
        </w:rPr>
      </w:pPr>
    </w:p>
    <w:p w14:paraId="5F7B50D2" w14:textId="0881A880" w:rsidR="00C35D07" w:rsidRPr="001E2335" w:rsidRDefault="001E2335" w:rsidP="001E2335">
      <w:pPr>
        <w:ind w:left="720"/>
        <w:jc w:val="both"/>
        <w:rPr>
          <w:rFonts w:asciiTheme="majorBidi" w:hAnsiTheme="majorBidi" w:cstheme="majorBidi"/>
          <w:bCs/>
          <w:i/>
          <w:iCs/>
          <w:sz w:val="18"/>
          <w:lang w:bidi="he-IL"/>
        </w:rPr>
      </w:pPr>
      <w:r w:rsidRPr="00AF5B17">
        <w:rPr>
          <w:rStyle w:val="Koteret"/>
          <w:rFonts w:asciiTheme="majorBidi" w:hAnsiTheme="majorBidi" w:cstheme="majorBidi"/>
          <w:b w:val="0"/>
          <w:bCs/>
          <w:i/>
          <w:iCs/>
        </w:rPr>
        <w:t>In thousands of Euros</w:t>
      </w:r>
    </w:p>
    <w:tbl>
      <w:tblPr>
        <w:tblW w:w="10839" w:type="dxa"/>
        <w:tblInd w:w="-491" w:type="dxa"/>
        <w:tblLayout w:type="fixed"/>
        <w:tblLook w:val="06A0" w:firstRow="1" w:lastRow="0" w:firstColumn="1" w:lastColumn="0" w:noHBand="1" w:noVBand="1"/>
        <w:tblCaption w:val="AHR02"/>
        <w:tblDescription w:val="Liquidity risk year of report"/>
      </w:tblPr>
      <w:tblGrid>
        <w:gridCol w:w="2759"/>
        <w:gridCol w:w="1276"/>
        <w:gridCol w:w="1276"/>
        <w:gridCol w:w="1134"/>
        <w:gridCol w:w="1134"/>
        <w:gridCol w:w="992"/>
        <w:gridCol w:w="1134"/>
        <w:gridCol w:w="1134"/>
      </w:tblGrid>
      <w:tr w:rsidR="005101BC" w:rsidRPr="00AF5B17" w14:paraId="55AF1E6F" w14:textId="77777777" w:rsidTr="005101BC">
        <w:trPr>
          <w:cantSplit/>
          <w:trHeight w:val="283"/>
          <w:tblHeader/>
        </w:trPr>
        <w:tc>
          <w:tcPr>
            <w:tcW w:w="2759" w:type="dxa"/>
            <w:vMerge w:val="restart"/>
            <w:shd w:val="clear" w:color="auto" w:fill="auto"/>
            <w:noWrap/>
            <w:vAlign w:val="bottom"/>
          </w:tcPr>
          <w:p w14:paraId="18D878FC" w14:textId="168CD1B6" w:rsidR="005101BC" w:rsidRPr="00AF5B17" w:rsidRDefault="005101BC" w:rsidP="00237FC5">
            <w:pPr>
              <w:ind w:left="720"/>
              <w:jc w:val="both"/>
              <w:rPr>
                <w:rFonts w:asciiTheme="majorBidi" w:hAnsiTheme="majorBidi" w:cstheme="majorBidi"/>
                <w:bCs/>
                <w:i/>
                <w:iCs/>
                <w:sz w:val="18"/>
                <w:lang w:bidi="he-IL"/>
              </w:rPr>
            </w:pPr>
            <w:bookmarkStart w:id="199" w:name="Title_52" w:colFirst="0" w:colLast="0"/>
          </w:p>
        </w:tc>
        <w:tc>
          <w:tcPr>
            <w:tcW w:w="8080" w:type="dxa"/>
            <w:gridSpan w:val="7"/>
            <w:shd w:val="clear" w:color="auto" w:fill="auto"/>
            <w:noWrap/>
            <w:vAlign w:val="bottom"/>
          </w:tcPr>
          <w:p w14:paraId="43A61637" w14:textId="23E8ABB2" w:rsidR="005101BC" w:rsidRPr="00D27AB9" w:rsidRDefault="005101BC" w:rsidP="00543265">
            <w:pPr>
              <w:pBdr>
                <w:bottom w:val="single" w:sz="4" w:space="1" w:color="auto"/>
              </w:pBdr>
              <w:bidi/>
              <w:spacing w:before="40"/>
              <w:ind w:left="57"/>
              <w:jc w:val="center"/>
              <w:rPr>
                <w:rFonts w:asciiTheme="majorBidi" w:hAnsiTheme="majorBidi" w:cstheme="majorBidi"/>
                <w:b/>
                <w:bCs/>
                <w:color w:val="000000"/>
                <w:sz w:val="20"/>
                <w:rtl/>
                <w:lang w:bidi="he-IL"/>
              </w:rPr>
            </w:pPr>
            <w:r w:rsidRPr="00D27AB9">
              <w:rPr>
                <w:rFonts w:asciiTheme="majorBidi" w:hAnsiTheme="majorBidi" w:cstheme="majorBidi"/>
                <w:b/>
                <w:bCs/>
                <w:color w:val="000000"/>
                <w:sz w:val="20"/>
              </w:rPr>
              <w:t>As of December 31, 20</w:t>
            </w:r>
            <w:r w:rsidRPr="00D27AB9">
              <w:rPr>
                <w:rFonts w:asciiTheme="majorBidi" w:hAnsiTheme="majorBidi" w:cstheme="majorBidi"/>
                <w:b/>
                <w:bCs/>
                <w:color w:val="000000"/>
                <w:sz w:val="20"/>
                <w:lang w:bidi="he-IL"/>
              </w:rPr>
              <w:t>24</w:t>
            </w:r>
          </w:p>
        </w:tc>
      </w:tr>
      <w:bookmarkEnd w:id="199"/>
      <w:tr w:rsidR="005101BC" w:rsidRPr="00AF5B17" w14:paraId="24D386E4" w14:textId="77777777" w:rsidTr="005101BC">
        <w:trPr>
          <w:cantSplit/>
          <w:trHeight w:val="566"/>
          <w:tblHeader/>
        </w:trPr>
        <w:tc>
          <w:tcPr>
            <w:tcW w:w="2759" w:type="dxa"/>
            <w:vMerge/>
            <w:shd w:val="clear" w:color="auto" w:fill="auto"/>
            <w:noWrap/>
            <w:vAlign w:val="bottom"/>
            <w:hideMark/>
          </w:tcPr>
          <w:p w14:paraId="3A2F7C17" w14:textId="77777777" w:rsidR="005101BC" w:rsidRPr="00AF5B17" w:rsidRDefault="005101BC">
            <w:pPr>
              <w:spacing w:before="40"/>
              <w:rPr>
                <w:rFonts w:asciiTheme="majorBidi" w:eastAsia="Arial" w:hAnsiTheme="majorBidi" w:cstheme="majorBidi"/>
                <w:sz w:val="20"/>
              </w:rPr>
            </w:pPr>
          </w:p>
        </w:tc>
        <w:tc>
          <w:tcPr>
            <w:tcW w:w="1276" w:type="dxa"/>
            <w:shd w:val="clear" w:color="auto" w:fill="auto"/>
            <w:noWrap/>
            <w:vAlign w:val="bottom"/>
            <w:hideMark/>
          </w:tcPr>
          <w:p w14:paraId="5080F3F2" w14:textId="77777777" w:rsidR="005101BC" w:rsidRPr="00AF5B17" w:rsidRDefault="005101BC" w:rsidP="00543265">
            <w:pPr>
              <w:spacing w:before="40"/>
              <w:jc w:val="center"/>
              <w:rPr>
                <w:rFonts w:asciiTheme="majorBidi" w:hAnsiTheme="majorBidi" w:cstheme="majorBidi"/>
                <w:b/>
                <w:bCs/>
                <w:sz w:val="20"/>
              </w:rPr>
            </w:pPr>
            <w:r w:rsidRPr="00AF5B17">
              <w:rPr>
                <w:rFonts w:asciiTheme="majorBidi" w:hAnsiTheme="majorBidi" w:cstheme="majorBidi"/>
                <w:b/>
                <w:bCs/>
                <w:color w:val="000000"/>
                <w:sz w:val="20"/>
              </w:rPr>
              <w:t>Carrying</w:t>
            </w:r>
          </w:p>
          <w:p w14:paraId="4AB84A2F" w14:textId="7E1B61C1" w:rsidR="005101BC" w:rsidRPr="00AF5B17" w:rsidRDefault="005101BC" w:rsidP="00543265">
            <w:pPr>
              <w:pBdr>
                <w:bottom w:val="single" w:sz="4" w:space="0" w:color="000000"/>
              </w:pBdr>
              <w:spacing w:before="40"/>
              <w:jc w:val="center"/>
              <w:rPr>
                <w:rFonts w:asciiTheme="majorBidi" w:hAnsiTheme="majorBidi" w:cstheme="majorBidi"/>
                <w:b/>
                <w:bCs/>
                <w:sz w:val="20"/>
              </w:rPr>
            </w:pPr>
            <w:r w:rsidRPr="00AF5B17">
              <w:rPr>
                <w:rFonts w:asciiTheme="majorBidi" w:hAnsiTheme="majorBidi" w:cstheme="majorBidi"/>
                <w:b/>
                <w:bCs/>
                <w:color w:val="000000"/>
                <w:sz w:val="20"/>
              </w:rPr>
              <w:t>amount</w:t>
            </w:r>
          </w:p>
        </w:tc>
        <w:tc>
          <w:tcPr>
            <w:tcW w:w="1276" w:type="dxa"/>
            <w:shd w:val="clear" w:color="auto" w:fill="auto"/>
            <w:noWrap/>
            <w:vAlign w:val="bottom"/>
            <w:hideMark/>
          </w:tcPr>
          <w:p w14:paraId="490A08FC" w14:textId="77777777" w:rsidR="005101BC" w:rsidRPr="00AF5B17" w:rsidRDefault="005101BC" w:rsidP="00543265">
            <w:pPr>
              <w:spacing w:before="40"/>
              <w:jc w:val="center"/>
              <w:rPr>
                <w:rFonts w:asciiTheme="majorBidi" w:hAnsiTheme="majorBidi" w:cstheme="majorBidi"/>
                <w:b/>
                <w:bCs/>
                <w:sz w:val="20"/>
              </w:rPr>
            </w:pPr>
            <w:r w:rsidRPr="00AF5B17">
              <w:rPr>
                <w:rFonts w:asciiTheme="majorBidi" w:hAnsiTheme="majorBidi" w:cstheme="majorBidi"/>
                <w:b/>
                <w:bCs/>
                <w:color w:val="000000"/>
                <w:sz w:val="20"/>
              </w:rPr>
              <w:t>Contractual</w:t>
            </w:r>
          </w:p>
          <w:p w14:paraId="1B02C006" w14:textId="21078E4E" w:rsidR="005101BC" w:rsidRPr="00AF5B17" w:rsidRDefault="005101BC" w:rsidP="00543265">
            <w:pPr>
              <w:pBdr>
                <w:bottom w:val="single" w:sz="4" w:space="0" w:color="000000"/>
              </w:pBdr>
              <w:spacing w:before="40"/>
              <w:jc w:val="center"/>
              <w:rPr>
                <w:rFonts w:asciiTheme="majorBidi" w:hAnsiTheme="majorBidi" w:cstheme="majorBidi"/>
                <w:b/>
                <w:bCs/>
                <w:sz w:val="20"/>
              </w:rPr>
            </w:pPr>
            <w:r w:rsidRPr="00AF5B17">
              <w:rPr>
                <w:rFonts w:asciiTheme="majorBidi" w:hAnsiTheme="majorBidi" w:cstheme="majorBidi"/>
                <w:b/>
                <w:bCs/>
                <w:color w:val="000000"/>
                <w:sz w:val="20"/>
              </w:rPr>
              <w:t>cash flows</w:t>
            </w:r>
          </w:p>
        </w:tc>
        <w:tc>
          <w:tcPr>
            <w:tcW w:w="1134" w:type="dxa"/>
            <w:shd w:val="clear" w:color="auto" w:fill="auto"/>
            <w:noWrap/>
            <w:vAlign w:val="bottom"/>
            <w:hideMark/>
          </w:tcPr>
          <w:p w14:paraId="1260755A" w14:textId="77777777" w:rsidR="005101BC" w:rsidRPr="00AF5B17" w:rsidRDefault="005101BC" w:rsidP="00543265">
            <w:pPr>
              <w:spacing w:before="40"/>
              <w:jc w:val="center"/>
              <w:rPr>
                <w:rFonts w:asciiTheme="majorBidi" w:hAnsiTheme="majorBidi" w:cstheme="majorBidi"/>
                <w:b/>
                <w:bCs/>
                <w:sz w:val="20"/>
              </w:rPr>
            </w:pPr>
            <w:r w:rsidRPr="00AF5B17">
              <w:rPr>
                <w:rFonts w:asciiTheme="majorBidi" w:hAnsiTheme="majorBidi" w:cstheme="majorBidi"/>
                <w:b/>
                <w:bCs/>
                <w:color w:val="000000"/>
                <w:sz w:val="20"/>
              </w:rPr>
              <w:t xml:space="preserve">6 </w:t>
            </w:r>
            <w:proofErr w:type="gramStart"/>
            <w:r w:rsidRPr="00AF5B17">
              <w:rPr>
                <w:rFonts w:asciiTheme="majorBidi" w:hAnsiTheme="majorBidi" w:cstheme="majorBidi"/>
                <w:b/>
                <w:bCs/>
                <w:color w:val="000000"/>
                <w:sz w:val="20"/>
              </w:rPr>
              <w:t>moths</w:t>
            </w:r>
            <w:proofErr w:type="gramEnd"/>
          </w:p>
          <w:p w14:paraId="538D5C94" w14:textId="1982AD94" w:rsidR="005101BC" w:rsidRPr="00AF5B17" w:rsidRDefault="005101BC" w:rsidP="00543265">
            <w:pPr>
              <w:pBdr>
                <w:bottom w:val="single" w:sz="4" w:space="0" w:color="000000"/>
              </w:pBdr>
              <w:spacing w:before="40"/>
              <w:jc w:val="center"/>
              <w:rPr>
                <w:rFonts w:asciiTheme="majorBidi" w:hAnsiTheme="majorBidi" w:cstheme="majorBidi"/>
                <w:b/>
                <w:bCs/>
                <w:sz w:val="20"/>
              </w:rPr>
            </w:pPr>
            <w:r w:rsidRPr="00AF5B17">
              <w:rPr>
                <w:rFonts w:asciiTheme="majorBidi" w:hAnsiTheme="majorBidi" w:cstheme="majorBidi"/>
                <w:b/>
                <w:bCs/>
                <w:color w:val="000000"/>
                <w:sz w:val="20"/>
              </w:rPr>
              <w:t>or less</w:t>
            </w:r>
          </w:p>
        </w:tc>
        <w:tc>
          <w:tcPr>
            <w:tcW w:w="1134" w:type="dxa"/>
            <w:shd w:val="clear" w:color="auto" w:fill="auto"/>
            <w:noWrap/>
            <w:vAlign w:val="bottom"/>
            <w:hideMark/>
          </w:tcPr>
          <w:p w14:paraId="3E17DC9E" w14:textId="77777777" w:rsidR="005101BC" w:rsidRPr="00AF5B17" w:rsidRDefault="005101BC" w:rsidP="00543265">
            <w:pPr>
              <w:spacing w:before="40"/>
              <w:jc w:val="center"/>
              <w:rPr>
                <w:rFonts w:asciiTheme="majorBidi" w:hAnsiTheme="majorBidi" w:cstheme="majorBidi"/>
                <w:b/>
                <w:bCs/>
                <w:sz w:val="20"/>
              </w:rPr>
            </w:pPr>
            <w:r w:rsidRPr="00AF5B17">
              <w:rPr>
                <w:rFonts w:asciiTheme="majorBidi" w:hAnsiTheme="majorBidi" w:cstheme="majorBidi"/>
                <w:b/>
                <w:bCs/>
                <w:color w:val="000000"/>
                <w:sz w:val="20"/>
              </w:rPr>
              <w:t>6-12</w:t>
            </w:r>
          </w:p>
          <w:p w14:paraId="71256EA8" w14:textId="347764B4" w:rsidR="005101BC" w:rsidRPr="00AF5B17" w:rsidRDefault="005101BC" w:rsidP="00543265">
            <w:pPr>
              <w:pBdr>
                <w:bottom w:val="single" w:sz="4" w:space="0" w:color="000000"/>
              </w:pBdr>
              <w:spacing w:before="40"/>
              <w:jc w:val="center"/>
              <w:rPr>
                <w:rFonts w:asciiTheme="majorBidi" w:hAnsiTheme="majorBidi" w:cstheme="majorBidi"/>
                <w:b/>
                <w:bCs/>
                <w:sz w:val="20"/>
              </w:rPr>
            </w:pPr>
            <w:r w:rsidRPr="00AF5B17">
              <w:rPr>
                <w:rFonts w:asciiTheme="majorBidi" w:hAnsiTheme="majorBidi" w:cstheme="majorBidi"/>
                <w:b/>
                <w:bCs/>
                <w:color w:val="000000"/>
                <w:sz w:val="20"/>
              </w:rPr>
              <w:t>months</w:t>
            </w:r>
          </w:p>
        </w:tc>
        <w:tc>
          <w:tcPr>
            <w:tcW w:w="992" w:type="dxa"/>
            <w:shd w:val="clear" w:color="auto" w:fill="auto"/>
            <w:noWrap/>
            <w:vAlign w:val="bottom"/>
            <w:hideMark/>
          </w:tcPr>
          <w:p w14:paraId="6C1CAF81" w14:textId="77777777" w:rsidR="005101BC" w:rsidRPr="00AF5B17" w:rsidRDefault="005101BC" w:rsidP="00543265">
            <w:pPr>
              <w:spacing w:before="40"/>
              <w:jc w:val="center"/>
              <w:rPr>
                <w:rFonts w:asciiTheme="majorBidi" w:hAnsiTheme="majorBidi" w:cstheme="majorBidi"/>
                <w:b/>
                <w:bCs/>
                <w:sz w:val="20"/>
              </w:rPr>
            </w:pPr>
            <w:r w:rsidRPr="00AF5B17">
              <w:rPr>
                <w:rFonts w:asciiTheme="majorBidi" w:hAnsiTheme="majorBidi" w:cstheme="majorBidi"/>
                <w:b/>
                <w:bCs/>
                <w:sz w:val="20"/>
              </w:rPr>
              <w:t>1-2</w:t>
            </w:r>
          </w:p>
          <w:p w14:paraId="44131B84" w14:textId="2385CB98" w:rsidR="005101BC" w:rsidRPr="00AF5B17" w:rsidRDefault="005101BC" w:rsidP="00543265">
            <w:pPr>
              <w:pBdr>
                <w:bottom w:val="single" w:sz="4" w:space="0" w:color="000000"/>
              </w:pBdr>
              <w:spacing w:before="40"/>
              <w:jc w:val="center"/>
              <w:rPr>
                <w:rFonts w:asciiTheme="majorBidi" w:hAnsiTheme="majorBidi" w:cstheme="majorBidi"/>
                <w:b/>
                <w:bCs/>
                <w:sz w:val="20"/>
              </w:rPr>
            </w:pPr>
            <w:r w:rsidRPr="00AF5B17">
              <w:rPr>
                <w:rFonts w:asciiTheme="majorBidi" w:hAnsiTheme="majorBidi" w:cstheme="majorBidi"/>
                <w:b/>
                <w:bCs/>
                <w:color w:val="000000"/>
                <w:sz w:val="20"/>
              </w:rPr>
              <w:t>years</w:t>
            </w:r>
          </w:p>
        </w:tc>
        <w:tc>
          <w:tcPr>
            <w:tcW w:w="1134" w:type="dxa"/>
            <w:shd w:val="clear" w:color="auto" w:fill="auto"/>
            <w:noWrap/>
            <w:vAlign w:val="bottom"/>
            <w:hideMark/>
          </w:tcPr>
          <w:p w14:paraId="2B85E6AB" w14:textId="2D30AA21" w:rsidR="005101BC" w:rsidRPr="00AF5B17" w:rsidRDefault="005101BC" w:rsidP="00543265">
            <w:pPr>
              <w:spacing w:before="40"/>
              <w:jc w:val="center"/>
              <w:rPr>
                <w:rFonts w:asciiTheme="majorBidi" w:hAnsiTheme="majorBidi" w:cstheme="majorBidi"/>
                <w:b/>
                <w:bCs/>
                <w:sz w:val="20"/>
              </w:rPr>
            </w:pPr>
            <w:r w:rsidRPr="00AF5B17">
              <w:rPr>
                <w:rFonts w:asciiTheme="majorBidi" w:hAnsiTheme="majorBidi" w:cstheme="majorBidi"/>
                <w:b/>
                <w:bCs/>
                <w:color w:val="000000"/>
                <w:sz w:val="20"/>
              </w:rPr>
              <w:t>2-5</w:t>
            </w:r>
          </w:p>
          <w:p w14:paraId="2C1373CA" w14:textId="4AEF0915" w:rsidR="005101BC" w:rsidRPr="00AF5B17" w:rsidRDefault="005101BC" w:rsidP="00543265">
            <w:pPr>
              <w:pBdr>
                <w:bottom w:val="single" w:sz="4" w:space="0" w:color="000000"/>
              </w:pBdr>
              <w:spacing w:before="40"/>
              <w:jc w:val="center"/>
              <w:rPr>
                <w:rFonts w:asciiTheme="majorBidi" w:hAnsiTheme="majorBidi" w:cstheme="majorBidi"/>
                <w:b/>
                <w:bCs/>
                <w:sz w:val="20"/>
              </w:rPr>
            </w:pPr>
            <w:r w:rsidRPr="00AF5B17">
              <w:rPr>
                <w:rFonts w:asciiTheme="majorBidi" w:hAnsiTheme="majorBidi" w:cstheme="majorBidi"/>
                <w:b/>
                <w:bCs/>
                <w:color w:val="000000"/>
                <w:sz w:val="20"/>
              </w:rPr>
              <w:t>years</w:t>
            </w:r>
          </w:p>
        </w:tc>
        <w:tc>
          <w:tcPr>
            <w:tcW w:w="1134" w:type="dxa"/>
            <w:shd w:val="clear" w:color="auto" w:fill="auto"/>
            <w:noWrap/>
            <w:vAlign w:val="bottom"/>
            <w:hideMark/>
          </w:tcPr>
          <w:p w14:paraId="0BE5550D" w14:textId="77777777" w:rsidR="005101BC" w:rsidRPr="00AF5B17" w:rsidRDefault="005101BC" w:rsidP="00543265">
            <w:pPr>
              <w:spacing w:before="40"/>
              <w:jc w:val="center"/>
              <w:rPr>
                <w:rFonts w:asciiTheme="majorBidi" w:hAnsiTheme="majorBidi" w:cstheme="majorBidi"/>
                <w:b/>
                <w:bCs/>
                <w:sz w:val="20"/>
              </w:rPr>
            </w:pPr>
            <w:r w:rsidRPr="00AF5B17">
              <w:rPr>
                <w:rFonts w:asciiTheme="majorBidi" w:hAnsiTheme="majorBidi" w:cstheme="majorBidi"/>
                <w:b/>
                <w:bCs/>
                <w:color w:val="000000"/>
                <w:sz w:val="20"/>
              </w:rPr>
              <w:t>More than</w:t>
            </w:r>
          </w:p>
          <w:p w14:paraId="014DE840" w14:textId="77FC88FE" w:rsidR="005101BC" w:rsidRPr="00AF5B17" w:rsidRDefault="005101BC" w:rsidP="00543265">
            <w:pPr>
              <w:pBdr>
                <w:bottom w:val="single" w:sz="4" w:space="0" w:color="000000"/>
              </w:pBdr>
              <w:spacing w:before="40"/>
              <w:jc w:val="center"/>
              <w:rPr>
                <w:rFonts w:asciiTheme="majorBidi" w:hAnsiTheme="majorBidi" w:cstheme="majorBidi"/>
                <w:b/>
                <w:bCs/>
                <w:sz w:val="20"/>
              </w:rPr>
            </w:pPr>
            <w:r w:rsidRPr="00AF5B17">
              <w:rPr>
                <w:rFonts w:asciiTheme="majorBidi" w:hAnsiTheme="majorBidi" w:cstheme="majorBidi"/>
                <w:b/>
                <w:bCs/>
                <w:color w:val="000000"/>
                <w:sz w:val="20"/>
              </w:rPr>
              <w:t>5 years</w:t>
            </w:r>
          </w:p>
        </w:tc>
      </w:tr>
      <w:tr w:rsidR="006C75F9" w:rsidRPr="00AF5B17" w14:paraId="35474C03" w14:textId="77777777" w:rsidTr="005101BC">
        <w:trPr>
          <w:trHeight w:val="283"/>
        </w:trPr>
        <w:tc>
          <w:tcPr>
            <w:tcW w:w="2759" w:type="dxa"/>
            <w:shd w:val="clear" w:color="auto" w:fill="auto"/>
            <w:vAlign w:val="bottom"/>
            <w:hideMark/>
          </w:tcPr>
          <w:p w14:paraId="74DC532A" w14:textId="77777777" w:rsidR="001141B2" w:rsidRPr="00E43187" w:rsidRDefault="005F2ABB">
            <w:pPr>
              <w:spacing w:before="40"/>
              <w:rPr>
                <w:rFonts w:asciiTheme="majorBidi" w:hAnsiTheme="majorBidi" w:cstheme="majorBidi"/>
                <w:sz w:val="20"/>
                <w:u w:val="single"/>
              </w:rPr>
            </w:pPr>
            <w:r w:rsidRPr="00E43187">
              <w:rPr>
                <w:rFonts w:asciiTheme="majorBidi" w:hAnsiTheme="majorBidi" w:cstheme="majorBidi"/>
                <w:color w:val="000000"/>
                <w:sz w:val="20"/>
                <w:u w:val="single"/>
              </w:rPr>
              <w:t>Non-derivative financial</w:t>
            </w:r>
            <w:r w:rsidRPr="00E43187">
              <w:rPr>
                <w:rFonts w:asciiTheme="majorBidi" w:hAnsiTheme="majorBidi" w:cstheme="majorBidi"/>
                <w:color w:val="000000"/>
                <w:sz w:val="20"/>
                <w:u w:val="single"/>
              </w:rPr>
              <w:br/>
              <w:t> liabilities:</w:t>
            </w:r>
          </w:p>
        </w:tc>
        <w:tc>
          <w:tcPr>
            <w:tcW w:w="1276" w:type="dxa"/>
            <w:shd w:val="clear" w:color="auto" w:fill="auto"/>
            <w:noWrap/>
            <w:vAlign w:val="bottom"/>
            <w:hideMark/>
          </w:tcPr>
          <w:p w14:paraId="436F70E3" w14:textId="77777777" w:rsidR="001141B2" w:rsidRPr="00747E72" w:rsidRDefault="001141B2" w:rsidP="00D27AB9">
            <w:pPr>
              <w:spacing w:before="40"/>
              <w:jc w:val="right"/>
              <w:rPr>
                <w:rFonts w:asciiTheme="majorBidi" w:eastAsia="Arial" w:hAnsiTheme="majorBidi" w:cstheme="majorBidi"/>
                <w:sz w:val="22"/>
                <w:szCs w:val="22"/>
              </w:rPr>
            </w:pPr>
          </w:p>
        </w:tc>
        <w:tc>
          <w:tcPr>
            <w:tcW w:w="1276" w:type="dxa"/>
            <w:shd w:val="clear" w:color="auto" w:fill="auto"/>
            <w:noWrap/>
            <w:vAlign w:val="bottom"/>
            <w:hideMark/>
          </w:tcPr>
          <w:p w14:paraId="254A8D68" w14:textId="77777777" w:rsidR="001141B2" w:rsidRPr="00747E72" w:rsidRDefault="001141B2" w:rsidP="00D27AB9">
            <w:pPr>
              <w:spacing w:before="40"/>
              <w:jc w:val="right"/>
              <w:rPr>
                <w:rFonts w:asciiTheme="majorBidi" w:eastAsia="Arial" w:hAnsiTheme="majorBidi" w:cstheme="majorBidi"/>
                <w:sz w:val="22"/>
                <w:szCs w:val="22"/>
              </w:rPr>
            </w:pPr>
          </w:p>
        </w:tc>
        <w:tc>
          <w:tcPr>
            <w:tcW w:w="1134" w:type="dxa"/>
            <w:shd w:val="clear" w:color="auto" w:fill="auto"/>
            <w:noWrap/>
            <w:vAlign w:val="bottom"/>
            <w:hideMark/>
          </w:tcPr>
          <w:p w14:paraId="381F998F" w14:textId="77777777" w:rsidR="001141B2" w:rsidRPr="00747E72" w:rsidRDefault="001141B2" w:rsidP="00D27AB9">
            <w:pPr>
              <w:spacing w:before="40"/>
              <w:jc w:val="right"/>
              <w:rPr>
                <w:rFonts w:asciiTheme="majorBidi" w:eastAsia="Arial" w:hAnsiTheme="majorBidi" w:cstheme="majorBidi"/>
                <w:sz w:val="22"/>
                <w:szCs w:val="22"/>
              </w:rPr>
            </w:pPr>
          </w:p>
        </w:tc>
        <w:tc>
          <w:tcPr>
            <w:tcW w:w="1134" w:type="dxa"/>
            <w:shd w:val="clear" w:color="auto" w:fill="auto"/>
            <w:noWrap/>
            <w:vAlign w:val="bottom"/>
            <w:hideMark/>
          </w:tcPr>
          <w:p w14:paraId="2F52E76E" w14:textId="77777777" w:rsidR="001141B2" w:rsidRPr="00747E72" w:rsidRDefault="001141B2" w:rsidP="00D27AB9">
            <w:pPr>
              <w:spacing w:before="40"/>
              <w:jc w:val="right"/>
              <w:rPr>
                <w:rFonts w:asciiTheme="majorBidi" w:eastAsia="Arial" w:hAnsiTheme="majorBidi" w:cstheme="majorBidi"/>
                <w:sz w:val="22"/>
                <w:szCs w:val="22"/>
              </w:rPr>
            </w:pPr>
          </w:p>
        </w:tc>
        <w:tc>
          <w:tcPr>
            <w:tcW w:w="992" w:type="dxa"/>
            <w:shd w:val="clear" w:color="auto" w:fill="auto"/>
            <w:noWrap/>
            <w:vAlign w:val="bottom"/>
            <w:hideMark/>
          </w:tcPr>
          <w:p w14:paraId="1A8530B1" w14:textId="77777777" w:rsidR="001141B2" w:rsidRPr="00747E72" w:rsidRDefault="001141B2" w:rsidP="00D27AB9">
            <w:pPr>
              <w:spacing w:before="40"/>
              <w:jc w:val="right"/>
              <w:rPr>
                <w:rFonts w:asciiTheme="majorBidi" w:eastAsia="Arial" w:hAnsiTheme="majorBidi" w:cstheme="majorBidi"/>
                <w:sz w:val="22"/>
                <w:szCs w:val="22"/>
              </w:rPr>
            </w:pPr>
          </w:p>
        </w:tc>
        <w:tc>
          <w:tcPr>
            <w:tcW w:w="1134" w:type="dxa"/>
            <w:shd w:val="clear" w:color="auto" w:fill="auto"/>
            <w:noWrap/>
            <w:vAlign w:val="bottom"/>
            <w:hideMark/>
          </w:tcPr>
          <w:p w14:paraId="02A9C5F4" w14:textId="77777777" w:rsidR="001141B2" w:rsidRPr="00747E72" w:rsidRDefault="001141B2" w:rsidP="00D27AB9">
            <w:pPr>
              <w:spacing w:before="40"/>
              <w:jc w:val="right"/>
              <w:rPr>
                <w:rFonts w:asciiTheme="majorBidi" w:eastAsia="Arial" w:hAnsiTheme="majorBidi" w:cstheme="majorBidi"/>
                <w:sz w:val="22"/>
                <w:szCs w:val="22"/>
              </w:rPr>
            </w:pPr>
          </w:p>
        </w:tc>
        <w:tc>
          <w:tcPr>
            <w:tcW w:w="1134" w:type="dxa"/>
            <w:shd w:val="clear" w:color="auto" w:fill="auto"/>
            <w:noWrap/>
            <w:vAlign w:val="bottom"/>
            <w:hideMark/>
          </w:tcPr>
          <w:p w14:paraId="461BD857" w14:textId="77777777" w:rsidR="001141B2" w:rsidRPr="00747E72" w:rsidRDefault="001141B2" w:rsidP="00D27AB9">
            <w:pPr>
              <w:spacing w:before="40"/>
              <w:jc w:val="right"/>
              <w:rPr>
                <w:rFonts w:asciiTheme="majorBidi" w:eastAsia="Arial" w:hAnsiTheme="majorBidi" w:cstheme="majorBidi"/>
                <w:sz w:val="22"/>
                <w:szCs w:val="22"/>
              </w:rPr>
            </w:pPr>
          </w:p>
        </w:tc>
      </w:tr>
      <w:tr w:rsidR="00252209" w:rsidRPr="00AF5B17" w14:paraId="52339549" w14:textId="77777777" w:rsidTr="005101BC">
        <w:trPr>
          <w:trHeight w:val="283"/>
        </w:trPr>
        <w:tc>
          <w:tcPr>
            <w:tcW w:w="2759" w:type="dxa"/>
            <w:shd w:val="clear" w:color="auto" w:fill="auto"/>
            <w:vAlign w:val="bottom"/>
            <w:hideMark/>
          </w:tcPr>
          <w:p w14:paraId="0B3BE7BC" w14:textId="77777777" w:rsidR="00252209" w:rsidRPr="00E43187" w:rsidRDefault="00252209" w:rsidP="00252209">
            <w:pPr>
              <w:spacing w:before="40"/>
              <w:rPr>
                <w:rFonts w:asciiTheme="majorBidi" w:hAnsiTheme="majorBidi" w:cstheme="majorBidi"/>
                <w:sz w:val="20"/>
              </w:rPr>
            </w:pPr>
            <w:r w:rsidRPr="00E43187">
              <w:rPr>
                <w:rFonts w:asciiTheme="majorBidi" w:hAnsiTheme="majorBidi" w:cstheme="majorBidi"/>
                <w:color w:val="000000"/>
                <w:sz w:val="20"/>
              </w:rPr>
              <w:t>Secured bank loans</w:t>
            </w:r>
          </w:p>
        </w:tc>
        <w:tc>
          <w:tcPr>
            <w:tcW w:w="1276" w:type="dxa"/>
            <w:shd w:val="clear" w:color="auto" w:fill="auto"/>
            <w:noWrap/>
            <w:vAlign w:val="bottom"/>
          </w:tcPr>
          <w:p w14:paraId="1435C634" w14:textId="7B90556F" w:rsidR="00252209" w:rsidRPr="00D27AB9" w:rsidRDefault="00252209" w:rsidP="00D27AB9">
            <w:pPr>
              <w:spacing w:before="40"/>
              <w:jc w:val="right"/>
              <w:rPr>
                <w:rFonts w:asciiTheme="majorBidi" w:eastAsia="Arial" w:hAnsiTheme="majorBidi" w:cstheme="majorBidi"/>
                <w:sz w:val="18"/>
                <w:szCs w:val="18"/>
              </w:rPr>
            </w:pPr>
            <w:r w:rsidRPr="00D27AB9">
              <w:rPr>
                <w:rFonts w:asciiTheme="majorBidi" w:eastAsia="Arial" w:hAnsiTheme="majorBidi" w:cstheme="majorBidi"/>
                <w:sz w:val="18"/>
                <w:szCs w:val="18"/>
              </w:rPr>
              <w:t>1,208,529</w:t>
            </w:r>
          </w:p>
        </w:tc>
        <w:tc>
          <w:tcPr>
            <w:tcW w:w="1276" w:type="dxa"/>
            <w:shd w:val="clear" w:color="auto" w:fill="auto"/>
            <w:noWrap/>
            <w:vAlign w:val="bottom"/>
          </w:tcPr>
          <w:p w14:paraId="6E01877D" w14:textId="57EDD068" w:rsidR="00252209" w:rsidRPr="00D27AB9" w:rsidRDefault="00252209" w:rsidP="00D27AB9">
            <w:pPr>
              <w:spacing w:before="40"/>
              <w:jc w:val="right"/>
              <w:rPr>
                <w:rFonts w:asciiTheme="majorBidi" w:eastAsia="Arial" w:hAnsiTheme="majorBidi" w:cstheme="majorBidi"/>
                <w:sz w:val="18"/>
                <w:szCs w:val="18"/>
              </w:rPr>
            </w:pPr>
            <w:r w:rsidRPr="00D27AB9">
              <w:rPr>
                <w:rFonts w:asciiTheme="majorBidi" w:eastAsia="Arial" w:hAnsiTheme="majorBidi" w:cstheme="majorBidi"/>
                <w:sz w:val="18"/>
                <w:szCs w:val="18"/>
              </w:rPr>
              <w:t>1,364,689</w:t>
            </w:r>
          </w:p>
        </w:tc>
        <w:tc>
          <w:tcPr>
            <w:tcW w:w="1134" w:type="dxa"/>
            <w:shd w:val="clear" w:color="auto" w:fill="auto"/>
            <w:noWrap/>
            <w:vAlign w:val="bottom"/>
          </w:tcPr>
          <w:p w14:paraId="4BB7B501" w14:textId="7DAD9538" w:rsidR="00252209" w:rsidRPr="00D27AB9" w:rsidRDefault="00252209" w:rsidP="00D27AB9">
            <w:pPr>
              <w:spacing w:before="40"/>
              <w:jc w:val="right"/>
              <w:rPr>
                <w:rFonts w:asciiTheme="majorBidi" w:eastAsia="Arial" w:hAnsiTheme="majorBidi" w:cstheme="majorBidi"/>
                <w:sz w:val="18"/>
                <w:szCs w:val="18"/>
              </w:rPr>
            </w:pPr>
            <w:r w:rsidRPr="00D27AB9">
              <w:rPr>
                <w:rFonts w:asciiTheme="majorBidi" w:eastAsia="Arial" w:hAnsiTheme="majorBidi" w:cstheme="majorBidi"/>
                <w:sz w:val="18"/>
                <w:szCs w:val="18"/>
              </w:rPr>
              <w:t>56,099</w:t>
            </w:r>
          </w:p>
        </w:tc>
        <w:tc>
          <w:tcPr>
            <w:tcW w:w="1134" w:type="dxa"/>
            <w:shd w:val="clear" w:color="auto" w:fill="auto"/>
            <w:noWrap/>
            <w:vAlign w:val="bottom"/>
          </w:tcPr>
          <w:p w14:paraId="61A7C519" w14:textId="1ADF8214" w:rsidR="00252209" w:rsidRPr="00D27AB9" w:rsidRDefault="00252209" w:rsidP="00D27AB9">
            <w:pPr>
              <w:spacing w:before="40"/>
              <w:jc w:val="right"/>
              <w:rPr>
                <w:rFonts w:asciiTheme="majorBidi" w:eastAsia="Arial" w:hAnsiTheme="majorBidi" w:cstheme="majorBidi"/>
                <w:sz w:val="18"/>
                <w:szCs w:val="18"/>
              </w:rPr>
            </w:pPr>
            <w:r w:rsidRPr="00D27AB9">
              <w:rPr>
                <w:rFonts w:asciiTheme="majorBidi" w:eastAsia="Arial" w:hAnsiTheme="majorBidi" w:cstheme="majorBidi"/>
                <w:sz w:val="18"/>
                <w:szCs w:val="18"/>
              </w:rPr>
              <w:t>294,352</w:t>
            </w:r>
          </w:p>
        </w:tc>
        <w:tc>
          <w:tcPr>
            <w:tcW w:w="992" w:type="dxa"/>
            <w:shd w:val="clear" w:color="auto" w:fill="auto"/>
            <w:noWrap/>
            <w:vAlign w:val="bottom"/>
          </w:tcPr>
          <w:p w14:paraId="7C4132D6" w14:textId="6169480B" w:rsidR="00252209" w:rsidRPr="00D27AB9" w:rsidRDefault="00252209" w:rsidP="00D27AB9">
            <w:pPr>
              <w:spacing w:before="40"/>
              <w:jc w:val="right"/>
              <w:rPr>
                <w:rFonts w:asciiTheme="majorBidi" w:eastAsia="Arial" w:hAnsiTheme="majorBidi" w:cstheme="majorBidi"/>
                <w:sz w:val="18"/>
                <w:szCs w:val="18"/>
              </w:rPr>
            </w:pPr>
            <w:r w:rsidRPr="00D27AB9">
              <w:rPr>
                <w:rFonts w:asciiTheme="majorBidi" w:eastAsia="Arial" w:hAnsiTheme="majorBidi" w:cstheme="majorBidi"/>
                <w:sz w:val="18"/>
                <w:szCs w:val="18"/>
              </w:rPr>
              <w:t>576,315</w:t>
            </w:r>
          </w:p>
        </w:tc>
        <w:tc>
          <w:tcPr>
            <w:tcW w:w="1134" w:type="dxa"/>
            <w:shd w:val="clear" w:color="auto" w:fill="auto"/>
            <w:noWrap/>
            <w:vAlign w:val="bottom"/>
          </w:tcPr>
          <w:p w14:paraId="6C482504" w14:textId="07278B5F" w:rsidR="00252209" w:rsidRPr="00D27AB9" w:rsidRDefault="00252209" w:rsidP="00D27AB9">
            <w:pPr>
              <w:spacing w:before="40"/>
              <w:jc w:val="right"/>
              <w:rPr>
                <w:rFonts w:asciiTheme="majorBidi" w:eastAsia="Arial" w:hAnsiTheme="majorBidi" w:cstheme="majorBidi"/>
                <w:sz w:val="18"/>
                <w:szCs w:val="18"/>
              </w:rPr>
            </w:pPr>
            <w:r w:rsidRPr="00D27AB9">
              <w:rPr>
                <w:rFonts w:asciiTheme="majorBidi" w:eastAsia="Arial" w:hAnsiTheme="majorBidi" w:cstheme="majorBidi"/>
                <w:sz w:val="18"/>
                <w:szCs w:val="18"/>
              </w:rPr>
              <w:t>337,987</w:t>
            </w:r>
          </w:p>
        </w:tc>
        <w:tc>
          <w:tcPr>
            <w:tcW w:w="1134" w:type="dxa"/>
            <w:shd w:val="clear" w:color="auto" w:fill="auto"/>
            <w:noWrap/>
            <w:vAlign w:val="bottom"/>
          </w:tcPr>
          <w:p w14:paraId="26C0EC3D" w14:textId="776B99BA" w:rsidR="00252209" w:rsidRPr="00D27AB9" w:rsidRDefault="00252209" w:rsidP="00D27AB9">
            <w:pPr>
              <w:spacing w:before="40"/>
              <w:jc w:val="right"/>
              <w:rPr>
                <w:rFonts w:asciiTheme="majorBidi" w:eastAsia="Arial" w:hAnsiTheme="majorBidi" w:cstheme="majorBidi"/>
                <w:sz w:val="18"/>
                <w:szCs w:val="18"/>
              </w:rPr>
            </w:pPr>
            <w:r w:rsidRPr="00D27AB9">
              <w:rPr>
                <w:rFonts w:asciiTheme="majorBidi" w:eastAsia="Arial" w:hAnsiTheme="majorBidi" w:cstheme="majorBidi"/>
                <w:sz w:val="18"/>
                <w:szCs w:val="18"/>
              </w:rPr>
              <w:t>99,936</w:t>
            </w:r>
          </w:p>
        </w:tc>
      </w:tr>
      <w:tr w:rsidR="00252209" w:rsidRPr="00AF5B17" w14:paraId="662393A4" w14:textId="77777777" w:rsidTr="005101BC">
        <w:trPr>
          <w:trHeight w:val="283"/>
        </w:trPr>
        <w:tc>
          <w:tcPr>
            <w:tcW w:w="2759" w:type="dxa"/>
            <w:shd w:val="clear" w:color="auto" w:fill="auto"/>
            <w:vAlign w:val="bottom"/>
          </w:tcPr>
          <w:p w14:paraId="39447821" w14:textId="59C82071" w:rsidR="00252209" w:rsidRPr="00E43187" w:rsidRDefault="00252209" w:rsidP="00252209">
            <w:pPr>
              <w:spacing w:before="40"/>
              <w:rPr>
                <w:rFonts w:asciiTheme="majorBidi" w:hAnsiTheme="majorBidi" w:cstheme="majorBidi"/>
                <w:color w:val="000000"/>
                <w:sz w:val="20"/>
              </w:rPr>
            </w:pPr>
            <w:r w:rsidRPr="00E43187">
              <w:rPr>
                <w:rFonts w:asciiTheme="majorBidi" w:hAnsiTheme="majorBidi" w:cstheme="majorBidi"/>
                <w:color w:val="000000"/>
                <w:sz w:val="20"/>
              </w:rPr>
              <w:t>Corporate loan</w:t>
            </w:r>
          </w:p>
        </w:tc>
        <w:tc>
          <w:tcPr>
            <w:tcW w:w="1276" w:type="dxa"/>
            <w:shd w:val="clear" w:color="auto" w:fill="auto"/>
            <w:noWrap/>
            <w:vAlign w:val="bottom"/>
          </w:tcPr>
          <w:p w14:paraId="12C16208" w14:textId="632651EA" w:rsidR="00252209" w:rsidRPr="00D27AB9" w:rsidRDefault="00252209" w:rsidP="00D27AB9">
            <w:pPr>
              <w:spacing w:before="40"/>
              <w:jc w:val="right"/>
              <w:rPr>
                <w:rFonts w:asciiTheme="majorBidi" w:eastAsia="Arial" w:hAnsiTheme="majorBidi" w:cstheme="majorBidi"/>
                <w:sz w:val="18"/>
                <w:szCs w:val="18"/>
              </w:rPr>
            </w:pPr>
            <w:r w:rsidRPr="00D27AB9">
              <w:rPr>
                <w:rFonts w:asciiTheme="majorBidi" w:eastAsia="Arial" w:hAnsiTheme="majorBidi" w:cstheme="majorBidi"/>
                <w:sz w:val="18"/>
                <w:szCs w:val="18"/>
              </w:rPr>
              <w:t>88,126</w:t>
            </w:r>
          </w:p>
        </w:tc>
        <w:tc>
          <w:tcPr>
            <w:tcW w:w="1276" w:type="dxa"/>
            <w:shd w:val="clear" w:color="auto" w:fill="auto"/>
            <w:noWrap/>
            <w:vAlign w:val="bottom"/>
          </w:tcPr>
          <w:p w14:paraId="1FDA90CB" w14:textId="2EB1BDC6" w:rsidR="00252209" w:rsidRPr="00D27AB9" w:rsidRDefault="00252209" w:rsidP="00D27AB9">
            <w:pPr>
              <w:spacing w:before="40"/>
              <w:jc w:val="right"/>
              <w:rPr>
                <w:rFonts w:asciiTheme="majorBidi" w:eastAsia="Arial" w:hAnsiTheme="majorBidi" w:cstheme="majorBidi"/>
                <w:sz w:val="18"/>
                <w:szCs w:val="18"/>
              </w:rPr>
            </w:pPr>
            <w:r w:rsidRPr="00D27AB9">
              <w:rPr>
                <w:rFonts w:asciiTheme="majorBidi" w:eastAsia="Arial" w:hAnsiTheme="majorBidi" w:cstheme="majorBidi"/>
                <w:sz w:val="18"/>
                <w:szCs w:val="18"/>
              </w:rPr>
              <w:t>99,830</w:t>
            </w:r>
          </w:p>
        </w:tc>
        <w:tc>
          <w:tcPr>
            <w:tcW w:w="1134" w:type="dxa"/>
            <w:shd w:val="clear" w:color="auto" w:fill="auto"/>
            <w:noWrap/>
            <w:vAlign w:val="bottom"/>
          </w:tcPr>
          <w:p w14:paraId="1EF184F4" w14:textId="2E8DCBF2" w:rsidR="00252209" w:rsidRPr="00D27AB9" w:rsidRDefault="00252209" w:rsidP="00D27AB9">
            <w:pPr>
              <w:spacing w:before="40"/>
              <w:jc w:val="right"/>
              <w:rPr>
                <w:rFonts w:asciiTheme="majorBidi" w:eastAsia="Arial" w:hAnsiTheme="majorBidi" w:cstheme="majorBidi"/>
                <w:sz w:val="18"/>
                <w:szCs w:val="18"/>
              </w:rPr>
            </w:pPr>
            <w:r w:rsidRPr="00D27AB9">
              <w:rPr>
                <w:rFonts w:asciiTheme="majorBidi" w:eastAsia="Arial" w:hAnsiTheme="majorBidi" w:cstheme="majorBidi"/>
                <w:sz w:val="18"/>
                <w:szCs w:val="18"/>
              </w:rPr>
              <w:t>2,151</w:t>
            </w:r>
          </w:p>
        </w:tc>
        <w:tc>
          <w:tcPr>
            <w:tcW w:w="1134" w:type="dxa"/>
            <w:shd w:val="clear" w:color="auto" w:fill="auto"/>
            <w:noWrap/>
            <w:vAlign w:val="bottom"/>
          </w:tcPr>
          <w:p w14:paraId="328649E0" w14:textId="77042F79" w:rsidR="00252209" w:rsidRPr="00D27AB9" w:rsidRDefault="00252209" w:rsidP="00D27AB9">
            <w:pPr>
              <w:spacing w:before="40"/>
              <w:jc w:val="right"/>
              <w:rPr>
                <w:rFonts w:asciiTheme="majorBidi" w:eastAsia="Arial" w:hAnsiTheme="majorBidi" w:cstheme="majorBidi"/>
                <w:sz w:val="18"/>
                <w:szCs w:val="18"/>
              </w:rPr>
            </w:pPr>
            <w:r w:rsidRPr="00D27AB9">
              <w:rPr>
                <w:rFonts w:asciiTheme="majorBidi" w:eastAsia="Arial" w:hAnsiTheme="majorBidi" w:cstheme="majorBidi"/>
                <w:sz w:val="18"/>
                <w:szCs w:val="18"/>
              </w:rPr>
              <w:t>11,950</w:t>
            </w:r>
          </w:p>
        </w:tc>
        <w:tc>
          <w:tcPr>
            <w:tcW w:w="992" w:type="dxa"/>
            <w:shd w:val="clear" w:color="auto" w:fill="auto"/>
            <w:noWrap/>
            <w:vAlign w:val="bottom"/>
          </w:tcPr>
          <w:p w14:paraId="64CCE9EB" w14:textId="2CC68A86" w:rsidR="00252209" w:rsidRPr="00D27AB9" w:rsidRDefault="00252209" w:rsidP="00D27AB9">
            <w:pPr>
              <w:spacing w:before="40"/>
              <w:jc w:val="right"/>
              <w:rPr>
                <w:rFonts w:asciiTheme="majorBidi" w:eastAsia="Arial" w:hAnsiTheme="majorBidi" w:cstheme="majorBidi"/>
                <w:sz w:val="18"/>
                <w:szCs w:val="18"/>
              </w:rPr>
            </w:pPr>
            <w:r w:rsidRPr="00D27AB9">
              <w:rPr>
                <w:rFonts w:asciiTheme="majorBidi" w:eastAsia="Arial" w:hAnsiTheme="majorBidi" w:cstheme="majorBidi"/>
                <w:sz w:val="18"/>
                <w:szCs w:val="18"/>
              </w:rPr>
              <w:t>14,856</w:t>
            </w:r>
          </w:p>
        </w:tc>
        <w:tc>
          <w:tcPr>
            <w:tcW w:w="1134" w:type="dxa"/>
            <w:shd w:val="clear" w:color="auto" w:fill="auto"/>
            <w:noWrap/>
            <w:vAlign w:val="bottom"/>
          </w:tcPr>
          <w:p w14:paraId="2436CA85" w14:textId="0A5AD990" w:rsidR="00252209" w:rsidRPr="00D27AB9" w:rsidRDefault="00252209" w:rsidP="00D27AB9">
            <w:pPr>
              <w:spacing w:before="40"/>
              <w:jc w:val="right"/>
              <w:rPr>
                <w:rFonts w:asciiTheme="majorBidi" w:eastAsia="Arial" w:hAnsiTheme="majorBidi" w:cstheme="majorBidi"/>
                <w:sz w:val="18"/>
                <w:szCs w:val="18"/>
              </w:rPr>
            </w:pPr>
            <w:r w:rsidRPr="00D27AB9">
              <w:rPr>
                <w:rFonts w:asciiTheme="majorBidi" w:eastAsia="Arial" w:hAnsiTheme="majorBidi" w:cstheme="majorBidi"/>
                <w:sz w:val="18"/>
                <w:szCs w:val="18"/>
              </w:rPr>
              <w:t>70,873</w:t>
            </w:r>
          </w:p>
        </w:tc>
        <w:tc>
          <w:tcPr>
            <w:tcW w:w="1134" w:type="dxa"/>
            <w:shd w:val="clear" w:color="auto" w:fill="auto"/>
            <w:noWrap/>
            <w:vAlign w:val="bottom"/>
          </w:tcPr>
          <w:p w14:paraId="6504043D" w14:textId="27564732" w:rsidR="00252209" w:rsidRPr="00D27AB9" w:rsidRDefault="00252209" w:rsidP="00D27AB9">
            <w:pPr>
              <w:spacing w:before="40"/>
              <w:jc w:val="right"/>
              <w:rPr>
                <w:rFonts w:asciiTheme="majorBidi" w:eastAsia="Arial" w:hAnsiTheme="majorBidi" w:cstheme="majorBidi"/>
                <w:sz w:val="18"/>
                <w:szCs w:val="18"/>
              </w:rPr>
            </w:pPr>
            <w:r w:rsidRPr="00D27AB9">
              <w:rPr>
                <w:rFonts w:asciiTheme="majorBidi" w:eastAsia="Arial" w:hAnsiTheme="majorBidi" w:cstheme="majorBidi"/>
                <w:sz w:val="18"/>
                <w:szCs w:val="18"/>
              </w:rPr>
              <w:t>-</w:t>
            </w:r>
          </w:p>
        </w:tc>
      </w:tr>
      <w:tr w:rsidR="00252209" w:rsidRPr="00AF5B17" w14:paraId="711CBFCB" w14:textId="77777777" w:rsidTr="005101BC">
        <w:trPr>
          <w:trHeight w:val="283"/>
        </w:trPr>
        <w:tc>
          <w:tcPr>
            <w:tcW w:w="2759" w:type="dxa"/>
            <w:shd w:val="clear" w:color="auto" w:fill="auto"/>
            <w:vAlign w:val="bottom"/>
            <w:hideMark/>
          </w:tcPr>
          <w:p w14:paraId="152037D4" w14:textId="77777777" w:rsidR="00252209" w:rsidRPr="00E43187" w:rsidRDefault="00252209" w:rsidP="00252209">
            <w:pPr>
              <w:spacing w:before="40"/>
              <w:rPr>
                <w:rFonts w:asciiTheme="majorBidi" w:hAnsiTheme="majorBidi" w:cstheme="majorBidi"/>
                <w:sz w:val="20"/>
              </w:rPr>
            </w:pPr>
            <w:r w:rsidRPr="00E43187">
              <w:rPr>
                <w:rFonts w:asciiTheme="majorBidi" w:hAnsiTheme="majorBidi" w:cstheme="majorBidi"/>
                <w:color w:val="000000"/>
                <w:sz w:val="20"/>
              </w:rPr>
              <w:t>Short-term loans</w:t>
            </w:r>
          </w:p>
        </w:tc>
        <w:tc>
          <w:tcPr>
            <w:tcW w:w="1276" w:type="dxa"/>
            <w:shd w:val="clear" w:color="auto" w:fill="auto"/>
            <w:noWrap/>
            <w:vAlign w:val="bottom"/>
          </w:tcPr>
          <w:p w14:paraId="100A8FE4" w14:textId="015C9510" w:rsidR="00252209" w:rsidRPr="00D27AB9" w:rsidRDefault="00252209" w:rsidP="00D27AB9">
            <w:pPr>
              <w:spacing w:before="40"/>
              <w:jc w:val="right"/>
              <w:rPr>
                <w:rFonts w:asciiTheme="majorBidi" w:eastAsia="Arial" w:hAnsiTheme="majorBidi" w:cstheme="majorBidi"/>
                <w:sz w:val="18"/>
                <w:szCs w:val="18"/>
              </w:rPr>
            </w:pPr>
            <w:r w:rsidRPr="00D27AB9">
              <w:rPr>
                <w:rFonts w:asciiTheme="majorBidi" w:eastAsia="Arial" w:hAnsiTheme="majorBidi" w:cstheme="majorBidi"/>
                <w:sz w:val="18"/>
                <w:szCs w:val="18"/>
              </w:rPr>
              <w:t>7,678</w:t>
            </w:r>
          </w:p>
        </w:tc>
        <w:tc>
          <w:tcPr>
            <w:tcW w:w="1276" w:type="dxa"/>
            <w:shd w:val="clear" w:color="auto" w:fill="auto"/>
            <w:noWrap/>
            <w:vAlign w:val="bottom"/>
          </w:tcPr>
          <w:p w14:paraId="003EE96F" w14:textId="41839702" w:rsidR="00252209" w:rsidRPr="00D27AB9" w:rsidRDefault="00252209" w:rsidP="00D27AB9">
            <w:pPr>
              <w:spacing w:before="40"/>
              <w:jc w:val="right"/>
              <w:rPr>
                <w:rFonts w:asciiTheme="majorBidi" w:eastAsia="Arial" w:hAnsiTheme="majorBidi" w:cstheme="majorBidi"/>
                <w:sz w:val="18"/>
                <w:szCs w:val="18"/>
              </w:rPr>
            </w:pPr>
            <w:r w:rsidRPr="00D27AB9">
              <w:rPr>
                <w:rFonts w:asciiTheme="majorBidi" w:eastAsia="Arial" w:hAnsiTheme="majorBidi" w:cstheme="majorBidi"/>
                <w:sz w:val="18"/>
                <w:szCs w:val="18"/>
              </w:rPr>
              <w:t>8,116</w:t>
            </w:r>
          </w:p>
        </w:tc>
        <w:tc>
          <w:tcPr>
            <w:tcW w:w="1134" w:type="dxa"/>
            <w:shd w:val="clear" w:color="auto" w:fill="auto"/>
            <w:noWrap/>
            <w:vAlign w:val="bottom"/>
          </w:tcPr>
          <w:p w14:paraId="088E055E" w14:textId="21E40EA7" w:rsidR="00252209" w:rsidRPr="00D27AB9" w:rsidRDefault="00252209" w:rsidP="00D27AB9">
            <w:pPr>
              <w:spacing w:before="40"/>
              <w:jc w:val="right"/>
              <w:rPr>
                <w:rFonts w:asciiTheme="majorBidi" w:eastAsia="Arial" w:hAnsiTheme="majorBidi" w:cstheme="majorBidi"/>
                <w:sz w:val="18"/>
                <w:szCs w:val="18"/>
              </w:rPr>
            </w:pPr>
            <w:r w:rsidRPr="00D27AB9">
              <w:rPr>
                <w:rFonts w:asciiTheme="majorBidi" w:eastAsia="Arial" w:hAnsiTheme="majorBidi" w:cstheme="majorBidi"/>
                <w:sz w:val="18"/>
                <w:szCs w:val="18"/>
              </w:rPr>
              <w:t>-</w:t>
            </w:r>
          </w:p>
        </w:tc>
        <w:tc>
          <w:tcPr>
            <w:tcW w:w="1134" w:type="dxa"/>
            <w:shd w:val="clear" w:color="auto" w:fill="auto"/>
            <w:noWrap/>
            <w:vAlign w:val="bottom"/>
          </w:tcPr>
          <w:p w14:paraId="4B70A9E9" w14:textId="000C92FE" w:rsidR="00252209" w:rsidRPr="00D27AB9" w:rsidRDefault="00252209" w:rsidP="00D27AB9">
            <w:pPr>
              <w:spacing w:before="40"/>
              <w:jc w:val="right"/>
              <w:rPr>
                <w:rFonts w:asciiTheme="majorBidi" w:eastAsia="Arial" w:hAnsiTheme="majorBidi" w:cstheme="majorBidi"/>
                <w:sz w:val="18"/>
                <w:szCs w:val="18"/>
              </w:rPr>
            </w:pPr>
            <w:r w:rsidRPr="00D27AB9">
              <w:rPr>
                <w:rFonts w:asciiTheme="majorBidi" w:eastAsia="Arial" w:hAnsiTheme="majorBidi" w:cstheme="majorBidi"/>
                <w:sz w:val="18"/>
                <w:szCs w:val="18"/>
              </w:rPr>
              <w:t>8,116</w:t>
            </w:r>
          </w:p>
        </w:tc>
        <w:tc>
          <w:tcPr>
            <w:tcW w:w="992" w:type="dxa"/>
            <w:shd w:val="clear" w:color="auto" w:fill="auto"/>
            <w:noWrap/>
            <w:vAlign w:val="bottom"/>
          </w:tcPr>
          <w:p w14:paraId="3C3331CB" w14:textId="46DE7D48" w:rsidR="00252209" w:rsidRPr="00D27AB9" w:rsidRDefault="00252209" w:rsidP="00D27AB9">
            <w:pPr>
              <w:spacing w:before="40"/>
              <w:jc w:val="right"/>
              <w:rPr>
                <w:rFonts w:asciiTheme="majorBidi" w:eastAsia="Arial" w:hAnsiTheme="majorBidi" w:cstheme="majorBidi"/>
                <w:sz w:val="18"/>
                <w:szCs w:val="18"/>
              </w:rPr>
            </w:pPr>
            <w:r w:rsidRPr="00D27AB9">
              <w:rPr>
                <w:rFonts w:asciiTheme="majorBidi" w:eastAsia="Arial" w:hAnsiTheme="majorBidi" w:cstheme="majorBidi"/>
                <w:sz w:val="18"/>
                <w:szCs w:val="18"/>
              </w:rPr>
              <w:t>-</w:t>
            </w:r>
          </w:p>
        </w:tc>
        <w:tc>
          <w:tcPr>
            <w:tcW w:w="1134" w:type="dxa"/>
            <w:shd w:val="clear" w:color="auto" w:fill="auto"/>
            <w:noWrap/>
            <w:vAlign w:val="bottom"/>
          </w:tcPr>
          <w:p w14:paraId="130A015B" w14:textId="21898691" w:rsidR="00252209" w:rsidRPr="00D27AB9" w:rsidRDefault="00252209" w:rsidP="00D27AB9">
            <w:pPr>
              <w:spacing w:before="40"/>
              <w:jc w:val="right"/>
              <w:rPr>
                <w:rFonts w:asciiTheme="majorBidi" w:eastAsia="Arial" w:hAnsiTheme="majorBidi" w:cstheme="majorBidi"/>
                <w:sz w:val="18"/>
                <w:szCs w:val="18"/>
              </w:rPr>
            </w:pPr>
            <w:r w:rsidRPr="00D27AB9">
              <w:rPr>
                <w:rFonts w:asciiTheme="majorBidi" w:eastAsia="Arial" w:hAnsiTheme="majorBidi" w:cstheme="majorBidi"/>
                <w:sz w:val="18"/>
                <w:szCs w:val="18"/>
              </w:rPr>
              <w:t>-</w:t>
            </w:r>
          </w:p>
        </w:tc>
        <w:tc>
          <w:tcPr>
            <w:tcW w:w="1134" w:type="dxa"/>
            <w:shd w:val="clear" w:color="auto" w:fill="auto"/>
            <w:noWrap/>
            <w:vAlign w:val="bottom"/>
          </w:tcPr>
          <w:p w14:paraId="01E2B3EA" w14:textId="6B6EC337" w:rsidR="00252209" w:rsidRPr="00D27AB9" w:rsidRDefault="00252209" w:rsidP="00D27AB9">
            <w:pPr>
              <w:spacing w:before="40"/>
              <w:jc w:val="right"/>
              <w:rPr>
                <w:rFonts w:asciiTheme="majorBidi" w:eastAsia="Arial" w:hAnsiTheme="majorBidi" w:cstheme="majorBidi"/>
                <w:sz w:val="18"/>
                <w:szCs w:val="18"/>
              </w:rPr>
            </w:pPr>
            <w:r w:rsidRPr="00D27AB9">
              <w:rPr>
                <w:rFonts w:asciiTheme="majorBidi" w:eastAsia="Arial" w:hAnsiTheme="majorBidi" w:cstheme="majorBidi"/>
                <w:sz w:val="18"/>
                <w:szCs w:val="18"/>
              </w:rPr>
              <w:t>-</w:t>
            </w:r>
          </w:p>
        </w:tc>
      </w:tr>
      <w:tr w:rsidR="00252209" w:rsidRPr="00AF5B17" w14:paraId="31B9C570" w14:textId="77777777" w:rsidTr="005101BC">
        <w:trPr>
          <w:trHeight w:val="283"/>
        </w:trPr>
        <w:tc>
          <w:tcPr>
            <w:tcW w:w="2759" w:type="dxa"/>
            <w:shd w:val="clear" w:color="auto" w:fill="auto"/>
            <w:vAlign w:val="bottom"/>
            <w:hideMark/>
          </w:tcPr>
          <w:p w14:paraId="76F6B9E5" w14:textId="77777777" w:rsidR="00252209" w:rsidRPr="00E43187" w:rsidRDefault="00252209" w:rsidP="00252209">
            <w:pPr>
              <w:spacing w:before="40"/>
              <w:rPr>
                <w:rFonts w:asciiTheme="majorBidi" w:hAnsiTheme="majorBidi" w:cstheme="majorBidi"/>
                <w:sz w:val="20"/>
              </w:rPr>
            </w:pPr>
            <w:r w:rsidRPr="00E43187">
              <w:rPr>
                <w:rFonts w:asciiTheme="majorBidi" w:hAnsiTheme="majorBidi" w:cstheme="majorBidi"/>
                <w:color w:val="000000"/>
                <w:sz w:val="20"/>
              </w:rPr>
              <w:t>Finance lease liability</w:t>
            </w:r>
          </w:p>
        </w:tc>
        <w:tc>
          <w:tcPr>
            <w:tcW w:w="1276" w:type="dxa"/>
            <w:shd w:val="clear" w:color="auto" w:fill="auto"/>
            <w:noWrap/>
            <w:vAlign w:val="bottom"/>
          </w:tcPr>
          <w:p w14:paraId="72466D5D" w14:textId="332A5DA3" w:rsidR="00252209" w:rsidRPr="00D27AB9" w:rsidRDefault="00252209" w:rsidP="00D27AB9">
            <w:pPr>
              <w:spacing w:before="40"/>
              <w:jc w:val="right"/>
              <w:rPr>
                <w:rFonts w:asciiTheme="majorBidi" w:eastAsia="Arial" w:hAnsiTheme="majorBidi" w:cstheme="majorBidi"/>
                <w:sz w:val="18"/>
                <w:szCs w:val="18"/>
              </w:rPr>
            </w:pPr>
            <w:r w:rsidRPr="00D27AB9">
              <w:rPr>
                <w:rFonts w:asciiTheme="majorBidi" w:eastAsia="Arial" w:hAnsiTheme="majorBidi" w:cstheme="majorBidi"/>
                <w:sz w:val="18"/>
                <w:szCs w:val="18"/>
              </w:rPr>
              <w:t>12,305</w:t>
            </w:r>
          </w:p>
        </w:tc>
        <w:tc>
          <w:tcPr>
            <w:tcW w:w="1276" w:type="dxa"/>
            <w:shd w:val="clear" w:color="auto" w:fill="auto"/>
            <w:noWrap/>
            <w:vAlign w:val="bottom"/>
          </w:tcPr>
          <w:p w14:paraId="12DE8DA3" w14:textId="53BCB587" w:rsidR="00252209" w:rsidRPr="00D27AB9" w:rsidRDefault="00252209" w:rsidP="00D27AB9">
            <w:pPr>
              <w:spacing w:before="40"/>
              <w:jc w:val="right"/>
              <w:rPr>
                <w:rFonts w:asciiTheme="majorBidi" w:eastAsia="Arial" w:hAnsiTheme="majorBidi" w:cstheme="majorBidi"/>
                <w:sz w:val="18"/>
                <w:szCs w:val="18"/>
              </w:rPr>
            </w:pPr>
            <w:r w:rsidRPr="00D27AB9">
              <w:rPr>
                <w:rFonts w:asciiTheme="majorBidi" w:eastAsia="Arial" w:hAnsiTheme="majorBidi" w:cstheme="majorBidi"/>
                <w:sz w:val="18"/>
                <w:szCs w:val="18"/>
              </w:rPr>
              <w:t>38,921</w:t>
            </w:r>
          </w:p>
        </w:tc>
        <w:tc>
          <w:tcPr>
            <w:tcW w:w="1134" w:type="dxa"/>
            <w:shd w:val="clear" w:color="auto" w:fill="auto"/>
            <w:noWrap/>
            <w:vAlign w:val="bottom"/>
          </w:tcPr>
          <w:p w14:paraId="7EEC5BA3" w14:textId="7C4381C5" w:rsidR="00252209" w:rsidRPr="00D27AB9" w:rsidRDefault="00252209" w:rsidP="00D27AB9">
            <w:pPr>
              <w:spacing w:before="40"/>
              <w:jc w:val="right"/>
              <w:rPr>
                <w:rFonts w:asciiTheme="majorBidi" w:eastAsia="Arial" w:hAnsiTheme="majorBidi" w:cstheme="majorBidi"/>
                <w:sz w:val="18"/>
                <w:szCs w:val="18"/>
              </w:rPr>
            </w:pPr>
            <w:r w:rsidRPr="00D27AB9">
              <w:rPr>
                <w:rFonts w:asciiTheme="majorBidi" w:eastAsia="Arial" w:hAnsiTheme="majorBidi" w:cstheme="majorBidi"/>
                <w:sz w:val="18"/>
                <w:szCs w:val="18"/>
              </w:rPr>
              <w:t>920</w:t>
            </w:r>
          </w:p>
        </w:tc>
        <w:tc>
          <w:tcPr>
            <w:tcW w:w="1134" w:type="dxa"/>
            <w:shd w:val="clear" w:color="auto" w:fill="auto"/>
            <w:noWrap/>
            <w:vAlign w:val="bottom"/>
          </w:tcPr>
          <w:p w14:paraId="4C84699C" w14:textId="6CE0509C" w:rsidR="00252209" w:rsidRPr="00D27AB9" w:rsidRDefault="00252209" w:rsidP="00D27AB9">
            <w:pPr>
              <w:spacing w:before="40"/>
              <w:jc w:val="right"/>
              <w:rPr>
                <w:rFonts w:asciiTheme="majorBidi" w:eastAsia="Arial" w:hAnsiTheme="majorBidi" w:cstheme="majorBidi"/>
                <w:sz w:val="18"/>
                <w:szCs w:val="18"/>
              </w:rPr>
            </w:pPr>
            <w:r w:rsidRPr="00D27AB9">
              <w:rPr>
                <w:rFonts w:asciiTheme="majorBidi" w:eastAsia="Arial" w:hAnsiTheme="majorBidi" w:cstheme="majorBidi"/>
                <w:sz w:val="18"/>
                <w:szCs w:val="18"/>
              </w:rPr>
              <w:t>954</w:t>
            </w:r>
          </w:p>
        </w:tc>
        <w:tc>
          <w:tcPr>
            <w:tcW w:w="992" w:type="dxa"/>
            <w:shd w:val="clear" w:color="auto" w:fill="auto"/>
            <w:noWrap/>
            <w:vAlign w:val="bottom"/>
          </w:tcPr>
          <w:p w14:paraId="0ED46702" w14:textId="2008AA45" w:rsidR="00252209" w:rsidRPr="00D27AB9" w:rsidRDefault="00252209" w:rsidP="00D27AB9">
            <w:pPr>
              <w:spacing w:before="40"/>
              <w:jc w:val="right"/>
              <w:rPr>
                <w:rFonts w:asciiTheme="majorBidi" w:eastAsia="Arial" w:hAnsiTheme="majorBidi" w:cstheme="majorBidi"/>
                <w:sz w:val="18"/>
                <w:szCs w:val="18"/>
              </w:rPr>
            </w:pPr>
            <w:r w:rsidRPr="00D27AB9">
              <w:rPr>
                <w:rFonts w:asciiTheme="majorBidi" w:eastAsia="Arial" w:hAnsiTheme="majorBidi" w:cstheme="majorBidi"/>
                <w:sz w:val="18"/>
                <w:szCs w:val="18"/>
              </w:rPr>
              <w:t>2,083</w:t>
            </w:r>
          </w:p>
        </w:tc>
        <w:tc>
          <w:tcPr>
            <w:tcW w:w="1134" w:type="dxa"/>
            <w:shd w:val="clear" w:color="auto" w:fill="auto"/>
            <w:noWrap/>
            <w:vAlign w:val="bottom"/>
          </w:tcPr>
          <w:p w14:paraId="05806955" w14:textId="453C8944" w:rsidR="00252209" w:rsidRPr="00D27AB9" w:rsidRDefault="00252209" w:rsidP="00D27AB9">
            <w:pPr>
              <w:spacing w:before="40"/>
              <w:jc w:val="right"/>
              <w:rPr>
                <w:rFonts w:asciiTheme="majorBidi" w:eastAsia="Arial" w:hAnsiTheme="majorBidi" w:cstheme="majorBidi"/>
                <w:sz w:val="18"/>
                <w:szCs w:val="18"/>
              </w:rPr>
            </w:pPr>
            <w:r w:rsidRPr="00D27AB9">
              <w:rPr>
                <w:rFonts w:asciiTheme="majorBidi" w:eastAsia="Arial" w:hAnsiTheme="majorBidi" w:cstheme="majorBidi"/>
                <w:sz w:val="18"/>
                <w:szCs w:val="18"/>
              </w:rPr>
              <w:t>5,468</w:t>
            </w:r>
          </w:p>
        </w:tc>
        <w:tc>
          <w:tcPr>
            <w:tcW w:w="1134" w:type="dxa"/>
            <w:shd w:val="clear" w:color="auto" w:fill="auto"/>
            <w:noWrap/>
            <w:vAlign w:val="bottom"/>
          </w:tcPr>
          <w:p w14:paraId="2A559ECC" w14:textId="2110AB89" w:rsidR="00252209" w:rsidRPr="00D27AB9" w:rsidRDefault="00252209" w:rsidP="00D27AB9">
            <w:pPr>
              <w:spacing w:before="40"/>
              <w:jc w:val="right"/>
              <w:rPr>
                <w:rFonts w:asciiTheme="majorBidi" w:eastAsia="Arial" w:hAnsiTheme="majorBidi" w:cstheme="majorBidi"/>
                <w:sz w:val="18"/>
                <w:szCs w:val="18"/>
              </w:rPr>
            </w:pPr>
            <w:r w:rsidRPr="00D27AB9">
              <w:rPr>
                <w:rFonts w:asciiTheme="majorBidi" w:eastAsia="Arial" w:hAnsiTheme="majorBidi" w:cstheme="majorBidi"/>
                <w:sz w:val="18"/>
                <w:szCs w:val="18"/>
              </w:rPr>
              <w:t>29,496</w:t>
            </w:r>
          </w:p>
        </w:tc>
      </w:tr>
      <w:tr w:rsidR="00252209" w:rsidRPr="00AF5B17" w14:paraId="7CD39CCD" w14:textId="77777777" w:rsidTr="005101BC">
        <w:trPr>
          <w:trHeight w:val="283"/>
        </w:trPr>
        <w:tc>
          <w:tcPr>
            <w:tcW w:w="2759" w:type="dxa"/>
            <w:shd w:val="clear" w:color="auto" w:fill="auto"/>
            <w:vAlign w:val="bottom"/>
            <w:hideMark/>
          </w:tcPr>
          <w:p w14:paraId="3ED81E8C" w14:textId="77777777" w:rsidR="00252209" w:rsidRPr="00E43187" w:rsidRDefault="00252209" w:rsidP="00252209">
            <w:pPr>
              <w:spacing w:before="40"/>
              <w:rPr>
                <w:rFonts w:asciiTheme="majorBidi" w:hAnsiTheme="majorBidi" w:cstheme="majorBidi"/>
                <w:sz w:val="20"/>
              </w:rPr>
            </w:pPr>
            <w:r w:rsidRPr="00E43187">
              <w:rPr>
                <w:rFonts w:asciiTheme="majorBidi" w:hAnsiTheme="majorBidi" w:cstheme="majorBidi"/>
                <w:color w:val="000000"/>
                <w:sz w:val="20"/>
              </w:rPr>
              <w:t>Loans from related parties</w:t>
            </w:r>
          </w:p>
        </w:tc>
        <w:tc>
          <w:tcPr>
            <w:tcW w:w="1276" w:type="dxa"/>
            <w:shd w:val="clear" w:color="auto" w:fill="auto"/>
            <w:noWrap/>
            <w:vAlign w:val="bottom"/>
          </w:tcPr>
          <w:p w14:paraId="0418B7EE" w14:textId="3FA46486" w:rsidR="00252209" w:rsidRPr="00D27AB9" w:rsidRDefault="00252209" w:rsidP="00D27AB9">
            <w:pPr>
              <w:spacing w:before="40"/>
              <w:jc w:val="right"/>
              <w:rPr>
                <w:rFonts w:asciiTheme="majorBidi" w:eastAsia="Arial" w:hAnsiTheme="majorBidi" w:cstheme="majorBidi"/>
                <w:sz w:val="18"/>
                <w:szCs w:val="18"/>
              </w:rPr>
            </w:pPr>
            <w:r w:rsidRPr="00D27AB9">
              <w:rPr>
                <w:rFonts w:asciiTheme="majorBidi" w:eastAsia="Arial" w:hAnsiTheme="majorBidi" w:cstheme="majorBidi"/>
                <w:sz w:val="18"/>
                <w:szCs w:val="18"/>
              </w:rPr>
              <w:t>1,162,733</w:t>
            </w:r>
          </w:p>
        </w:tc>
        <w:tc>
          <w:tcPr>
            <w:tcW w:w="1276" w:type="dxa"/>
            <w:shd w:val="clear" w:color="auto" w:fill="auto"/>
            <w:noWrap/>
            <w:vAlign w:val="bottom"/>
          </w:tcPr>
          <w:p w14:paraId="4354DB7C" w14:textId="49690FF9" w:rsidR="00252209" w:rsidRPr="00D27AB9" w:rsidRDefault="00252209" w:rsidP="00D27AB9">
            <w:pPr>
              <w:spacing w:before="40"/>
              <w:jc w:val="right"/>
              <w:rPr>
                <w:rFonts w:asciiTheme="majorBidi" w:eastAsia="Arial" w:hAnsiTheme="majorBidi" w:cstheme="majorBidi"/>
                <w:sz w:val="18"/>
                <w:szCs w:val="18"/>
              </w:rPr>
            </w:pPr>
            <w:r w:rsidRPr="00D27AB9">
              <w:rPr>
                <w:rFonts w:asciiTheme="majorBidi" w:eastAsia="Arial" w:hAnsiTheme="majorBidi" w:cstheme="majorBidi"/>
                <w:sz w:val="18"/>
                <w:szCs w:val="18"/>
              </w:rPr>
              <w:t>1,505,717</w:t>
            </w:r>
          </w:p>
        </w:tc>
        <w:tc>
          <w:tcPr>
            <w:tcW w:w="1134" w:type="dxa"/>
            <w:shd w:val="clear" w:color="auto" w:fill="auto"/>
            <w:noWrap/>
            <w:vAlign w:val="bottom"/>
          </w:tcPr>
          <w:p w14:paraId="2974FC77" w14:textId="548D2DBA" w:rsidR="00252209" w:rsidRPr="00D27AB9" w:rsidRDefault="00252209" w:rsidP="00D27AB9">
            <w:pPr>
              <w:spacing w:before="40"/>
              <w:jc w:val="right"/>
              <w:rPr>
                <w:rFonts w:asciiTheme="majorBidi" w:eastAsia="Arial" w:hAnsiTheme="majorBidi" w:cstheme="majorBidi"/>
                <w:sz w:val="18"/>
                <w:szCs w:val="18"/>
              </w:rPr>
            </w:pPr>
            <w:r w:rsidRPr="00D27AB9">
              <w:rPr>
                <w:rFonts w:asciiTheme="majorBidi" w:eastAsia="Arial" w:hAnsiTheme="majorBidi" w:cstheme="majorBidi"/>
                <w:sz w:val="18"/>
                <w:szCs w:val="18"/>
              </w:rPr>
              <w:t>4,266</w:t>
            </w:r>
          </w:p>
        </w:tc>
        <w:tc>
          <w:tcPr>
            <w:tcW w:w="1134" w:type="dxa"/>
            <w:shd w:val="clear" w:color="auto" w:fill="auto"/>
            <w:noWrap/>
            <w:vAlign w:val="bottom"/>
          </w:tcPr>
          <w:p w14:paraId="08062199" w14:textId="35CDC80A" w:rsidR="00252209" w:rsidRPr="00D27AB9" w:rsidRDefault="00252209" w:rsidP="00D27AB9">
            <w:pPr>
              <w:spacing w:before="40"/>
              <w:jc w:val="right"/>
              <w:rPr>
                <w:rFonts w:asciiTheme="majorBidi" w:eastAsia="Arial" w:hAnsiTheme="majorBidi" w:cstheme="majorBidi"/>
                <w:sz w:val="18"/>
                <w:szCs w:val="18"/>
              </w:rPr>
            </w:pPr>
            <w:r w:rsidRPr="00D27AB9">
              <w:rPr>
                <w:rFonts w:asciiTheme="majorBidi" w:eastAsia="Arial" w:hAnsiTheme="majorBidi" w:cstheme="majorBidi"/>
                <w:sz w:val="18"/>
                <w:szCs w:val="18"/>
              </w:rPr>
              <w:t>4,254</w:t>
            </w:r>
          </w:p>
        </w:tc>
        <w:tc>
          <w:tcPr>
            <w:tcW w:w="992" w:type="dxa"/>
            <w:shd w:val="clear" w:color="auto" w:fill="auto"/>
            <w:noWrap/>
            <w:vAlign w:val="bottom"/>
          </w:tcPr>
          <w:p w14:paraId="6E439F2E" w14:textId="7318D863" w:rsidR="00252209" w:rsidRPr="00D27AB9" w:rsidRDefault="00252209" w:rsidP="00D27AB9">
            <w:pPr>
              <w:spacing w:before="40"/>
              <w:jc w:val="right"/>
              <w:rPr>
                <w:rFonts w:asciiTheme="majorBidi" w:eastAsia="Arial" w:hAnsiTheme="majorBidi" w:cstheme="majorBidi"/>
                <w:sz w:val="18"/>
                <w:szCs w:val="18"/>
              </w:rPr>
            </w:pPr>
            <w:r w:rsidRPr="00D27AB9">
              <w:rPr>
                <w:rFonts w:asciiTheme="majorBidi" w:eastAsia="Arial" w:hAnsiTheme="majorBidi" w:cstheme="majorBidi"/>
                <w:sz w:val="18"/>
                <w:szCs w:val="18"/>
              </w:rPr>
              <w:t>8,363</w:t>
            </w:r>
          </w:p>
        </w:tc>
        <w:tc>
          <w:tcPr>
            <w:tcW w:w="1134" w:type="dxa"/>
            <w:shd w:val="clear" w:color="auto" w:fill="auto"/>
            <w:noWrap/>
            <w:vAlign w:val="bottom"/>
          </w:tcPr>
          <w:p w14:paraId="333E952F" w14:textId="70ABFEDF" w:rsidR="00252209" w:rsidRPr="00D27AB9" w:rsidRDefault="00252209" w:rsidP="00D27AB9">
            <w:pPr>
              <w:spacing w:before="40"/>
              <w:jc w:val="right"/>
              <w:rPr>
                <w:rFonts w:asciiTheme="majorBidi" w:eastAsia="Arial" w:hAnsiTheme="majorBidi" w:cstheme="majorBidi"/>
                <w:sz w:val="18"/>
                <w:szCs w:val="18"/>
              </w:rPr>
            </w:pPr>
            <w:r w:rsidRPr="00D27AB9">
              <w:rPr>
                <w:rFonts w:asciiTheme="majorBidi" w:eastAsia="Arial" w:hAnsiTheme="majorBidi" w:cstheme="majorBidi"/>
                <w:sz w:val="18"/>
                <w:szCs w:val="18"/>
              </w:rPr>
              <w:t>103,822</w:t>
            </w:r>
          </w:p>
        </w:tc>
        <w:tc>
          <w:tcPr>
            <w:tcW w:w="1134" w:type="dxa"/>
            <w:shd w:val="clear" w:color="auto" w:fill="auto"/>
            <w:noWrap/>
            <w:vAlign w:val="bottom"/>
          </w:tcPr>
          <w:p w14:paraId="02EDEE17" w14:textId="4E7EE987" w:rsidR="00252209" w:rsidRPr="00D27AB9" w:rsidRDefault="00252209" w:rsidP="00D27AB9">
            <w:pPr>
              <w:spacing w:before="40"/>
              <w:jc w:val="right"/>
              <w:rPr>
                <w:rFonts w:asciiTheme="majorBidi" w:eastAsia="Arial" w:hAnsiTheme="majorBidi" w:cstheme="majorBidi"/>
                <w:sz w:val="18"/>
                <w:szCs w:val="18"/>
              </w:rPr>
            </w:pPr>
            <w:r w:rsidRPr="00D27AB9">
              <w:rPr>
                <w:rFonts w:asciiTheme="majorBidi" w:eastAsia="Arial" w:hAnsiTheme="majorBidi" w:cstheme="majorBidi"/>
                <w:sz w:val="18"/>
                <w:szCs w:val="18"/>
              </w:rPr>
              <w:t>1,385,013</w:t>
            </w:r>
          </w:p>
        </w:tc>
      </w:tr>
      <w:tr w:rsidR="00252209" w:rsidRPr="00AF5B17" w14:paraId="091B0F26" w14:textId="77777777" w:rsidTr="005101BC">
        <w:trPr>
          <w:trHeight w:val="283"/>
        </w:trPr>
        <w:tc>
          <w:tcPr>
            <w:tcW w:w="2759" w:type="dxa"/>
            <w:shd w:val="clear" w:color="auto" w:fill="auto"/>
            <w:vAlign w:val="bottom"/>
            <w:hideMark/>
          </w:tcPr>
          <w:p w14:paraId="5D336A5F" w14:textId="77777777" w:rsidR="00252209" w:rsidRPr="00E43187" w:rsidRDefault="00252209" w:rsidP="00252209">
            <w:pPr>
              <w:spacing w:before="40"/>
              <w:rPr>
                <w:rFonts w:asciiTheme="majorBidi" w:hAnsiTheme="majorBidi" w:cstheme="majorBidi"/>
                <w:sz w:val="20"/>
              </w:rPr>
            </w:pPr>
            <w:r w:rsidRPr="00E43187">
              <w:rPr>
                <w:rFonts w:asciiTheme="majorBidi" w:hAnsiTheme="majorBidi" w:cstheme="majorBidi"/>
                <w:color w:val="000000"/>
                <w:sz w:val="20"/>
              </w:rPr>
              <w:t>Non-current liabilities</w:t>
            </w:r>
          </w:p>
        </w:tc>
        <w:tc>
          <w:tcPr>
            <w:tcW w:w="1276" w:type="dxa"/>
            <w:shd w:val="clear" w:color="auto" w:fill="auto"/>
            <w:noWrap/>
            <w:vAlign w:val="bottom"/>
          </w:tcPr>
          <w:p w14:paraId="18849FB2" w14:textId="0B58F351" w:rsidR="00252209" w:rsidRPr="00D27AB9" w:rsidRDefault="00252209" w:rsidP="00D27AB9">
            <w:pPr>
              <w:spacing w:before="40"/>
              <w:jc w:val="right"/>
              <w:rPr>
                <w:rFonts w:asciiTheme="majorBidi" w:eastAsia="Arial" w:hAnsiTheme="majorBidi" w:cstheme="majorBidi"/>
                <w:sz w:val="18"/>
                <w:szCs w:val="18"/>
              </w:rPr>
            </w:pPr>
            <w:r w:rsidRPr="00D27AB9">
              <w:rPr>
                <w:rFonts w:asciiTheme="majorBidi" w:eastAsia="Arial" w:hAnsiTheme="majorBidi" w:cstheme="majorBidi"/>
                <w:sz w:val="18"/>
                <w:szCs w:val="18"/>
              </w:rPr>
              <w:t>21,765</w:t>
            </w:r>
          </w:p>
        </w:tc>
        <w:tc>
          <w:tcPr>
            <w:tcW w:w="1276" w:type="dxa"/>
            <w:shd w:val="clear" w:color="auto" w:fill="auto"/>
            <w:noWrap/>
            <w:vAlign w:val="bottom"/>
          </w:tcPr>
          <w:p w14:paraId="32EF39B2" w14:textId="07059843" w:rsidR="00252209" w:rsidRPr="00D27AB9" w:rsidRDefault="00252209" w:rsidP="00D27AB9">
            <w:pPr>
              <w:spacing w:before="40"/>
              <w:jc w:val="right"/>
              <w:rPr>
                <w:rFonts w:asciiTheme="majorBidi" w:eastAsia="Arial" w:hAnsiTheme="majorBidi" w:cstheme="majorBidi"/>
                <w:sz w:val="18"/>
                <w:szCs w:val="18"/>
              </w:rPr>
            </w:pPr>
            <w:r w:rsidRPr="00D27AB9">
              <w:rPr>
                <w:rFonts w:asciiTheme="majorBidi" w:eastAsia="Arial" w:hAnsiTheme="majorBidi" w:cstheme="majorBidi"/>
                <w:sz w:val="18"/>
                <w:szCs w:val="18"/>
              </w:rPr>
              <w:t>21,512</w:t>
            </w:r>
          </w:p>
        </w:tc>
        <w:tc>
          <w:tcPr>
            <w:tcW w:w="1134" w:type="dxa"/>
            <w:shd w:val="clear" w:color="auto" w:fill="auto"/>
            <w:noWrap/>
            <w:vAlign w:val="bottom"/>
          </w:tcPr>
          <w:p w14:paraId="1E8526D3" w14:textId="5FDC9BCD" w:rsidR="00252209" w:rsidRPr="00D27AB9" w:rsidRDefault="00252209" w:rsidP="00D27AB9">
            <w:pPr>
              <w:spacing w:before="40"/>
              <w:jc w:val="right"/>
              <w:rPr>
                <w:rFonts w:asciiTheme="majorBidi" w:eastAsia="Arial" w:hAnsiTheme="majorBidi" w:cstheme="majorBidi"/>
                <w:sz w:val="18"/>
                <w:szCs w:val="18"/>
              </w:rPr>
            </w:pPr>
            <w:r w:rsidRPr="00D27AB9">
              <w:rPr>
                <w:rFonts w:asciiTheme="majorBidi" w:eastAsia="Arial" w:hAnsiTheme="majorBidi" w:cstheme="majorBidi"/>
                <w:sz w:val="18"/>
                <w:szCs w:val="18"/>
              </w:rPr>
              <w:t>-</w:t>
            </w:r>
          </w:p>
        </w:tc>
        <w:tc>
          <w:tcPr>
            <w:tcW w:w="1134" w:type="dxa"/>
            <w:shd w:val="clear" w:color="auto" w:fill="auto"/>
            <w:noWrap/>
            <w:vAlign w:val="bottom"/>
          </w:tcPr>
          <w:p w14:paraId="752F393A" w14:textId="3D315E36" w:rsidR="00252209" w:rsidRPr="00D27AB9" w:rsidRDefault="00252209" w:rsidP="00D27AB9">
            <w:pPr>
              <w:spacing w:before="40"/>
              <w:jc w:val="right"/>
              <w:rPr>
                <w:rFonts w:asciiTheme="majorBidi" w:eastAsia="Arial" w:hAnsiTheme="majorBidi" w:cstheme="majorBidi"/>
                <w:sz w:val="18"/>
                <w:szCs w:val="18"/>
              </w:rPr>
            </w:pPr>
            <w:r w:rsidRPr="00D27AB9">
              <w:rPr>
                <w:rFonts w:asciiTheme="majorBidi" w:eastAsia="Arial" w:hAnsiTheme="majorBidi" w:cstheme="majorBidi"/>
                <w:sz w:val="18"/>
                <w:szCs w:val="18"/>
              </w:rPr>
              <w:t>-</w:t>
            </w:r>
          </w:p>
        </w:tc>
        <w:tc>
          <w:tcPr>
            <w:tcW w:w="992" w:type="dxa"/>
            <w:shd w:val="clear" w:color="auto" w:fill="auto"/>
            <w:noWrap/>
            <w:vAlign w:val="bottom"/>
          </w:tcPr>
          <w:p w14:paraId="2FB35856" w14:textId="2EAB698A" w:rsidR="00252209" w:rsidRPr="00D27AB9" w:rsidRDefault="00252209" w:rsidP="00D27AB9">
            <w:pPr>
              <w:spacing w:before="40"/>
              <w:jc w:val="right"/>
              <w:rPr>
                <w:rFonts w:asciiTheme="majorBidi" w:eastAsia="Arial" w:hAnsiTheme="majorBidi" w:cstheme="majorBidi"/>
                <w:sz w:val="18"/>
                <w:szCs w:val="18"/>
              </w:rPr>
            </w:pPr>
            <w:r w:rsidRPr="00D27AB9">
              <w:rPr>
                <w:rFonts w:asciiTheme="majorBidi" w:eastAsia="Arial" w:hAnsiTheme="majorBidi" w:cstheme="majorBidi"/>
                <w:sz w:val="18"/>
                <w:szCs w:val="18"/>
              </w:rPr>
              <w:t>5,027</w:t>
            </w:r>
          </w:p>
        </w:tc>
        <w:tc>
          <w:tcPr>
            <w:tcW w:w="1134" w:type="dxa"/>
            <w:shd w:val="clear" w:color="auto" w:fill="auto"/>
            <w:noWrap/>
            <w:vAlign w:val="bottom"/>
          </w:tcPr>
          <w:p w14:paraId="0E50B53C" w14:textId="749C4B22" w:rsidR="00252209" w:rsidRPr="00D27AB9" w:rsidRDefault="00252209" w:rsidP="00D27AB9">
            <w:pPr>
              <w:spacing w:before="40"/>
              <w:jc w:val="right"/>
              <w:rPr>
                <w:rFonts w:asciiTheme="majorBidi" w:eastAsia="Arial" w:hAnsiTheme="majorBidi" w:cstheme="majorBidi"/>
                <w:sz w:val="18"/>
                <w:szCs w:val="18"/>
              </w:rPr>
            </w:pPr>
            <w:r w:rsidRPr="00D27AB9">
              <w:rPr>
                <w:rFonts w:asciiTheme="majorBidi" w:eastAsia="Arial" w:hAnsiTheme="majorBidi" w:cstheme="majorBidi"/>
                <w:sz w:val="18"/>
                <w:szCs w:val="18"/>
              </w:rPr>
              <w:t>15,541</w:t>
            </w:r>
          </w:p>
        </w:tc>
        <w:tc>
          <w:tcPr>
            <w:tcW w:w="1134" w:type="dxa"/>
            <w:shd w:val="clear" w:color="auto" w:fill="auto"/>
            <w:noWrap/>
            <w:vAlign w:val="bottom"/>
          </w:tcPr>
          <w:p w14:paraId="4945780B" w14:textId="03BD2985" w:rsidR="00252209" w:rsidRPr="00D27AB9" w:rsidRDefault="00252209" w:rsidP="00D27AB9">
            <w:pPr>
              <w:spacing w:before="40"/>
              <w:jc w:val="right"/>
              <w:rPr>
                <w:rFonts w:asciiTheme="majorBidi" w:eastAsia="Arial" w:hAnsiTheme="majorBidi" w:cstheme="majorBidi"/>
                <w:sz w:val="18"/>
                <w:szCs w:val="18"/>
              </w:rPr>
            </w:pPr>
            <w:r w:rsidRPr="00D27AB9">
              <w:rPr>
                <w:rFonts w:asciiTheme="majorBidi" w:eastAsia="Arial" w:hAnsiTheme="majorBidi" w:cstheme="majorBidi"/>
                <w:sz w:val="18"/>
                <w:szCs w:val="18"/>
              </w:rPr>
              <w:t>944</w:t>
            </w:r>
          </w:p>
        </w:tc>
      </w:tr>
      <w:tr w:rsidR="00252209" w:rsidRPr="00AF5B17" w14:paraId="47146415" w14:textId="77777777" w:rsidTr="005101BC">
        <w:trPr>
          <w:trHeight w:val="283"/>
        </w:trPr>
        <w:tc>
          <w:tcPr>
            <w:tcW w:w="2759" w:type="dxa"/>
            <w:shd w:val="clear" w:color="auto" w:fill="auto"/>
            <w:vAlign w:val="center"/>
            <w:hideMark/>
          </w:tcPr>
          <w:p w14:paraId="6E20CD6A" w14:textId="62A6BE4F" w:rsidR="00252209" w:rsidRPr="00E43187" w:rsidRDefault="00252209" w:rsidP="00252209">
            <w:pPr>
              <w:spacing w:before="40"/>
              <w:rPr>
                <w:rFonts w:asciiTheme="majorBidi" w:hAnsiTheme="majorBidi" w:cstheme="majorBidi"/>
                <w:sz w:val="20"/>
              </w:rPr>
            </w:pPr>
            <w:r w:rsidRPr="00E43187">
              <w:rPr>
                <w:rFonts w:asciiTheme="majorBidi" w:hAnsiTheme="majorBidi" w:cstheme="majorBidi"/>
                <w:color w:val="000000"/>
                <w:sz w:val="20"/>
              </w:rPr>
              <w:t>Loans from joint venture</w:t>
            </w:r>
            <w:r w:rsidRPr="00E43187">
              <w:rPr>
                <w:rFonts w:asciiTheme="majorBidi" w:hAnsiTheme="majorBidi" w:cstheme="majorBidi"/>
                <w:color w:val="000000"/>
                <w:sz w:val="20"/>
              </w:rPr>
              <w:br/>
              <w:t>partners</w:t>
            </w:r>
          </w:p>
        </w:tc>
        <w:tc>
          <w:tcPr>
            <w:tcW w:w="1276" w:type="dxa"/>
            <w:shd w:val="clear" w:color="auto" w:fill="auto"/>
            <w:noWrap/>
            <w:vAlign w:val="bottom"/>
          </w:tcPr>
          <w:p w14:paraId="7B754694" w14:textId="7A2C1D22" w:rsidR="00252209" w:rsidRPr="00D27AB9" w:rsidRDefault="00252209" w:rsidP="00D27AB9">
            <w:pPr>
              <w:spacing w:before="40"/>
              <w:jc w:val="right"/>
              <w:rPr>
                <w:rFonts w:asciiTheme="majorBidi" w:eastAsia="Arial" w:hAnsiTheme="majorBidi" w:cstheme="majorBidi"/>
                <w:sz w:val="18"/>
                <w:szCs w:val="18"/>
              </w:rPr>
            </w:pPr>
            <w:r w:rsidRPr="00D27AB9">
              <w:rPr>
                <w:rFonts w:asciiTheme="majorBidi" w:eastAsia="Arial" w:hAnsiTheme="majorBidi" w:cstheme="majorBidi"/>
                <w:sz w:val="18"/>
                <w:szCs w:val="18"/>
              </w:rPr>
              <w:t>848</w:t>
            </w:r>
          </w:p>
        </w:tc>
        <w:tc>
          <w:tcPr>
            <w:tcW w:w="1276" w:type="dxa"/>
            <w:shd w:val="clear" w:color="auto" w:fill="auto"/>
            <w:noWrap/>
            <w:vAlign w:val="bottom"/>
          </w:tcPr>
          <w:p w14:paraId="5D218B55" w14:textId="3F9E89C9" w:rsidR="00252209" w:rsidRPr="00D27AB9" w:rsidRDefault="00252209" w:rsidP="00D27AB9">
            <w:pPr>
              <w:spacing w:before="40"/>
              <w:jc w:val="right"/>
              <w:rPr>
                <w:rFonts w:asciiTheme="majorBidi" w:eastAsia="Arial" w:hAnsiTheme="majorBidi" w:cstheme="majorBidi"/>
                <w:sz w:val="18"/>
                <w:szCs w:val="18"/>
              </w:rPr>
            </w:pPr>
            <w:r w:rsidRPr="00D27AB9">
              <w:rPr>
                <w:rFonts w:asciiTheme="majorBidi" w:eastAsia="Arial" w:hAnsiTheme="majorBidi" w:cstheme="majorBidi"/>
                <w:sz w:val="18"/>
                <w:szCs w:val="18"/>
              </w:rPr>
              <w:t>922</w:t>
            </w:r>
          </w:p>
        </w:tc>
        <w:tc>
          <w:tcPr>
            <w:tcW w:w="1134" w:type="dxa"/>
            <w:shd w:val="clear" w:color="auto" w:fill="auto"/>
            <w:noWrap/>
            <w:vAlign w:val="bottom"/>
          </w:tcPr>
          <w:p w14:paraId="6AEB278C" w14:textId="116C04C2" w:rsidR="00252209" w:rsidRPr="00D27AB9" w:rsidRDefault="00252209" w:rsidP="00D27AB9">
            <w:pPr>
              <w:spacing w:before="40"/>
              <w:jc w:val="right"/>
              <w:rPr>
                <w:rFonts w:asciiTheme="majorBidi" w:eastAsia="Arial" w:hAnsiTheme="majorBidi" w:cstheme="majorBidi"/>
                <w:sz w:val="18"/>
                <w:szCs w:val="18"/>
              </w:rPr>
            </w:pPr>
            <w:r w:rsidRPr="00D27AB9">
              <w:rPr>
                <w:rFonts w:asciiTheme="majorBidi" w:eastAsia="Arial" w:hAnsiTheme="majorBidi" w:cstheme="majorBidi"/>
                <w:sz w:val="18"/>
                <w:szCs w:val="18"/>
              </w:rPr>
              <w:t>-</w:t>
            </w:r>
          </w:p>
        </w:tc>
        <w:tc>
          <w:tcPr>
            <w:tcW w:w="1134" w:type="dxa"/>
            <w:shd w:val="clear" w:color="auto" w:fill="auto"/>
            <w:noWrap/>
            <w:vAlign w:val="bottom"/>
          </w:tcPr>
          <w:p w14:paraId="5A5926BC" w14:textId="18365699" w:rsidR="00252209" w:rsidRPr="00D27AB9" w:rsidRDefault="00252209" w:rsidP="00D27AB9">
            <w:pPr>
              <w:spacing w:before="40"/>
              <w:jc w:val="right"/>
              <w:rPr>
                <w:rFonts w:asciiTheme="majorBidi" w:eastAsia="Arial" w:hAnsiTheme="majorBidi" w:cstheme="majorBidi"/>
                <w:sz w:val="18"/>
                <w:szCs w:val="18"/>
              </w:rPr>
            </w:pPr>
            <w:r w:rsidRPr="00D27AB9">
              <w:rPr>
                <w:rFonts w:asciiTheme="majorBidi" w:eastAsia="Arial" w:hAnsiTheme="majorBidi" w:cstheme="majorBidi"/>
                <w:sz w:val="18"/>
                <w:szCs w:val="18"/>
              </w:rPr>
              <w:t>-</w:t>
            </w:r>
          </w:p>
        </w:tc>
        <w:tc>
          <w:tcPr>
            <w:tcW w:w="992" w:type="dxa"/>
            <w:shd w:val="clear" w:color="auto" w:fill="auto"/>
            <w:noWrap/>
            <w:vAlign w:val="bottom"/>
          </w:tcPr>
          <w:p w14:paraId="292FE452" w14:textId="09FA208A" w:rsidR="00252209" w:rsidRPr="00D27AB9" w:rsidRDefault="00252209" w:rsidP="00D27AB9">
            <w:pPr>
              <w:spacing w:before="40"/>
              <w:jc w:val="right"/>
              <w:rPr>
                <w:rFonts w:asciiTheme="majorBidi" w:eastAsia="Arial" w:hAnsiTheme="majorBidi" w:cstheme="majorBidi"/>
                <w:sz w:val="18"/>
                <w:szCs w:val="18"/>
              </w:rPr>
            </w:pPr>
            <w:r w:rsidRPr="00D27AB9">
              <w:rPr>
                <w:rFonts w:asciiTheme="majorBidi" w:eastAsia="Arial" w:hAnsiTheme="majorBidi" w:cstheme="majorBidi"/>
                <w:sz w:val="18"/>
                <w:szCs w:val="18"/>
              </w:rPr>
              <w:t>922</w:t>
            </w:r>
          </w:p>
        </w:tc>
        <w:tc>
          <w:tcPr>
            <w:tcW w:w="1134" w:type="dxa"/>
            <w:shd w:val="clear" w:color="auto" w:fill="auto"/>
            <w:noWrap/>
            <w:vAlign w:val="bottom"/>
          </w:tcPr>
          <w:p w14:paraId="2D56F874" w14:textId="4B6DFB2B" w:rsidR="00252209" w:rsidRPr="00D27AB9" w:rsidRDefault="00252209" w:rsidP="00D27AB9">
            <w:pPr>
              <w:spacing w:before="40"/>
              <w:jc w:val="right"/>
              <w:rPr>
                <w:rFonts w:asciiTheme="majorBidi" w:eastAsia="Arial" w:hAnsiTheme="majorBidi" w:cstheme="majorBidi"/>
                <w:sz w:val="18"/>
                <w:szCs w:val="18"/>
              </w:rPr>
            </w:pPr>
            <w:r w:rsidRPr="00D27AB9">
              <w:rPr>
                <w:rFonts w:asciiTheme="majorBidi" w:eastAsia="Arial" w:hAnsiTheme="majorBidi" w:cstheme="majorBidi"/>
                <w:sz w:val="18"/>
                <w:szCs w:val="18"/>
              </w:rPr>
              <w:t>-</w:t>
            </w:r>
          </w:p>
        </w:tc>
        <w:tc>
          <w:tcPr>
            <w:tcW w:w="1134" w:type="dxa"/>
            <w:shd w:val="clear" w:color="auto" w:fill="auto"/>
            <w:noWrap/>
            <w:vAlign w:val="bottom"/>
          </w:tcPr>
          <w:p w14:paraId="7C864BBC" w14:textId="003F0348" w:rsidR="00252209" w:rsidRPr="00D27AB9" w:rsidRDefault="00252209" w:rsidP="00D27AB9">
            <w:pPr>
              <w:spacing w:before="40"/>
              <w:jc w:val="right"/>
              <w:rPr>
                <w:rFonts w:asciiTheme="majorBidi" w:eastAsia="Arial" w:hAnsiTheme="majorBidi" w:cstheme="majorBidi"/>
                <w:sz w:val="18"/>
                <w:szCs w:val="18"/>
              </w:rPr>
            </w:pPr>
            <w:r w:rsidRPr="00D27AB9">
              <w:rPr>
                <w:rFonts w:asciiTheme="majorBidi" w:eastAsia="Arial" w:hAnsiTheme="majorBidi" w:cstheme="majorBidi"/>
                <w:sz w:val="18"/>
                <w:szCs w:val="18"/>
              </w:rPr>
              <w:t>-</w:t>
            </w:r>
          </w:p>
        </w:tc>
      </w:tr>
      <w:tr w:rsidR="00252209" w:rsidRPr="00AF5B17" w14:paraId="58CE8E97" w14:textId="77777777" w:rsidTr="005101BC">
        <w:trPr>
          <w:trHeight w:val="283"/>
        </w:trPr>
        <w:tc>
          <w:tcPr>
            <w:tcW w:w="2759" w:type="dxa"/>
            <w:shd w:val="clear" w:color="auto" w:fill="auto"/>
            <w:vAlign w:val="bottom"/>
            <w:hideMark/>
          </w:tcPr>
          <w:p w14:paraId="74504BF9" w14:textId="77777777" w:rsidR="00252209" w:rsidRPr="00E43187" w:rsidRDefault="00252209" w:rsidP="00252209">
            <w:pPr>
              <w:spacing w:before="40"/>
              <w:rPr>
                <w:rFonts w:asciiTheme="majorBidi" w:hAnsiTheme="majorBidi" w:cstheme="majorBidi"/>
                <w:sz w:val="20"/>
              </w:rPr>
            </w:pPr>
            <w:r w:rsidRPr="00E43187">
              <w:rPr>
                <w:rFonts w:asciiTheme="majorBidi" w:hAnsiTheme="majorBidi" w:cstheme="majorBidi"/>
                <w:color w:val="000000"/>
                <w:sz w:val="20"/>
              </w:rPr>
              <w:t>Trade and other payables (1)</w:t>
            </w:r>
          </w:p>
        </w:tc>
        <w:tc>
          <w:tcPr>
            <w:tcW w:w="1276" w:type="dxa"/>
            <w:shd w:val="clear" w:color="auto" w:fill="auto"/>
            <w:noWrap/>
            <w:vAlign w:val="bottom"/>
          </w:tcPr>
          <w:p w14:paraId="477F8133" w14:textId="64B7C7D5" w:rsidR="00252209" w:rsidRPr="00D27AB9" w:rsidRDefault="00252209" w:rsidP="00D27AB9">
            <w:pPr>
              <w:pBdr>
                <w:bottom w:val="single" w:sz="4" w:space="1" w:color="auto"/>
              </w:pBdr>
              <w:spacing w:before="40"/>
              <w:jc w:val="right"/>
              <w:rPr>
                <w:rFonts w:asciiTheme="majorBidi" w:eastAsia="Arial" w:hAnsiTheme="majorBidi" w:cstheme="majorBidi"/>
                <w:sz w:val="18"/>
                <w:szCs w:val="18"/>
              </w:rPr>
            </w:pPr>
            <w:r w:rsidRPr="00D27AB9">
              <w:rPr>
                <w:rFonts w:asciiTheme="majorBidi" w:eastAsia="Arial" w:hAnsiTheme="majorBidi" w:cstheme="majorBidi"/>
                <w:sz w:val="18"/>
                <w:szCs w:val="18"/>
              </w:rPr>
              <w:t>102,117</w:t>
            </w:r>
          </w:p>
        </w:tc>
        <w:tc>
          <w:tcPr>
            <w:tcW w:w="1276" w:type="dxa"/>
            <w:shd w:val="clear" w:color="auto" w:fill="auto"/>
            <w:noWrap/>
            <w:vAlign w:val="bottom"/>
          </w:tcPr>
          <w:p w14:paraId="018C512E" w14:textId="5BCF5E5D" w:rsidR="00252209" w:rsidRPr="00D27AB9" w:rsidRDefault="00252209" w:rsidP="00D27AB9">
            <w:pPr>
              <w:pBdr>
                <w:bottom w:val="single" w:sz="4" w:space="1" w:color="auto"/>
              </w:pBdr>
              <w:spacing w:before="40"/>
              <w:jc w:val="right"/>
              <w:rPr>
                <w:rFonts w:asciiTheme="majorBidi" w:eastAsia="Arial" w:hAnsiTheme="majorBidi" w:cstheme="majorBidi"/>
                <w:sz w:val="18"/>
                <w:szCs w:val="18"/>
              </w:rPr>
            </w:pPr>
            <w:r w:rsidRPr="00D27AB9">
              <w:rPr>
                <w:rFonts w:asciiTheme="majorBidi" w:eastAsia="Arial" w:hAnsiTheme="majorBidi" w:cstheme="majorBidi"/>
                <w:sz w:val="18"/>
                <w:szCs w:val="18"/>
              </w:rPr>
              <w:t>101,234</w:t>
            </w:r>
          </w:p>
        </w:tc>
        <w:tc>
          <w:tcPr>
            <w:tcW w:w="1134" w:type="dxa"/>
            <w:shd w:val="clear" w:color="auto" w:fill="auto"/>
            <w:noWrap/>
            <w:vAlign w:val="bottom"/>
          </w:tcPr>
          <w:p w14:paraId="7F130868" w14:textId="3F738D35" w:rsidR="00252209" w:rsidRPr="00D27AB9" w:rsidRDefault="00252209" w:rsidP="00D27AB9">
            <w:pPr>
              <w:pBdr>
                <w:bottom w:val="single" w:sz="4" w:space="1" w:color="auto"/>
              </w:pBdr>
              <w:spacing w:before="40"/>
              <w:jc w:val="right"/>
              <w:rPr>
                <w:rFonts w:asciiTheme="majorBidi" w:eastAsia="Arial" w:hAnsiTheme="majorBidi" w:cstheme="majorBidi"/>
                <w:sz w:val="18"/>
                <w:szCs w:val="18"/>
              </w:rPr>
            </w:pPr>
            <w:r w:rsidRPr="00D27AB9">
              <w:rPr>
                <w:rFonts w:asciiTheme="majorBidi" w:eastAsia="Arial" w:hAnsiTheme="majorBidi" w:cstheme="majorBidi"/>
                <w:sz w:val="18"/>
                <w:szCs w:val="18"/>
              </w:rPr>
              <w:t>94,362</w:t>
            </w:r>
          </w:p>
        </w:tc>
        <w:tc>
          <w:tcPr>
            <w:tcW w:w="1134" w:type="dxa"/>
            <w:shd w:val="clear" w:color="auto" w:fill="auto"/>
            <w:noWrap/>
            <w:vAlign w:val="bottom"/>
          </w:tcPr>
          <w:p w14:paraId="18366E8D" w14:textId="5DC0854D" w:rsidR="00252209" w:rsidRPr="00D27AB9" w:rsidRDefault="00252209" w:rsidP="00D27AB9">
            <w:pPr>
              <w:pBdr>
                <w:bottom w:val="single" w:sz="4" w:space="1" w:color="auto"/>
              </w:pBdr>
              <w:spacing w:before="40"/>
              <w:jc w:val="right"/>
              <w:rPr>
                <w:rFonts w:asciiTheme="majorBidi" w:eastAsia="Arial" w:hAnsiTheme="majorBidi" w:cstheme="majorBidi"/>
                <w:sz w:val="18"/>
                <w:szCs w:val="18"/>
              </w:rPr>
            </w:pPr>
            <w:r w:rsidRPr="00D27AB9">
              <w:rPr>
                <w:rFonts w:asciiTheme="majorBidi" w:eastAsia="Arial" w:hAnsiTheme="majorBidi" w:cstheme="majorBidi"/>
                <w:sz w:val="18"/>
                <w:szCs w:val="18"/>
              </w:rPr>
              <w:t>6,872</w:t>
            </w:r>
          </w:p>
        </w:tc>
        <w:tc>
          <w:tcPr>
            <w:tcW w:w="992" w:type="dxa"/>
            <w:shd w:val="clear" w:color="auto" w:fill="auto"/>
            <w:noWrap/>
            <w:vAlign w:val="bottom"/>
          </w:tcPr>
          <w:p w14:paraId="7B3BE478" w14:textId="0BEDD769" w:rsidR="00252209" w:rsidRPr="00D27AB9" w:rsidRDefault="00252209" w:rsidP="00D27AB9">
            <w:pPr>
              <w:pBdr>
                <w:bottom w:val="single" w:sz="4" w:space="1" w:color="auto"/>
              </w:pBdr>
              <w:spacing w:before="40"/>
              <w:jc w:val="right"/>
              <w:rPr>
                <w:rFonts w:asciiTheme="majorBidi" w:eastAsia="Arial" w:hAnsiTheme="majorBidi" w:cstheme="majorBidi"/>
                <w:sz w:val="18"/>
                <w:szCs w:val="18"/>
              </w:rPr>
            </w:pPr>
            <w:r w:rsidRPr="00D27AB9">
              <w:rPr>
                <w:rFonts w:asciiTheme="majorBidi" w:eastAsia="Arial" w:hAnsiTheme="majorBidi" w:cstheme="majorBidi"/>
                <w:sz w:val="18"/>
                <w:szCs w:val="18"/>
              </w:rPr>
              <w:t>-</w:t>
            </w:r>
          </w:p>
        </w:tc>
        <w:tc>
          <w:tcPr>
            <w:tcW w:w="1134" w:type="dxa"/>
            <w:shd w:val="clear" w:color="auto" w:fill="auto"/>
            <w:noWrap/>
            <w:vAlign w:val="bottom"/>
          </w:tcPr>
          <w:p w14:paraId="43B8DA36" w14:textId="0A691314" w:rsidR="00252209" w:rsidRPr="00D27AB9" w:rsidRDefault="00252209" w:rsidP="00D27AB9">
            <w:pPr>
              <w:pBdr>
                <w:bottom w:val="single" w:sz="4" w:space="1" w:color="auto"/>
              </w:pBdr>
              <w:spacing w:before="40"/>
              <w:jc w:val="right"/>
              <w:rPr>
                <w:rFonts w:asciiTheme="majorBidi" w:eastAsia="Arial" w:hAnsiTheme="majorBidi" w:cstheme="majorBidi"/>
                <w:sz w:val="18"/>
                <w:szCs w:val="18"/>
              </w:rPr>
            </w:pPr>
            <w:r w:rsidRPr="00D27AB9">
              <w:rPr>
                <w:rFonts w:asciiTheme="majorBidi" w:eastAsia="Arial" w:hAnsiTheme="majorBidi" w:cstheme="majorBidi"/>
                <w:sz w:val="18"/>
                <w:szCs w:val="18"/>
              </w:rPr>
              <w:t>-</w:t>
            </w:r>
          </w:p>
        </w:tc>
        <w:tc>
          <w:tcPr>
            <w:tcW w:w="1134" w:type="dxa"/>
            <w:shd w:val="clear" w:color="auto" w:fill="auto"/>
            <w:noWrap/>
            <w:vAlign w:val="bottom"/>
          </w:tcPr>
          <w:p w14:paraId="259824F5" w14:textId="2ED5F675" w:rsidR="00252209" w:rsidRPr="00D27AB9" w:rsidRDefault="00252209" w:rsidP="00D27AB9">
            <w:pPr>
              <w:pBdr>
                <w:bottom w:val="single" w:sz="4" w:space="1" w:color="auto"/>
              </w:pBdr>
              <w:spacing w:before="40"/>
              <w:jc w:val="right"/>
              <w:rPr>
                <w:rFonts w:asciiTheme="majorBidi" w:eastAsia="Arial" w:hAnsiTheme="majorBidi" w:cstheme="majorBidi"/>
                <w:sz w:val="18"/>
                <w:szCs w:val="18"/>
              </w:rPr>
            </w:pPr>
            <w:r w:rsidRPr="00D27AB9">
              <w:rPr>
                <w:rFonts w:asciiTheme="majorBidi" w:eastAsia="Arial" w:hAnsiTheme="majorBidi" w:cstheme="majorBidi"/>
                <w:sz w:val="18"/>
                <w:szCs w:val="18"/>
              </w:rPr>
              <w:t>-</w:t>
            </w:r>
          </w:p>
        </w:tc>
      </w:tr>
      <w:tr w:rsidR="00252209" w:rsidRPr="00AF5B17" w14:paraId="722CD8F2" w14:textId="77777777" w:rsidTr="005101BC">
        <w:trPr>
          <w:trHeight w:val="283"/>
        </w:trPr>
        <w:tc>
          <w:tcPr>
            <w:tcW w:w="2759" w:type="dxa"/>
            <w:shd w:val="clear" w:color="auto" w:fill="auto"/>
            <w:noWrap/>
            <w:vAlign w:val="bottom"/>
            <w:hideMark/>
          </w:tcPr>
          <w:p w14:paraId="07410A8E" w14:textId="77777777" w:rsidR="00252209" w:rsidRPr="00AF5B17" w:rsidRDefault="00252209" w:rsidP="00252209">
            <w:pPr>
              <w:spacing w:before="40"/>
              <w:rPr>
                <w:rFonts w:asciiTheme="majorBidi" w:eastAsia="Arial" w:hAnsiTheme="majorBidi" w:cstheme="majorBidi"/>
                <w:sz w:val="22"/>
                <w:szCs w:val="22"/>
              </w:rPr>
            </w:pPr>
          </w:p>
        </w:tc>
        <w:tc>
          <w:tcPr>
            <w:tcW w:w="1276" w:type="dxa"/>
            <w:shd w:val="clear" w:color="auto" w:fill="auto"/>
            <w:noWrap/>
            <w:vAlign w:val="bottom"/>
          </w:tcPr>
          <w:p w14:paraId="653E98F0" w14:textId="3DB6485E" w:rsidR="00252209" w:rsidRPr="00D27AB9" w:rsidRDefault="00252209" w:rsidP="00D27AB9">
            <w:pPr>
              <w:pBdr>
                <w:bottom w:val="double" w:sz="4" w:space="1" w:color="auto"/>
              </w:pBdr>
              <w:spacing w:before="40"/>
              <w:jc w:val="right"/>
              <w:rPr>
                <w:rFonts w:asciiTheme="majorBidi" w:eastAsia="Arial" w:hAnsiTheme="majorBidi" w:cstheme="majorBidi"/>
                <w:sz w:val="18"/>
                <w:szCs w:val="18"/>
              </w:rPr>
            </w:pPr>
            <w:r w:rsidRPr="00D27AB9">
              <w:rPr>
                <w:rFonts w:asciiTheme="majorBidi" w:eastAsia="Arial" w:hAnsiTheme="majorBidi" w:cstheme="majorBidi"/>
                <w:sz w:val="18"/>
                <w:szCs w:val="18"/>
              </w:rPr>
              <w:t>2,604,101</w:t>
            </w:r>
          </w:p>
        </w:tc>
        <w:tc>
          <w:tcPr>
            <w:tcW w:w="1276" w:type="dxa"/>
            <w:shd w:val="clear" w:color="auto" w:fill="auto"/>
            <w:noWrap/>
            <w:vAlign w:val="bottom"/>
          </w:tcPr>
          <w:p w14:paraId="2D7E2799" w14:textId="304972C7" w:rsidR="00252209" w:rsidRPr="00D27AB9" w:rsidRDefault="00252209" w:rsidP="00D27AB9">
            <w:pPr>
              <w:pBdr>
                <w:bottom w:val="double" w:sz="4" w:space="1" w:color="auto"/>
              </w:pBdr>
              <w:spacing w:before="40"/>
              <w:jc w:val="right"/>
              <w:rPr>
                <w:rFonts w:asciiTheme="majorBidi" w:eastAsia="Arial" w:hAnsiTheme="majorBidi" w:cstheme="majorBidi"/>
                <w:sz w:val="18"/>
                <w:szCs w:val="18"/>
              </w:rPr>
            </w:pPr>
            <w:r w:rsidRPr="00D27AB9">
              <w:rPr>
                <w:rFonts w:asciiTheme="majorBidi" w:eastAsia="Arial" w:hAnsiTheme="majorBidi" w:cstheme="majorBidi"/>
                <w:sz w:val="18"/>
                <w:szCs w:val="18"/>
              </w:rPr>
              <w:t>3,140,941</w:t>
            </w:r>
          </w:p>
        </w:tc>
        <w:tc>
          <w:tcPr>
            <w:tcW w:w="1134" w:type="dxa"/>
            <w:shd w:val="clear" w:color="auto" w:fill="auto"/>
            <w:noWrap/>
            <w:vAlign w:val="bottom"/>
          </w:tcPr>
          <w:p w14:paraId="5BC1EE73" w14:textId="7C850F56" w:rsidR="00252209" w:rsidRPr="00D27AB9" w:rsidRDefault="00252209" w:rsidP="00D27AB9">
            <w:pPr>
              <w:pBdr>
                <w:bottom w:val="double" w:sz="4" w:space="1" w:color="auto"/>
              </w:pBdr>
              <w:spacing w:before="40"/>
              <w:jc w:val="right"/>
              <w:rPr>
                <w:rFonts w:asciiTheme="majorBidi" w:eastAsia="Arial" w:hAnsiTheme="majorBidi" w:cstheme="majorBidi"/>
                <w:sz w:val="18"/>
                <w:szCs w:val="18"/>
              </w:rPr>
            </w:pPr>
            <w:r w:rsidRPr="00D27AB9">
              <w:rPr>
                <w:rFonts w:asciiTheme="majorBidi" w:eastAsia="Arial" w:hAnsiTheme="majorBidi" w:cstheme="majorBidi"/>
                <w:sz w:val="18"/>
                <w:szCs w:val="18"/>
              </w:rPr>
              <w:t>157,798</w:t>
            </w:r>
          </w:p>
        </w:tc>
        <w:tc>
          <w:tcPr>
            <w:tcW w:w="1134" w:type="dxa"/>
            <w:shd w:val="clear" w:color="auto" w:fill="auto"/>
            <w:noWrap/>
            <w:vAlign w:val="bottom"/>
          </w:tcPr>
          <w:p w14:paraId="39E591C3" w14:textId="7AB7FCB2" w:rsidR="00252209" w:rsidRPr="00D27AB9" w:rsidRDefault="00252209" w:rsidP="00D27AB9">
            <w:pPr>
              <w:pBdr>
                <w:bottom w:val="double" w:sz="4" w:space="1" w:color="auto"/>
              </w:pBdr>
              <w:spacing w:before="40"/>
              <w:jc w:val="right"/>
              <w:rPr>
                <w:rFonts w:asciiTheme="majorBidi" w:eastAsia="Arial" w:hAnsiTheme="majorBidi" w:cstheme="majorBidi"/>
                <w:sz w:val="18"/>
                <w:szCs w:val="18"/>
              </w:rPr>
            </w:pPr>
            <w:r w:rsidRPr="00D27AB9">
              <w:rPr>
                <w:rFonts w:asciiTheme="majorBidi" w:eastAsia="Arial" w:hAnsiTheme="majorBidi" w:cstheme="majorBidi"/>
                <w:sz w:val="18"/>
                <w:szCs w:val="18"/>
              </w:rPr>
              <w:t>326,498</w:t>
            </w:r>
          </w:p>
        </w:tc>
        <w:tc>
          <w:tcPr>
            <w:tcW w:w="992" w:type="dxa"/>
            <w:shd w:val="clear" w:color="auto" w:fill="auto"/>
            <w:noWrap/>
            <w:vAlign w:val="bottom"/>
          </w:tcPr>
          <w:p w14:paraId="3715B377" w14:textId="0E0560D1" w:rsidR="00252209" w:rsidRPr="00D27AB9" w:rsidRDefault="00252209" w:rsidP="00D27AB9">
            <w:pPr>
              <w:pBdr>
                <w:bottom w:val="double" w:sz="4" w:space="1" w:color="auto"/>
              </w:pBdr>
              <w:spacing w:before="40"/>
              <w:jc w:val="right"/>
              <w:rPr>
                <w:rFonts w:asciiTheme="majorBidi" w:eastAsia="Arial" w:hAnsiTheme="majorBidi" w:cstheme="majorBidi"/>
                <w:sz w:val="18"/>
                <w:szCs w:val="18"/>
              </w:rPr>
            </w:pPr>
            <w:r w:rsidRPr="00D27AB9">
              <w:rPr>
                <w:rFonts w:asciiTheme="majorBidi" w:eastAsia="Arial" w:hAnsiTheme="majorBidi" w:cstheme="majorBidi"/>
                <w:sz w:val="18"/>
                <w:szCs w:val="18"/>
              </w:rPr>
              <w:t>607,566</w:t>
            </w:r>
          </w:p>
        </w:tc>
        <w:tc>
          <w:tcPr>
            <w:tcW w:w="1134" w:type="dxa"/>
            <w:shd w:val="clear" w:color="auto" w:fill="auto"/>
            <w:noWrap/>
            <w:vAlign w:val="bottom"/>
          </w:tcPr>
          <w:p w14:paraId="5692BCF6" w14:textId="1EF5DAD0" w:rsidR="00252209" w:rsidRPr="00D27AB9" w:rsidRDefault="00252209" w:rsidP="00D27AB9">
            <w:pPr>
              <w:pBdr>
                <w:bottom w:val="double" w:sz="4" w:space="1" w:color="auto"/>
              </w:pBdr>
              <w:spacing w:before="40"/>
              <w:jc w:val="right"/>
              <w:rPr>
                <w:rFonts w:asciiTheme="majorBidi" w:eastAsia="Arial" w:hAnsiTheme="majorBidi" w:cstheme="majorBidi"/>
                <w:sz w:val="18"/>
                <w:szCs w:val="18"/>
              </w:rPr>
            </w:pPr>
            <w:r w:rsidRPr="00D27AB9">
              <w:rPr>
                <w:rFonts w:asciiTheme="majorBidi" w:eastAsia="Arial" w:hAnsiTheme="majorBidi" w:cstheme="majorBidi"/>
                <w:sz w:val="18"/>
                <w:szCs w:val="18"/>
              </w:rPr>
              <w:t>533,691</w:t>
            </w:r>
          </w:p>
        </w:tc>
        <w:tc>
          <w:tcPr>
            <w:tcW w:w="1134" w:type="dxa"/>
            <w:shd w:val="clear" w:color="auto" w:fill="auto"/>
            <w:noWrap/>
            <w:vAlign w:val="bottom"/>
          </w:tcPr>
          <w:p w14:paraId="56681650" w14:textId="77D852D9" w:rsidR="00252209" w:rsidRPr="00D27AB9" w:rsidRDefault="00252209" w:rsidP="00D27AB9">
            <w:pPr>
              <w:pBdr>
                <w:bottom w:val="double" w:sz="4" w:space="1" w:color="auto"/>
              </w:pBdr>
              <w:spacing w:before="40"/>
              <w:jc w:val="right"/>
              <w:rPr>
                <w:rFonts w:asciiTheme="majorBidi" w:eastAsia="Arial" w:hAnsiTheme="majorBidi" w:cstheme="majorBidi"/>
                <w:sz w:val="18"/>
                <w:szCs w:val="18"/>
              </w:rPr>
            </w:pPr>
            <w:r w:rsidRPr="00D27AB9">
              <w:rPr>
                <w:rFonts w:asciiTheme="majorBidi" w:eastAsia="Arial" w:hAnsiTheme="majorBidi" w:cstheme="majorBidi"/>
                <w:sz w:val="18"/>
                <w:szCs w:val="18"/>
              </w:rPr>
              <w:t>1,515,389</w:t>
            </w:r>
          </w:p>
        </w:tc>
      </w:tr>
    </w:tbl>
    <w:p w14:paraId="3D8BAC9B" w14:textId="77777777" w:rsidR="006C75F9" w:rsidRDefault="006C75F9" w:rsidP="006C75F9">
      <w:pPr>
        <w:ind w:left="1080"/>
        <w:jc w:val="both"/>
        <w:rPr>
          <w:sz w:val="20"/>
        </w:rPr>
      </w:pPr>
    </w:p>
    <w:p w14:paraId="32699758" w14:textId="51183E5A" w:rsidR="00C35D07" w:rsidRPr="008211D9" w:rsidRDefault="00727F56" w:rsidP="00C5462B">
      <w:pPr>
        <w:numPr>
          <w:ilvl w:val="0"/>
          <w:numId w:val="4"/>
        </w:numPr>
        <w:jc w:val="both"/>
        <w:rPr>
          <w:sz w:val="20"/>
        </w:rPr>
      </w:pPr>
      <w:r w:rsidRPr="008211D9">
        <w:rPr>
          <w:sz w:val="20"/>
        </w:rPr>
        <w:t>Includ</w:t>
      </w:r>
      <w:r w:rsidR="00074C95">
        <w:rPr>
          <w:sz w:val="20"/>
        </w:rPr>
        <w:t>ing</w:t>
      </w:r>
      <w:r w:rsidRPr="008211D9">
        <w:rPr>
          <w:sz w:val="20"/>
        </w:rPr>
        <w:t xml:space="preserve"> deferred expenses.</w:t>
      </w:r>
    </w:p>
    <w:p w14:paraId="64498857" w14:textId="37ED13D8" w:rsidR="00543265" w:rsidRDefault="00543265">
      <w:r>
        <w:br w:type="page"/>
      </w:r>
    </w:p>
    <w:p w14:paraId="2D4C860D" w14:textId="77777777" w:rsidR="00543265" w:rsidRDefault="00543265" w:rsidP="00E909B4"/>
    <w:p w14:paraId="6E3D2104" w14:textId="77777777" w:rsidR="000354F1" w:rsidRPr="00543265" w:rsidRDefault="000354F1" w:rsidP="000354F1">
      <w:pPr>
        <w:jc w:val="both"/>
        <w:rPr>
          <w:b/>
          <w:bCs/>
          <w:sz w:val="22"/>
          <w:szCs w:val="22"/>
        </w:rPr>
      </w:pPr>
      <w:r w:rsidRPr="00543265">
        <w:rPr>
          <w:b/>
          <w:bCs/>
          <w:sz w:val="22"/>
          <w:szCs w:val="22"/>
        </w:rPr>
        <w:t>Note 21 - Financial Instruments (cont’d)</w:t>
      </w:r>
    </w:p>
    <w:p w14:paraId="715E8BCD" w14:textId="77777777" w:rsidR="00543265" w:rsidRDefault="00543265" w:rsidP="00E909B4"/>
    <w:p w14:paraId="00E65853" w14:textId="77777777" w:rsidR="000354F1" w:rsidRPr="001E2335" w:rsidRDefault="000354F1" w:rsidP="000354F1">
      <w:pPr>
        <w:ind w:left="720"/>
        <w:jc w:val="both"/>
        <w:rPr>
          <w:rFonts w:asciiTheme="majorBidi" w:hAnsiTheme="majorBidi" w:cstheme="majorBidi"/>
          <w:bCs/>
          <w:i/>
          <w:iCs/>
          <w:sz w:val="18"/>
          <w:lang w:bidi="he-IL"/>
        </w:rPr>
      </w:pPr>
      <w:r w:rsidRPr="00AF5B17">
        <w:rPr>
          <w:rStyle w:val="Koteret"/>
          <w:rFonts w:asciiTheme="majorBidi" w:hAnsiTheme="majorBidi" w:cstheme="majorBidi"/>
          <w:b w:val="0"/>
          <w:bCs/>
          <w:i/>
          <w:iCs/>
        </w:rPr>
        <w:t>In thousands of Euros</w:t>
      </w:r>
    </w:p>
    <w:p w14:paraId="3DF7E589" w14:textId="77777777" w:rsidR="000354F1" w:rsidRDefault="000354F1" w:rsidP="000354F1">
      <w:pPr>
        <w:ind w:left="1080"/>
        <w:jc w:val="both"/>
        <w:rPr>
          <w:sz w:val="20"/>
        </w:rPr>
      </w:pPr>
    </w:p>
    <w:tbl>
      <w:tblPr>
        <w:tblW w:w="10839" w:type="dxa"/>
        <w:tblInd w:w="-491" w:type="dxa"/>
        <w:tblLayout w:type="fixed"/>
        <w:tblLook w:val="06A0" w:firstRow="1" w:lastRow="0" w:firstColumn="1" w:lastColumn="0" w:noHBand="1" w:noVBand="1"/>
        <w:tblCaption w:val="AHR02"/>
        <w:tblDescription w:val="Liquidity risk year of report"/>
      </w:tblPr>
      <w:tblGrid>
        <w:gridCol w:w="2759"/>
        <w:gridCol w:w="1276"/>
        <w:gridCol w:w="1276"/>
        <w:gridCol w:w="1134"/>
        <w:gridCol w:w="992"/>
        <w:gridCol w:w="1134"/>
        <w:gridCol w:w="1134"/>
        <w:gridCol w:w="1134"/>
      </w:tblGrid>
      <w:tr w:rsidR="005101BC" w:rsidRPr="00AF5B17" w14:paraId="6A1CC78C" w14:textId="77777777" w:rsidTr="005101BC">
        <w:trPr>
          <w:cantSplit/>
          <w:trHeight w:val="283"/>
          <w:tblHeader/>
        </w:trPr>
        <w:tc>
          <w:tcPr>
            <w:tcW w:w="2759" w:type="dxa"/>
            <w:vMerge w:val="restart"/>
            <w:shd w:val="clear" w:color="auto" w:fill="auto"/>
            <w:noWrap/>
            <w:vAlign w:val="bottom"/>
          </w:tcPr>
          <w:p w14:paraId="393FC188" w14:textId="77777777" w:rsidR="005101BC" w:rsidRPr="00AF5B17" w:rsidRDefault="005101BC" w:rsidP="00327BFD">
            <w:pPr>
              <w:ind w:left="720"/>
              <w:jc w:val="both"/>
              <w:rPr>
                <w:rFonts w:asciiTheme="majorBidi" w:hAnsiTheme="majorBidi" w:cstheme="majorBidi"/>
                <w:bCs/>
                <w:i/>
                <w:iCs/>
                <w:sz w:val="18"/>
                <w:lang w:bidi="he-IL"/>
              </w:rPr>
            </w:pPr>
          </w:p>
        </w:tc>
        <w:tc>
          <w:tcPr>
            <w:tcW w:w="8080" w:type="dxa"/>
            <w:gridSpan w:val="7"/>
            <w:shd w:val="clear" w:color="auto" w:fill="auto"/>
            <w:noWrap/>
            <w:vAlign w:val="bottom"/>
          </w:tcPr>
          <w:p w14:paraId="5DF06342" w14:textId="77777777" w:rsidR="005101BC" w:rsidRPr="00AF5B17" w:rsidRDefault="005101BC" w:rsidP="00327BFD">
            <w:pPr>
              <w:pBdr>
                <w:bottom w:val="single" w:sz="4" w:space="1" w:color="auto"/>
              </w:pBdr>
              <w:bidi/>
              <w:spacing w:before="40"/>
              <w:ind w:left="57"/>
              <w:jc w:val="center"/>
              <w:rPr>
                <w:rFonts w:asciiTheme="majorBidi" w:hAnsiTheme="majorBidi" w:cstheme="majorBidi"/>
                <w:b/>
                <w:bCs/>
                <w:color w:val="000000"/>
                <w:sz w:val="20"/>
                <w:rtl/>
                <w:lang w:bidi="he-IL"/>
              </w:rPr>
            </w:pPr>
            <w:r w:rsidRPr="00AF5B17">
              <w:rPr>
                <w:rFonts w:asciiTheme="majorBidi" w:hAnsiTheme="majorBidi" w:cstheme="majorBidi"/>
                <w:b/>
                <w:bCs/>
                <w:color w:val="000000"/>
                <w:sz w:val="20"/>
              </w:rPr>
              <w:t xml:space="preserve">As of December 31, </w:t>
            </w:r>
            <w:r>
              <w:rPr>
                <w:rFonts w:asciiTheme="majorBidi" w:hAnsiTheme="majorBidi" w:cstheme="majorBidi"/>
                <w:b/>
                <w:bCs/>
                <w:color w:val="000000"/>
                <w:sz w:val="20"/>
              </w:rPr>
              <w:t>2023</w:t>
            </w:r>
          </w:p>
        </w:tc>
      </w:tr>
      <w:tr w:rsidR="005101BC" w:rsidRPr="00AF5B17" w14:paraId="73ABF38F" w14:textId="77777777" w:rsidTr="005101BC">
        <w:trPr>
          <w:cantSplit/>
          <w:trHeight w:val="566"/>
          <w:tblHeader/>
        </w:trPr>
        <w:tc>
          <w:tcPr>
            <w:tcW w:w="2759" w:type="dxa"/>
            <w:vMerge/>
            <w:shd w:val="clear" w:color="auto" w:fill="auto"/>
            <w:noWrap/>
            <w:vAlign w:val="bottom"/>
            <w:hideMark/>
          </w:tcPr>
          <w:p w14:paraId="6D202744" w14:textId="77777777" w:rsidR="005101BC" w:rsidRPr="00AF5B17" w:rsidRDefault="005101BC" w:rsidP="00327BFD">
            <w:pPr>
              <w:spacing w:before="40"/>
              <w:rPr>
                <w:rFonts w:asciiTheme="majorBidi" w:eastAsia="Arial" w:hAnsiTheme="majorBidi" w:cstheme="majorBidi"/>
                <w:sz w:val="20"/>
              </w:rPr>
            </w:pPr>
          </w:p>
        </w:tc>
        <w:tc>
          <w:tcPr>
            <w:tcW w:w="1276" w:type="dxa"/>
            <w:shd w:val="clear" w:color="auto" w:fill="auto"/>
            <w:noWrap/>
            <w:vAlign w:val="bottom"/>
            <w:hideMark/>
          </w:tcPr>
          <w:p w14:paraId="058F3AA4" w14:textId="77777777" w:rsidR="005101BC" w:rsidRPr="00AF5B17" w:rsidRDefault="005101BC" w:rsidP="00327BFD">
            <w:pPr>
              <w:spacing w:before="40"/>
              <w:jc w:val="center"/>
              <w:rPr>
                <w:rFonts w:asciiTheme="majorBidi" w:hAnsiTheme="majorBidi" w:cstheme="majorBidi"/>
                <w:b/>
                <w:bCs/>
                <w:sz w:val="20"/>
              </w:rPr>
            </w:pPr>
            <w:r w:rsidRPr="00AF5B17">
              <w:rPr>
                <w:rFonts w:asciiTheme="majorBidi" w:hAnsiTheme="majorBidi" w:cstheme="majorBidi"/>
                <w:b/>
                <w:bCs/>
                <w:color w:val="000000"/>
                <w:sz w:val="20"/>
              </w:rPr>
              <w:t>Carrying</w:t>
            </w:r>
          </w:p>
          <w:p w14:paraId="62C95E72" w14:textId="77777777" w:rsidR="005101BC" w:rsidRPr="00AF5B17" w:rsidRDefault="005101BC" w:rsidP="00327BFD">
            <w:pPr>
              <w:pBdr>
                <w:bottom w:val="single" w:sz="4" w:space="0" w:color="000000"/>
              </w:pBdr>
              <w:spacing w:before="40"/>
              <w:jc w:val="center"/>
              <w:rPr>
                <w:rFonts w:asciiTheme="majorBidi" w:hAnsiTheme="majorBidi" w:cstheme="majorBidi"/>
                <w:b/>
                <w:bCs/>
                <w:sz w:val="20"/>
              </w:rPr>
            </w:pPr>
            <w:r w:rsidRPr="00AF5B17">
              <w:rPr>
                <w:rFonts w:asciiTheme="majorBidi" w:hAnsiTheme="majorBidi" w:cstheme="majorBidi"/>
                <w:b/>
                <w:bCs/>
                <w:color w:val="000000"/>
                <w:sz w:val="20"/>
              </w:rPr>
              <w:t>amount</w:t>
            </w:r>
          </w:p>
        </w:tc>
        <w:tc>
          <w:tcPr>
            <w:tcW w:w="1276" w:type="dxa"/>
            <w:shd w:val="clear" w:color="auto" w:fill="auto"/>
            <w:noWrap/>
            <w:vAlign w:val="bottom"/>
            <w:hideMark/>
          </w:tcPr>
          <w:p w14:paraId="62393672" w14:textId="77777777" w:rsidR="005101BC" w:rsidRPr="00AF5B17" w:rsidRDefault="005101BC" w:rsidP="00327BFD">
            <w:pPr>
              <w:spacing w:before="40"/>
              <w:jc w:val="center"/>
              <w:rPr>
                <w:rFonts w:asciiTheme="majorBidi" w:hAnsiTheme="majorBidi" w:cstheme="majorBidi"/>
                <w:b/>
                <w:bCs/>
                <w:sz w:val="20"/>
              </w:rPr>
            </w:pPr>
            <w:r w:rsidRPr="00AF5B17">
              <w:rPr>
                <w:rFonts w:asciiTheme="majorBidi" w:hAnsiTheme="majorBidi" w:cstheme="majorBidi"/>
                <w:b/>
                <w:bCs/>
                <w:color w:val="000000"/>
                <w:sz w:val="20"/>
              </w:rPr>
              <w:t>Contractual</w:t>
            </w:r>
          </w:p>
          <w:p w14:paraId="47EA96FE" w14:textId="77777777" w:rsidR="005101BC" w:rsidRPr="00AF5B17" w:rsidRDefault="005101BC" w:rsidP="00327BFD">
            <w:pPr>
              <w:pBdr>
                <w:bottom w:val="single" w:sz="4" w:space="0" w:color="000000"/>
              </w:pBdr>
              <w:spacing w:before="40"/>
              <w:jc w:val="center"/>
              <w:rPr>
                <w:rFonts w:asciiTheme="majorBidi" w:hAnsiTheme="majorBidi" w:cstheme="majorBidi"/>
                <w:b/>
                <w:bCs/>
                <w:sz w:val="20"/>
              </w:rPr>
            </w:pPr>
            <w:r w:rsidRPr="00AF5B17">
              <w:rPr>
                <w:rFonts w:asciiTheme="majorBidi" w:hAnsiTheme="majorBidi" w:cstheme="majorBidi"/>
                <w:b/>
                <w:bCs/>
                <w:color w:val="000000"/>
                <w:sz w:val="20"/>
              </w:rPr>
              <w:t>cash flows</w:t>
            </w:r>
          </w:p>
        </w:tc>
        <w:tc>
          <w:tcPr>
            <w:tcW w:w="1134" w:type="dxa"/>
            <w:shd w:val="clear" w:color="auto" w:fill="auto"/>
            <w:noWrap/>
            <w:vAlign w:val="bottom"/>
            <w:hideMark/>
          </w:tcPr>
          <w:p w14:paraId="0DAF777A" w14:textId="77777777" w:rsidR="005101BC" w:rsidRPr="00AF5B17" w:rsidRDefault="005101BC" w:rsidP="00327BFD">
            <w:pPr>
              <w:spacing w:before="40"/>
              <w:jc w:val="center"/>
              <w:rPr>
                <w:rFonts w:asciiTheme="majorBidi" w:hAnsiTheme="majorBidi" w:cstheme="majorBidi"/>
                <w:b/>
                <w:bCs/>
                <w:sz w:val="20"/>
              </w:rPr>
            </w:pPr>
            <w:r w:rsidRPr="00AF5B17">
              <w:rPr>
                <w:rFonts w:asciiTheme="majorBidi" w:hAnsiTheme="majorBidi" w:cstheme="majorBidi"/>
                <w:b/>
                <w:bCs/>
                <w:color w:val="000000"/>
                <w:sz w:val="20"/>
              </w:rPr>
              <w:t xml:space="preserve">6 </w:t>
            </w:r>
            <w:proofErr w:type="gramStart"/>
            <w:r w:rsidRPr="00AF5B17">
              <w:rPr>
                <w:rFonts w:asciiTheme="majorBidi" w:hAnsiTheme="majorBidi" w:cstheme="majorBidi"/>
                <w:b/>
                <w:bCs/>
                <w:color w:val="000000"/>
                <w:sz w:val="20"/>
              </w:rPr>
              <w:t>moths</w:t>
            </w:r>
            <w:proofErr w:type="gramEnd"/>
          </w:p>
          <w:p w14:paraId="1F8737B3" w14:textId="77777777" w:rsidR="005101BC" w:rsidRPr="00AF5B17" w:rsidRDefault="005101BC" w:rsidP="00327BFD">
            <w:pPr>
              <w:pBdr>
                <w:bottom w:val="single" w:sz="4" w:space="0" w:color="000000"/>
              </w:pBdr>
              <w:spacing w:before="40"/>
              <w:jc w:val="center"/>
              <w:rPr>
                <w:rFonts w:asciiTheme="majorBidi" w:hAnsiTheme="majorBidi" w:cstheme="majorBidi"/>
                <w:b/>
                <w:bCs/>
                <w:sz w:val="20"/>
              </w:rPr>
            </w:pPr>
            <w:r w:rsidRPr="00AF5B17">
              <w:rPr>
                <w:rFonts w:asciiTheme="majorBidi" w:hAnsiTheme="majorBidi" w:cstheme="majorBidi"/>
                <w:b/>
                <w:bCs/>
                <w:color w:val="000000"/>
                <w:sz w:val="20"/>
              </w:rPr>
              <w:t>or less</w:t>
            </w:r>
          </w:p>
        </w:tc>
        <w:tc>
          <w:tcPr>
            <w:tcW w:w="992" w:type="dxa"/>
            <w:shd w:val="clear" w:color="auto" w:fill="auto"/>
            <w:noWrap/>
            <w:vAlign w:val="bottom"/>
            <w:hideMark/>
          </w:tcPr>
          <w:p w14:paraId="2170803B" w14:textId="77777777" w:rsidR="005101BC" w:rsidRPr="00AF5B17" w:rsidRDefault="005101BC" w:rsidP="00327BFD">
            <w:pPr>
              <w:spacing w:before="40"/>
              <w:jc w:val="center"/>
              <w:rPr>
                <w:rFonts w:asciiTheme="majorBidi" w:hAnsiTheme="majorBidi" w:cstheme="majorBidi"/>
                <w:b/>
                <w:bCs/>
                <w:sz w:val="20"/>
              </w:rPr>
            </w:pPr>
            <w:r w:rsidRPr="00AF5B17">
              <w:rPr>
                <w:rFonts w:asciiTheme="majorBidi" w:hAnsiTheme="majorBidi" w:cstheme="majorBidi"/>
                <w:b/>
                <w:bCs/>
                <w:color w:val="000000"/>
                <w:sz w:val="20"/>
              </w:rPr>
              <w:t>6-12</w:t>
            </w:r>
          </w:p>
          <w:p w14:paraId="73F425BB" w14:textId="77777777" w:rsidR="005101BC" w:rsidRPr="00AF5B17" w:rsidRDefault="005101BC" w:rsidP="00327BFD">
            <w:pPr>
              <w:pBdr>
                <w:bottom w:val="single" w:sz="4" w:space="0" w:color="000000"/>
              </w:pBdr>
              <w:spacing w:before="40"/>
              <w:jc w:val="center"/>
              <w:rPr>
                <w:rFonts w:asciiTheme="majorBidi" w:hAnsiTheme="majorBidi" w:cstheme="majorBidi"/>
                <w:b/>
                <w:bCs/>
                <w:sz w:val="20"/>
              </w:rPr>
            </w:pPr>
            <w:r w:rsidRPr="00AF5B17">
              <w:rPr>
                <w:rFonts w:asciiTheme="majorBidi" w:hAnsiTheme="majorBidi" w:cstheme="majorBidi"/>
                <w:b/>
                <w:bCs/>
                <w:color w:val="000000"/>
                <w:sz w:val="20"/>
              </w:rPr>
              <w:t>months</w:t>
            </w:r>
          </w:p>
        </w:tc>
        <w:tc>
          <w:tcPr>
            <w:tcW w:w="1134" w:type="dxa"/>
            <w:shd w:val="clear" w:color="auto" w:fill="auto"/>
            <w:noWrap/>
            <w:vAlign w:val="bottom"/>
            <w:hideMark/>
          </w:tcPr>
          <w:p w14:paraId="78587004" w14:textId="77777777" w:rsidR="005101BC" w:rsidRPr="00AF5B17" w:rsidRDefault="005101BC" w:rsidP="00327BFD">
            <w:pPr>
              <w:spacing w:before="40"/>
              <w:jc w:val="center"/>
              <w:rPr>
                <w:rFonts w:asciiTheme="majorBidi" w:hAnsiTheme="majorBidi" w:cstheme="majorBidi"/>
                <w:b/>
                <w:bCs/>
                <w:sz w:val="20"/>
              </w:rPr>
            </w:pPr>
            <w:r w:rsidRPr="00AF5B17">
              <w:rPr>
                <w:rFonts w:asciiTheme="majorBidi" w:hAnsiTheme="majorBidi" w:cstheme="majorBidi"/>
                <w:b/>
                <w:bCs/>
                <w:sz w:val="20"/>
              </w:rPr>
              <w:t>1-2</w:t>
            </w:r>
          </w:p>
          <w:p w14:paraId="73CE37AB" w14:textId="77777777" w:rsidR="005101BC" w:rsidRPr="00AF5B17" w:rsidRDefault="005101BC" w:rsidP="00327BFD">
            <w:pPr>
              <w:pBdr>
                <w:bottom w:val="single" w:sz="4" w:space="0" w:color="000000"/>
              </w:pBdr>
              <w:spacing w:before="40"/>
              <w:jc w:val="center"/>
              <w:rPr>
                <w:rFonts w:asciiTheme="majorBidi" w:hAnsiTheme="majorBidi" w:cstheme="majorBidi"/>
                <w:b/>
                <w:bCs/>
                <w:sz w:val="20"/>
              </w:rPr>
            </w:pPr>
            <w:r w:rsidRPr="00AF5B17">
              <w:rPr>
                <w:rFonts w:asciiTheme="majorBidi" w:hAnsiTheme="majorBidi" w:cstheme="majorBidi"/>
                <w:b/>
                <w:bCs/>
                <w:color w:val="000000"/>
                <w:sz w:val="20"/>
              </w:rPr>
              <w:t>years</w:t>
            </w:r>
          </w:p>
        </w:tc>
        <w:tc>
          <w:tcPr>
            <w:tcW w:w="1134" w:type="dxa"/>
            <w:shd w:val="clear" w:color="auto" w:fill="auto"/>
            <w:noWrap/>
            <w:vAlign w:val="bottom"/>
            <w:hideMark/>
          </w:tcPr>
          <w:p w14:paraId="493AA2D1" w14:textId="77777777" w:rsidR="005101BC" w:rsidRPr="00AF5B17" w:rsidRDefault="005101BC" w:rsidP="00327BFD">
            <w:pPr>
              <w:spacing w:before="40"/>
              <w:jc w:val="center"/>
              <w:rPr>
                <w:rFonts w:asciiTheme="majorBidi" w:hAnsiTheme="majorBidi" w:cstheme="majorBidi"/>
                <w:b/>
                <w:bCs/>
                <w:sz w:val="20"/>
              </w:rPr>
            </w:pPr>
            <w:r w:rsidRPr="00AF5B17">
              <w:rPr>
                <w:rFonts w:asciiTheme="majorBidi" w:hAnsiTheme="majorBidi" w:cstheme="majorBidi"/>
                <w:b/>
                <w:bCs/>
                <w:color w:val="000000"/>
                <w:sz w:val="20"/>
              </w:rPr>
              <w:t>2-5</w:t>
            </w:r>
          </w:p>
          <w:p w14:paraId="698503F7" w14:textId="77777777" w:rsidR="005101BC" w:rsidRPr="00AF5B17" w:rsidRDefault="005101BC" w:rsidP="00327BFD">
            <w:pPr>
              <w:pBdr>
                <w:bottom w:val="single" w:sz="4" w:space="0" w:color="000000"/>
              </w:pBdr>
              <w:spacing w:before="40"/>
              <w:jc w:val="center"/>
              <w:rPr>
                <w:rFonts w:asciiTheme="majorBidi" w:hAnsiTheme="majorBidi" w:cstheme="majorBidi"/>
                <w:b/>
                <w:bCs/>
                <w:sz w:val="20"/>
              </w:rPr>
            </w:pPr>
            <w:r w:rsidRPr="00AF5B17">
              <w:rPr>
                <w:rFonts w:asciiTheme="majorBidi" w:hAnsiTheme="majorBidi" w:cstheme="majorBidi"/>
                <w:b/>
                <w:bCs/>
                <w:color w:val="000000"/>
                <w:sz w:val="20"/>
              </w:rPr>
              <w:t>years</w:t>
            </w:r>
          </w:p>
        </w:tc>
        <w:tc>
          <w:tcPr>
            <w:tcW w:w="1134" w:type="dxa"/>
            <w:shd w:val="clear" w:color="auto" w:fill="auto"/>
            <w:noWrap/>
            <w:vAlign w:val="bottom"/>
            <w:hideMark/>
          </w:tcPr>
          <w:p w14:paraId="2EF604FB" w14:textId="77777777" w:rsidR="005101BC" w:rsidRPr="00AF5B17" w:rsidRDefault="005101BC" w:rsidP="00327BFD">
            <w:pPr>
              <w:spacing w:before="40"/>
              <w:jc w:val="center"/>
              <w:rPr>
                <w:rFonts w:asciiTheme="majorBidi" w:hAnsiTheme="majorBidi" w:cstheme="majorBidi"/>
                <w:b/>
                <w:bCs/>
                <w:sz w:val="20"/>
              </w:rPr>
            </w:pPr>
            <w:r w:rsidRPr="00AF5B17">
              <w:rPr>
                <w:rFonts w:asciiTheme="majorBidi" w:hAnsiTheme="majorBidi" w:cstheme="majorBidi"/>
                <w:b/>
                <w:bCs/>
                <w:color w:val="000000"/>
                <w:sz w:val="20"/>
              </w:rPr>
              <w:t>More than</w:t>
            </w:r>
          </w:p>
          <w:p w14:paraId="2F29DA64" w14:textId="77777777" w:rsidR="005101BC" w:rsidRPr="00AF5B17" w:rsidRDefault="005101BC" w:rsidP="00327BFD">
            <w:pPr>
              <w:pBdr>
                <w:bottom w:val="single" w:sz="4" w:space="0" w:color="000000"/>
              </w:pBdr>
              <w:spacing w:before="40"/>
              <w:jc w:val="center"/>
              <w:rPr>
                <w:rFonts w:asciiTheme="majorBidi" w:hAnsiTheme="majorBidi" w:cstheme="majorBidi"/>
                <w:b/>
                <w:bCs/>
                <w:sz w:val="20"/>
              </w:rPr>
            </w:pPr>
            <w:r w:rsidRPr="00AF5B17">
              <w:rPr>
                <w:rFonts w:asciiTheme="majorBidi" w:hAnsiTheme="majorBidi" w:cstheme="majorBidi"/>
                <w:b/>
                <w:bCs/>
                <w:color w:val="000000"/>
                <w:sz w:val="20"/>
              </w:rPr>
              <w:t>5 years</w:t>
            </w:r>
          </w:p>
        </w:tc>
      </w:tr>
      <w:tr w:rsidR="007958E3" w:rsidRPr="00AF5B17" w14:paraId="0F4A49C0" w14:textId="77777777" w:rsidTr="005101BC">
        <w:trPr>
          <w:trHeight w:val="283"/>
        </w:trPr>
        <w:tc>
          <w:tcPr>
            <w:tcW w:w="2759" w:type="dxa"/>
            <w:shd w:val="clear" w:color="auto" w:fill="auto"/>
            <w:vAlign w:val="bottom"/>
            <w:hideMark/>
          </w:tcPr>
          <w:p w14:paraId="26ABAEDC" w14:textId="77777777" w:rsidR="007958E3" w:rsidRPr="00E43187" w:rsidRDefault="007958E3" w:rsidP="00327BFD">
            <w:pPr>
              <w:spacing w:before="40"/>
              <w:rPr>
                <w:rFonts w:asciiTheme="majorBidi" w:hAnsiTheme="majorBidi" w:cstheme="majorBidi"/>
                <w:sz w:val="20"/>
                <w:u w:val="single"/>
              </w:rPr>
            </w:pPr>
            <w:r w:rsidRPr="00E43187">
              <w:rPr>
                <w:rFonts w:asciiTheme="majorBidi" w:hAnsiTheme="majorBidi" w:cstheme="majorBidi"/>
                <w:color w:val="000000"/>
                <w:sz w:val="20"/>
                <w:u w:val="single"/>
              </w:rPr>
              <w:t>Non-derivative financial</w:t>
            </w:r>
            <w:r w:rsidRPr="00E43187">
              <w:rPr>
                <w:rFonts w:asciiTheme="majorBidi" w:hAnsiTheme="majorBidi" w:cstheme="majorBidi"/>
                <w:color w:val="000000"/>
                <w:sz w:val="20"/>
                <w:u w:val="single"/>
              </w:rPr>
              <w:br/>
              <w:t> liabilities:</w:t>
            </w:r>
          </w:p>
        </w:tc>
        <w:tc>
          <w:tcPr>
            <w:tcW w:w="1276" w:type="dxa"/>
            <w:shd w:val="clear" w:color="auto" w:fill="auto"/>
            <w:noWrap/>
            <w:vAlign w:val="bottom"/>
            <w:hideMark/>
          </w:tcPr>
          <w:p w14:paraId="235FF5C8" w14:textId="77777777" w:rsidR="007958E3" w:rsidRPr="00AF5B17" w:rsidRDefault="007958E3" w:rsidP="00D27AB9">
            <w:pPr>
              <w:spacing w:before="40"/>
              <w:jc w:val="right"/>
              <w:rPr>
                <w:rFonts w:asciiTheme="majorBidi" w:eastAsia="Arial" w:hAnsiTheme="majorBidi" w:cstheme="majorBidi"/>
                <w:sz w:val="22"/>
                <w:szCs w:val="22"/>
              </w:rPr>
            </w:pPr>
          </w:p>
        </w:tc>
        <w:tc>
          <w:tcPr>
            <w:tcW w:w="1276" w:type="dxa"/>
            <w:shd w:val="clear" w:color="auto" w:fill="auto"/>
            <w:noWrap/>
            <w:vAlign w:val="bottom"/>
            <w:hideMark/>
          </w:tcPr>
          <w:p w14:paraId="3364B48D" w14:textId="77777777" w:rsidR="007958E3" w:rsidRPr="00AF5B17" w:rsidRDefault="007958E3" w:rsidP="00D27AB9">
            <w:pPr>
              <w:spacing w:before="40"/>
              <w:jc w:val="right"/>
              <w:rPr>
                <w:rFonts w:asciiTheme="majorBidi" w:eastAsia="Arial" w:hAnsiTheme="majorBidi" w:cstheme="majorBidi"/>
                <w:sz w:val="22"/>
                <w:szCs w:val="22"/>
              </w:rPr>
            </w:pPr>
          </w:p>
        </w:tc>
        <w:tc>
          <w:tcPr>
            <w:tcW w:w="1134" w:type="dxa"/>
            <w:shd w:val="clear" w:color="auto" w:fill="auto"/>
            <w:noWrap/>
            <w:vAlign w:val="bottom"/>
            <w:hideMark/>
          </w:tcPr>
          <w:p w14:paraId="396F5639" w14:textId="77777777" w:rsidR="007958E3" w:rsidRPr="00AF5B17" w:rsidRDefault="007958E3" w:rsidP="00D27AB9">
            <w:pPr>
              <w:spacing w:before="40"/>
              <w:jc w:val="right"/>
              <w:rPr>
                <w:rFonts w:asciiTheme="majorBidi" w:eastAsia="Arial" w:hAnsiTheme="majorBidi" w:cstheme="majorBidi"/>
                <w:sz w:val="22"/>
                <w:szCs w:val="22"/>
              </w:rPr>
            </w:pPr>
          </w:p>
        </w:tc>
        <w:tc>
          <w:tcPr>
            <w:tcW w:w="992" w:type="dxa"/>
            <w:shd w:val="clear" w:color="auto" w:fill="auto"/>
            <w:noWrap/>
            <w:vAlign w:val="bottom"/>
            <w:hideMark/>
          </w:tcPr>
          <w:p w14:paraId="7F4B89BE" w14:textId="77777777" w:rsidR="007958E3" w:rsidRPr="00AF5B17" w:rsidRDefault="007958E3" w:rsidP="00D27AB9">
            <w:pPr>
              <w:spacing w:before="40"/>
              <w:jc w:val="right"/>
              <w:rPr>
                <w:rFonts w:asciiTheme="majorBidi" w:eastAsia="Arial" w:hAnsiTheme="majorBidi" w:cstheme="majorBidi"/>
                <w:sz w:val="22"/>
                <w:szCs w:val="22"/>
              </w:rPr>
            </w:pPr>
          </w:p>
        </w:tc>
        <w:tc>
          <w:tcPr>
            <w:tcW w:w="1134" w:type="dxa"/>
            <w:shd w:val="clear" w:color="auto" w:fill="auto"/>
            <w:noWrap/>
            <w:vAlign w:val="bottom"/>
            <w:hideMark/>
          </w:tcPr>
          <w:p w14:paraId="0FF03157" w14:textId="77777777" w:rsidR="007958E3" w:rsidRPr="00AF5B17" w:rsidRDefault="007958E3" w:rsidP="00D27AB9">
            <w:pPr>
              <w:spacing w:before="40"/>
              <w:jc w:val="right"/>
              <w:rPr>
                <w:rFonts w:asciiTheme="majorBidi" w:eastAsia="Arial" w:hAnsiTheme="majorBidi" w:cstheme="majorBidi"/>
                <w:sz w:val="22"/>
                <w:szCs w:val="22"/>
              </w:rPr>
            </w:pPr>
          </w:p>
        </w:tc>
        <w:tc>
          <w:tcPr>
            <w:tcW w:w="1134" w:type="dxa"/>
            <w:shd w:val="clear" w:color="auto" w:fill="auto"/>
            <w:noWrap/>
            <w:vAlign w:val="bottom"/>
            <w:hideMark/>
          </w:tcPr>
          <w:p w14:paraId="0CA19F11" w14:textId="77777777" w:rsidR="007958E3" w:rsidRPr="00AF5B17" w:rsidRDefault="007958E3" w:rsidP="00D27AB9">
            <w:pPr>
              <w:spacing w:before="40"/>
              <w:jc w:val="right"/>
              <w:rPr>
                <w:rFonts w:asciiTheme="majorBidi" w:eastAsia="Arial" w:hAnsiTheme="majorBidi" w:cstheme="majorBidi"/>
                <w:sz w:val="22"/>
                <w:szCs w:val="22"/>
              </w:rPr>
            </w:pPr>
          </w:p>
        </w:tc>
        <w:tc>
          <w:tcPr>
            <w:tcW w:w="1134" w:type="dxa"/>
            <w:shd w:val="clear" w:color="auto" w:fill="auto"/>
            <w:noWrap/>
            <w:vAlign w:val="bottom"/>
            <w:hideMark/>
          </w:tcPr>
          <w:p w14:paraId="2F5FF517" w14:textId="77777777" w:rsidR="007958E3" w:rsidRPr="00AF5B17" w:rsidRDefault="007958E3" w:rsidP="00D27AB9">
            <w:pPr>
              <w:spacing w:before="40"/>
              <w:jc w:val="right"/>
              <w:rPr>
                <w:rFonts w:asciiTheme="majorBidi" w:eastAsia="Arial" w:hAnsiTheme="majorBidi" w:cstheme="majorBidi"/>
                <w:sz w:val="22"/>
                <w:szCs w:val="22"/>
              </w:rPr>
            </w:pPr>
          </w:p>
        </w:tc>
      </w:tr>
      <w:tr w:rsidR="007958E3" w:rsidRPr="00AF5B17" w14:paraId="3B2F7E09" w14:textId="77777777" w:rsidTr="005101BC">
        <w:trPr>
          <w:trHeight w:val="283"/>
        </w:trPr>
        <w:tc>
          <w:tcPr>
            <w:tcW w:w="2759" w:type="dxa"/>
            <w:shd w:val="clear" w:color="auto" w:fill="auto"/>
            <w:vAlign w:val="bottom"/>
            <w:hideMark/>
          </w:tcPr>
          <w:p w14:paraId="2FFC0EC9" w14:textId="77777777" w:rsidR="007958E3" w:rsidRPr="00E43187" w:rsidRDefault="007958E3" w:rsidP="00327BFD">
            <w:pPr>
              <w:spacing w:before="40"/>
              <w:rPr>
                <w:rFonts w:asciiTheme="majorBidi" w:hAnsiTheme="majorBidi" w:cstheme="majorBidi"/>
                <w:sz w:val="20"/>
              </w:rPr>
            </w:pPr>
            <w:r w:rsidRPr="00E43187">
              <w:rPr>
                <w:rFonts w:asciiTheme="majorBidi" w:hAnsiTheme="majorBidi" w:cstheme="majorBidi"/>
                <w:color w:val="000000"/>
                <w:sz w:val="20"/>
              </w:rPr>
              <w:t>Secured bank loans</w:t>
            </w:r>
          </w:p>
        </w:tc>
        <w:tc>
          <w:tcPr>
            <w:tcW w:w="1276" w:type="dxa"/>
            <w:shd w:val="clear" w:color="auto" w:fill="auto"/>
            <w:noWrap/>
            <w:vAlign w:val="bottom"/>
          </w:tcPr>
          <w:p w14:paraId="73D00C29" w14:textId="77777777" w:rsidR="007958E3" w:rsidRPr="007958E3" w:rsidRDefault="007958E3" w:rsidP="00D27AB9">
            <w:pPr>
              <w:tabs>
                <w:tab w:val="decimal" w:pos="1020"/>
              </w:tabs>
              <w:spacing w:before="40" w:line="200" w:lineRule="auto"/>
              <w:jc w:val="right"/>
              <w:rPr>
                <w:sz w:val="18"/>
                <w:szCs w:val="22"/>
                <w:highlight w:val="yellow"/>
              </w:rPr>
            </w:pPr>
            <w:r w:rsidRPr="007958E3">
              <w:rPr>
                <w:sz w:val="18"/>
                <w:szCs w:val="22"/>
              </w:rPr>
              <w:t>1,131,798</w:t>
            </w:r>
          </w:p>
        </w:tc>
        <w:tc>
          <w:tcPr>
            <w:tcW w:w="1276" w:type="dxa"/>
            <w:shd w:val="clear" w:color="auto" w:fill="auto"/>
            <w:noWrap/>
            <w:vAlign w:val="bottom"/>
          </w:tcPr>
          <w:p w14:paraId="0F6F6441" w14:textId="77777777" w:rsidR="007958E3" w:rsidRPr="007958E3" w:rsidRDefault="007958E3" w:rsidP="00D27AB9">
            <w:pPr>
              <w:tabs>
                <w:tab w:val="decimal" w:pos="1020"/>
              </w:tabs>
              <w:spacing w:before="40" w:line="200" w:lineRule="auto"/>
              <w:jc w:val="right"/>
              <w:rPr>
                <w:sz w:val="18"/>
                <w:szCs w:val="22"/>
                <w:highlight w:val="yellow"/>
              </w:rPr>
            </w:pPr>
            <w:r w:rsidRPr="007958E3">
              <w:rPr>
                <w:sz w:val="18"/>
                <w:szCs w:val="22"/>
              </w:rPr>
              <w:t>1,322,282</w:t>
            </w:r>
          </w:p>
        </w:tc>
        <w:tc>
          <w:tcPr>
            <w:tcW w:w="1134" w:type="dxa"/>
            <w:shd w:val="clear" w:color="auto" w:fill="auto"/>
            <w:noWrap/>
            <w:vAlign w:val="bottom"/>
          </w:tcPr>
          <w:p w14:paraId="3F65BFB2" w14:textId="77777777" w:rsidR="007958E3" w:rsidRPr="007958E3" w:rsidRDefault="007958E3" w:rsidP="00D27AB9">
            <w:pPr>
              <w:tabs>
                <w:tab w:val="decimal" w:pos="1020"/>
              </w:tabs>
              <w:spacing w:before="40" w:line="200" w:lineRule="auto"/>
              <w:jc w:val="right"/>
              <w:rPr>
                <w:sz w:val="18"/>
                <w:szCs w:val="22"/>
                <w:highlight w:val="yellow"/>
              </w:rPr>
            </w:pPr>
            <w:r w:rsidRPr="007958E3">
              <w:rPr>
                <w:sz w:val="18"/>
                <w:szCs w:val="22"/>
              </w:rPr>
              <w:t>40,942</w:t>
            </w:r>
          </w:p>
        </w:tc>
        <w:tc>
          <w:tcPr>
            <w:tcW w:w="992" w:type="dxa"/>
            <w:shd w:val="clear" w:color="auto" w:fill="auto"/>
            <w:noWrap/>
            <w:vAlign w:val="bottom"/>
          </w:tcPr>
          <w:p w14:paraId="3D77DE57" w14:textId="77777777" w:rsidR="007958E3" w:rsidRPr="007958E3" w:rsidRDefault="007958E3" w:rsidP="00D27AB9">
            <w:pPr>
              <w:tabs>
                <w:tab w:val="decimal" w:pos="1020"/>
              </w:tabs>
              <w:spacing w:before="40" w:line="200" w:lineRule="auto"/>
              <w:jc w:val="right"/>
              <w:rPr>
                <w:sz w:val="18"/>
                <w:szCs w:val="22"/>
                <w:highlight w:val="yellow"/>
              </w:rPr>
            </w:pPr>
            <w:r w:rsidRPr="007958E3">
              <w:rPr>
                <w:sz w:val="18"/>
                <w:szCs w:val="22"/>
              </w:rPr>
              <w:t>68,310</w:t>
            </w:r>
          </w:p>
        </w:tc>
        <w:tc>
          <w:tcPr>
            <w:tcW w:w="1134" w:type="dxa"/>
            <w:shd w:val="clear" w:color="auto" w:fill="auto"/>
            <w:noWrap/>
            <w:vAlign w:val="bottom"/>
          </w:tcPr>
          <w:p w14:paraId="3A997ECE" w14:textId="77777777" w:rsidR="007958E3" w:rsidRPr="007958E3" w:rsidRDefault="007958E3" w:rsidP="00D27AB9">
            <w:pPr>
              <w:tabs>
                <w:tab w:val="decimal" w:pos="1020"/>
              </w:tabs>
              <w:spacing w:before="40" w:line="200" w:lineRule="auto"/>
              <w:jc w:val="right"/>
              <w:rPr>
                <w:sz w:val="18"/>
                <w:szCs w:val="22"/>
                <w:highlight w:val="yellow"/>
              </w:rPr>
            </w:pPr>
            <w:r w:rsidRPr="007958E3">
              <w:rPr>
                <w:sz w:val="18"/>
                <w:szCs w:val="22"/>
              </w:rPr>
              <w:t>343,031</w:t>
            </w:r>
          </w:p>
        </w:tc>
        <w:tc>
          <w:tcPr>
            <w:tcW w:w="1134" w:type="dxa"/>
            <w:shd w:val="clear" w:color="auto" w:fill="auto"/>
            <w:noWrap/>
            <w:vAlign w:val="bottom"/>
          </w:tcPr>
          <w:p w14:paraId="2DA27E74" w14:textId="77777777" w:rsidR="007958E3" w:rsidRPr="007958E3" w:rsidRDefault="007958E3" w:rsidP="00D27AB9">
            <w:pPr>
              <w:tabs>
                <w:tab w:val="decimal" w:pos="1020"/>
              </w:tabs>
              <w:spacing w:before="40" w:line="200" w:lineRule="auto"/>
              <w:jc w:val="right"/>
              <w:rPr>
                <w:sz w:val="18"/>
                <w:szCs w:val="22"/>
                <w:highlight w:val="yellow"/>
              </w:rPr>
            </w:pPr>
            <w:r w:rsidRPr="007958E3">
              <w:rPr>
                <w:sz w:val="18"/>
                <w:szCs w:val="22"/>
              </w:rPr>
              <w:t>684,944</w:t>
            </w:r>
          </w:p>
        </w:tc>
        <w:tc>
          <w:tcPr>
            <w:tcW w:w="1134" w:type="dxa"/>
            <w:shd w:val="clear" w:color="auto" w:fill="auto"/>
            <w:noWrap/>
            <w:vAlign w:val="bottom"/>
          </w:tcPr>
          <w:p w14:paraId="4DD9E4E8" w14:textId="77777777" w:rsidR="007958E3" w:rsidRPr="007958E3" w:rsidRDefault="007958E3" w:rsidP="00D27AB9">
            <w:pPr>
              <w:tabs>
                <w:tab w:val="decimal" w:pos="1020"/>
              </w:tabs>
              <w:spacing w:before="40" w:line="200" w:lineRule="auto"/>
              <w:jc w:val="right"/>
              <w:rPr>
                <w:sz w:val="18"/>
                <w:szCs w:val="22"/>
                <w:highlight w:val="yellow"/>
              </w:rPr>
            </w:pPr>
            <w:r w:rsidRPr="007958E3">
              <w:rPr>
                <w:sz w:val="18"/>
                <w:szCs w:val="22"/>
              </w:rPr>
              <w:t>185,055</w:t>
            </w:r>
          </w:p>
        </w:tc>
      </w:tr>
      <w:tr w:rsidR="007958E3" w:rsidRPr="00AF5B17" w14:paraId="6B275559" w14:textId="77777777" w:rsidTr="005101BC">
        <w:trPr>
          <w:trHeight w:val="283"/>
        </w:trPr>
        <w:tc>
          <w:tcPr>
            <w:tcW w:w="2759" w:type="dxa"/>
            <w:shd w:val="clear" w:color="auto" w:fill="auto"/>
            <w:vAlign w:val="bottom"/>
          </w:tcPr>
          <w:p w14:paraId="2802EC5F" w14:textId="77777777" w:rsidR="007958E3" w:rsidRPr="00E43187" w:rsidRDefault="007958E3" w:rsidP="00327BFD">
            <w:pPr>
              <w:spacing w:before="40"/>
              <w:rPr>
                <w:rFonts w:asciiTheme="majorBidi" w:hAnsiTheme="majorBidi" w:cstheme="majorBidi"/>
                <w:color w:val="000000"/>
                <w:sz w:val="20"/>
              </w:rPr>
            </w:pPr>
            <w:r w:rsidRPr="00E43187">
              <w:rPr>
                <w:rFonts w:asciiTheme="majorBidi" w:hAnsiTheme="majorBidi" w:cstheme="majorBidi"/>
                <w:color w:val="000000"/>
                <w:sz w:val="20"/>
              </w:rPr>
              <w:t>Corporate loan</w:t>
            </w:r>
          </w:p>
        </w:tc>
        <w:tc>
          <w:tcPr>
            <w:tcW w:w="1276" w:type="dxa"/>
            <w:shd w:val="clear" w:color="auto" w:fill="auto"/>
            <w:noWrap/>
            <w:vAlign w:val="bottom"/>
          </w:tcPr>
          <w:p w14:paraId="1332CED5" w14:textId="77777777" w:rsidR="007958E3" w:rsidRPr="007958E3" w:rsidRDefault="007958E3" w:rsidP="00D27AB9">
            <w:pPr>
              <w:tabs>
                <w:tab w:val="decimal" w:pos="1020"/>
              </w:tabs>
              <w:spacing w:before="40" w:line="200" w:lineRule="auto"/>
              <w:jc w:val="right"/>
              <w:rPr>
                <w:sz w:val="18"/>
                <w:szCs w:val="22"/>
                <w:highlight w:val="yellow"/>
              </w:rPr>
            </w:pPr>
            <w:r w:rsidRPr="007958E3">
              <w:rPr>
                <w:sz w:val="18"/>
                <w:szCs w:val="22"/>
              </w:rPr>
              <w:t>92,530</w:t>
            </w:r>
          </w:p>
        </w:tc>
        <w:tc>
          <w:tcPr>
            <w:tcW w:w="1276" w:type="dxa"/>
            <w:shd w:val="clear" w:color="auto" w:fill="auto"/>
            <w:noWrap/>
            <w:vAlign w:val="bottom"/>
          </w:tcPr>
          <w:p w14:paraId="1F357E73" w14:textId="77777777" w:rsidR="007958E3" w:rsidRPr="007958E3" w:rsidRDefault="007958E3" w:rsidP="00D27AB9">
            <w:pPr>
              <w:tabs>
                <w:tab w:val="decimal" w:pos="1020"/>
              </w:tabs>
              <w:spacing w:before="40" w:line="200" w:lineRule="auto"/>
              <w:jc w:val="right"/>
              <w:rPr>
                <w:sz w:val="18"/>
                <w:szCs w:val="22"/>
                <w:highlight w:val="yellow"/>
              </w:rPr>
            </w:pPr>
            <w:r w:rsidRPr="007958E3">
              <w:rPr>
                <w:sz w:val="18"/>
                <w:szCs w:val="22"/>
              </w:rPr>
              <w:t>108,268</w:t>
            </w:r>
          </w:p>
        </w:tc>
        <w:tc>
          <w:tcPr>
            <w:tcW w:w="1134" w:type="dxa"/>
            <w:shd w:val="clear" w:color="auto" w:fill="auto"/>
            <w:noWrap/>
            <w:vAlign w:val="bottom"/>
          </w:tcPr>
          <w:p w14:paraId="6240B6AD" w14:textId="77777777" w:rsidR="007958E3" w:rsidRPr="007958E3" w:rsidRDefault="007958E3" w:rsidP="00D27AB9">
            <w:pPr>
              <w:tabs>
                <w:tab w:val="decimal" w:pos="1020"/>
              </w:tabs>
              <w:spacing w:before="40" w:line="200" w:lineRule="auto"/>
              <w:jc w:val="right"/>
              <w:rPr>
                <w:sz w:val="18"/>
                <w:szCs w:val="22"/>
                <w:highlight w:val="yellow"/>
              </w:rPr>
            </w:pPr>
            <w:r w:rsidRPr="007958E3">
              <w:rPr>
                <w:sz w:val="18"/>
                <w:szCs w:val="22"/>
              </w:rPr>
              <w:t>2,275</w:t>
            </w:r>
          </w:p>
        </w:tc>
        <w:tc>
          <w:tcPr>
            <w:tcW w:w="992" w:type="dxa"/>
            <w:shd w:val="clear" w:color="auto" w:fill="auto"/>
            <w:noWrap/>
            <w:vAlign w:val="bottom"/>
          </w:tcPr>
          <w:p w14:paraId="67ACEDD3" w14:textId="77777777" w:rsidR="007958E3" w:rsidRPr="007958E3" w:rsidRDefault="007958E3" w:rsidP="00D27AB9">
            <w:pPr>
              <w:tabs>
                <w:tab w:val="decimal" w:pos="1020"/>
              </w:tabs>
              <w:spacing w:before="40" w:line="200" w:lineRule="auto"/>
              <w:jc w:val="right"/>
              <w:rPr>
                <w:sz w:val="18"/>
                <w:szCs w:val="22"/>
                <w:highlight w:val="yellow"/>
              </w:rPr>
            </w:pPr>
            <w:r w:rsidRPr="007958E3">
              <w:rPr>
                <w:sz w:val="18"/>
                <w:szCs w:val="22"/>
              </w:rPr>
              <w:t>11,538</w:t>
            </w:r>
          </w:p>
        </w:tc>
        <w:tc>
          <w:tcPr>
            <w:tcW w:w="1134" w:type="dxa"/>
            <w:shd w:val="clear" w:color="auto" w:fill="auto"/>
            <w:noWrap/>
            <w:vAlign w:val="bottom"/>
          </w:tcPr>
          <w:p w14:paraId="702CB5D4" w14:textId="77777777" w:rsidR="007958E3" w:rsidRPr="007958E3" w:rsidRDefault="007958E3" w:rsidP="00D27AB9">
            <w:pPr>
              <w:tabs>
                <w:tab w:val="decimal" w:pos="1020"/>
              </w:tabs>
              <w:spacing w:before="40" w:line="200" w:lineRule="auto"/>
              <w:jc w:val="right"/>
              <w:rPr>
                <w:sz w:val="18"/>
                <w:szCs w:val="22"/>
                <w:highlight w:val="yellow"/>
              </w:rPr>
            </w:pPr>
            <w:r w:rsidRPr="007958E3">
              <w:rPr>
                <w:sz w:val="18"/>
                <w:szCs w:val="22"/>
              </w:rPr>
              <w:t>13,325</w:t>
            </w:r>
          </w:p>
        </w:tc>
        <w:tc>
          <w:tcPr>
            <w:tcW w:w="1134" w:type="dxa"/>
            <w:shd w:val="clear" w:color="auto" w:fill="auto"/>
            <w:noWrap/>
            <w:vAlign w:val="bottom"/>
          </w:tcPr>
          <w:p w14:paraId="7E4881B8" w14:textId="77777777" w:rsidR="007958E3" w:rsidRPr="007958E3" w:rsidRDefault="007958E3" w:rsidP="00D27AB9">
            <w:pPr>
              <w:tabs>
                <w:tab w:val="decimal" w:pos="1020"/>
              </w:tabs>
              <w:spacing w:before="40" w:line="200" w:lineRule="auto"/>
              <w:jc w:val="right"/>
              <w:rPr>
                <w:sz w:val="18"/>
                <w:szCs w:val="22"/>
                <w:highlight w:val="yellow"/>
              </w:rPr>
            </w:pPr>
            <w:r w:rsidRPr="007958E3">
              <w:rPr>
                <w:sz w:val="18"/>
                <w:szCs w:val="22"/>
              </w:rPr>
              <w:t>81,130</w:t>
            </w:r>
          </w:p>
        </w:tc>
        <w:tc>
          <w:tcPr>
            <w:tcW w:w="1134" w:type="dxa"/>
            <w:shd w:val="clear" w:color="auto" w:fill="auto"/>
            <w:noWrap/>
            <w:vAlign w:val="bottom"/>
          </w:tcPr>
          <w:p w14:paraId="3EA56BDA" w14:textId="77777777" w:rsidR="007958E3" w:rsidRPr="007958E3" w:rsidRDefault="007958E3" w:rsidP="00D27AB9">
            <w:pPr>
              <w:tabs>
                <w:tab w:val="decimal" w:pos="1020"/>
              </w:tabs>
              <w:spacing w:before="40" w:line="200" w:lineRule="auto"/>
              <w:jc w:val="right"/>
              <w:rPr>
                <w:sz w:val="18"/>
                <w:szCs w:val="22"/>
                <w:highlight w:val="yellow"/>
              </w:rPr>
            </w:pPr>
            <w:r w:rsidRPr="007958E3">
              <w:rPr>
                <w:sz w:val="18"/>
                <w:szCs w:val="22"/>
              </w:rPr>
              <w:t>-</w:t>
            </w:r>
          </w:p>
        </w:tc>
      </w:tr>
      <w:tr w:rsidR="007958E3" w:rsidRPr="00AF5B17" w14:paraId="6A85D78C" w14:textId="77777777" w:rsidTr="005101BC">
        <w:trPr>
          <w:trHeight w:val="283"/>
        </w:trPr>
        <w:tc>
          <w:tcPr>
            <w:tcW w:w="2759" w:type="dxa"/>
            <w:shd w:val="clear" w:color="auto" w:fill="auto"/>
            <w:vAlign w:val="bottom"/>
            <w:hideMark/>
          </w:tcPr>
          <w:p w14:paraId="5F02184A" w14:textId="77777777" w:rsidR="007958E3" w:rsidRPr="00E43187" w:rsidRDefault="007958E3" w:rsidP="00327BFD">
            <w:pPr>
              <w:spacing w:before="40"/>
              <w:rPr>
                <w:rFonts w:asciiTheme="majorBidi" w:hAnsiTheme="majorBidi" w:cstheme="majorBidi"/>
                <w:sz w:val="20"/>
              </w:rPr>
            </w:pPr>
            <w:r w:rsidRPr="00E43187">
              <w:rPr>
                <w:rFonts w:asciiTheme="majorBidi" w:hAnsiTheme="majorBidi" w:cstheme="majorBidi"/>
                <w:color w:val="000000"/>
                <w:sz w:val="20"/>
              </w:rPr>
              <w:t>Short-term loans</w:t>
            </w:r>
          </w:p>
        </w:tc>
        <w:tc>
          <w:tcPr>
            <w:tcW w:w="1276" w:type="dxa"/>
            <w:shd w:val="clear" w:color="auto" w:fill="auto"/>
            <w:noWrap/>
            <w:vAlign w:val="bottom"/>
          </w:tcPr>
          <w:p w14:paraId="6E6AAA85" w14:textId="77777777" w:rsidR="007958E3" w:rsidRPr="007958E3" w:rsidRDefault="007958E3" w:rsidP="00D27AB9">
            <w:pPr>
              <w:tabs>
                <w:tab w:val="decimal" w:pos="1020"/>
              </w:tabs>
              <w:spacing w:before="40" w:line="200" w:lineRule="auto"/>
              <w:jc w:val="right"/>
              <w:rPr>
                <w:sz w:val="18"/>
                <w:szCs w:val="22"/>
                <w:highlight w:val="yellow"/>
              </w:rPr>
            </w:pPr>
            <w:r w:rsidRPr="007958E3">
              <w:rPr>
                <w:sz w:val="18"/>
                <w:szCs w:val="22"/>
              </w:rPr>
              <w:t>10,648</w:t>
            </w:r>
          </w:p>
        </w:tc>
        <w:tc>
          <w:tcPr>
            <w:tcW w:w="1276" w:type="dxa"/>
            <w:shd w:val="clear" w:color="auto" w:fill="auto"/>
            <w:noWrap/>
            <w:vAlign w:val="bottom"/>
          </w:tcPr>
          <w:p w14:paraId="0D1C8FC7" w14:textId="77777777" w:rsidR="007958E3" w:rsidRPr="007958E3" w:rsidRDefault="007958E3" w:rsidP="00D27AB9">
            <w:pPr>
              <w:tabs>
                <w:tab w:val="decimal" w:pos="1020"/>
              </w:tabs>
              <w:spacing w:before="40" w:line="200" w:lineRule="auto"/>
              <w:jc w:val="right"/>
              <w:rPr>
                <w:sz w:val="18"/>
                <w:szCs w:val="22"/>
                <w:highlight w:val="yellow"/>
              </w:rPr>
            </w:pPr>
            <w:r w:rsidRPr="007958E3">
              <w:rPr>
                <w:sz w:val="18"/>
                <w:szCs w:val="22"/>
              </w:rPr>
              <w:t>11,379</w:t>
            </w:r>
          </w:p>
        </w:tc>
        <w:tc>
          <w:tcPr>
            <w:tcW w:w="1134" w:type="dxa"/>
            <w:shd w:val="clear" w:color="auto" w:fill="auto"/>
            <w:noWrap/>
            <w:vAlign w:val="bottom"/>
          </w:tcPr>
          <w:p w14:paraId="1BC488A8" w14:textId="77777777" w:rsidR="007958E3" w:rsidRPr="007958E3" w:rsidRDefault="007958E3" w:rsidP="00D27AB9">
            <w:pPr>
              <w:tabs>
                <w:tab w:val="decimal" w:pos="1020"/>
              </w:tabs>
              <w:spacing w:before="40" w:line="200" w:lineRule="auto"/>
              <w:jc w:val="right"/>
              <w:rPr>
                <w:sz w:val="18"/>
                <w:szCs w:val="22"/>
                <w:highlight w:val="yellow"/>
              </w:rPr>
            </w:pPr>
            <w:r w:rsidRPr="007958E3">
              <w:rPr>
                <w:sz w:val="18"/>
                <w:szCs w:val="22"/>
              </w:rPr>
              <w:t>5,533</w:t>
            </w:r>
          </w:p>
        </w:tc>
        <w:tc>
          <w:tcPr>
            <w:tcW w:w="992" w:type="dxa"/>
            <w:shd w:val="clear" w:color="auto" w:fill="auto"/>
            <w:noWrap/>
            <w:vAlign w:val="bottom"/>
          </w:tcPr>
          <w:p w14:paraId="5DBB53D2" w14:textId="77777777" w:rsidR="007958E3" w:rsidRPr="007958E3" w:rsidRDefault="007958E3" w:rsidP="00D27AB9">
            <w:pPr>
              <w:tabs>
                <w:tab w:val="decimal" w:pos="1020"/>
              </w:tabs>
              <w:spacing w:before="40" w:line="200" w:lineRule="auto"/>
              <w:jc w:val="right"/>
              <w:rPr>
                <w:sz w:val="18"/>
                <w:szCs w:val="22"/>
                <w:highlight w:val="yellow"/>
              </w:rPr>
            </w:pPr>
            <w:r w:rsidRPr="007958E3">
              <w:rPr>
                <w:sz w:val="18"/>
                <w:szCs w:val="22"/>
              </w:rPr>
              <w:t>5,846</w:t>
            </w:r>
          </w:p>
        </w:tc>
        <w:tc>
          <w:tcPr>
            <w:tcW w:w="1134" w:type="dxa"/>
            <w:shd w:val="clear" w:color="auto" w:fill="auto"/>
            <w:noWrap/>
            <w:vAlign w:val="bottom"/>
          </w:tcPr>
          <w:p w14:paraId="768B815E" w14:textId="77777777" w:rsidR="007958E3" w:rsidRPr="007958E3" w:rsidRDefault="007958E3" w:rsidP="00D27AB9">
            <w:pPr>
              <w:tabs>
                <w:tab w:val="decimal" w:pos="1020"/>
              </w:tabs>
              <w:spacing w:before="40" w:line="200" w:lineRule="auto"/>
              <w:jc w:val="right"/>
              <w:rPr>
                <w:sz w:val="18"/>
                <w:szCs w:val="22"/>
                <w:highlight w:val="yellow"/>
              </w:rPr>
            </w:pPr>
            <w:r w:rsidRPr="007958E3">
              <w:rPr>
                <w:sz w:val="18"/>
                <w:szCs w:val="22"/>
              </w:rPr>
              <w:t>-</w:t>
            </w:r>
          </w:p>
        </w:tc>
        <w:tc>
          <w:tcPr>
            <w:tcW w:w="1134" w:type="dxa"/>
            <w:shd w:val="clear" w:color="auto" w:fill="auto"/>
            <w:noWrap/>
            <w:vAlign w:val="bottom"/>
          </w:tcPr>
          <w:p w14:paraId="60EEEA6F" w14:textId="77777777" w:rsidR="007958E3" w:rsidRPr="007958E3" w:rsidRDefault="007958E3" w:rsidP="00D27AB9">
            <w:pPr>
              <w:tabs>
                <w:tab w:val="decimal" w:pos="1020"/>
              </w:tabs>
              <w:spacing w:before="40" w:line="200" w:lineRule="auto"/>
              <w:jc w:val="right"/>
              <w:rPr>
                <w:sz w:val="18"/>
                <w:szCs w:val="22"/>
                <w:highlight w:val="yellow"/>
              </w:rPr>
            </w:pPr>
            <w:r w:rsidRPr="007958E3">
              <w:rPr>
                <w:sz w:val="18"/>
                <w:szCs w:val="22"/>
              </w:rPr>
              <w:t>-</w:t>
            </w:r>
          </w:p>
        </w:tc>
        <w:tc>
          <w:tcPr>
            <w:tcW w:w="1134" w:type="dxa"/>
            <w:shd w:val="clear" w:color="auto" w:fill="auto"/>
            <w:noWrap/>
            <w:vAlign w:val="bottom"/>
          </w:tcPr>
          <w:p w14:paraId="48A484C2" w14:textId="77777777" w:rsidR="007958E3" w:rsidRPr="007958E3" w:rsidRDefault="007958E3" w:rsidP="00D27AB9">
            <w:pPr>
              <w:tabs>
                <w:tab w:val="decimal" w:pos="1020"/>
              </w:tabs>
              <w:spacing w:before="40" w:line="200" w:lineRule="auto"/>
              <w:jc w:val="right"/>
              <w:rPr>
                <w:sz w:val="18"/>
                <w:szCs w:val="22"/>
                <w:highlight w:val="yellow"/>
              </w:rPr>
            </w:pPr>
            <w:r w:rsidRPr="007958E3">
              <w:rPr>
                <w:sz w:val="18"/>
                <w:szCs w:val="22"/>
              </w:rPr>
              <w:t>-</w:t>
            </w:r>
          </w:p>
        </w:tc>
      </w:tr>
      <w:tr w:rsidR="007958E3" w:rsidRPr="00AF5B17" w14:paraId="3473809B" w14:textId="77777777" w:rsidTr="005101BC">
        <w:trPr>
          <w:trHeight w:val="283"/>
        </w:trPr>
        <w:tc>
          <w:tcPr>
            <w:tcW w:w="2759" w:type="dxa"/>
            <w:shd w:val="clear" w:color="auto" w:fill="auto"/>
            <w:vAlign w:val="bottom"/>
            <w:hideMark/>
          </w:tcPr>
          <w:p w14:paraId="2BAB043B" w14:textId="77777777" w:rsidR="007958E3" w:rsidRPr="00E43187" w:rsidRDefault="007958E3" w:rsidP="00327BFD">
            <w:pPr>
              <w:spacing w:before="40"/>
              <w:rPr>
                <w:rFonts w:asciiTheme="majorBidi" w:hAnsiTheme="majorBidi" w:cstheme="majorBidi"/>
                <w:sz w:val="20"/>
              </w:rPr>
            </w:pPr>
            <w:r w:rsidRPr="00E43187">
              <w:rPr>
                <w:rFonts w:asciiTheme="majorBidi" w:hAnsiTheme="majorBidi" w:cstheme="majorBidi"/>
                <w:color w:val="000000"/>
                <w:sz w:val="20"/>
              </w:rPr>
              <w:t>Finance lease liability</w:t>
            </w:r>
          </w:p>
        </w:tc>
        <w:tc>
          <w:tcPr>
            <w:tcW w:w="1276" w:type="dxa"/>
            <w:shd w:val="clear" w:color="auto" w:fill="auto"/>
            <w:noWrap/>
            <w:vAlign w:val="bottom"/>
          </w:tcPr>
          <w:p w14:paraId="5ACE1443" w14:textId="77777777" w:rsidR="007958E3" w:rsidRPr="007958E3" w:rsidRDefault="007958E3" w:rsidP="00D27AB9">
            <w:pPr>
              <w:tabs>
                <w:tab w:val="decimal" w:pos="1020"/>
              </w:tabs>
              <w:spacing w:before="40" w:line="200" w:lineRule="auto"/>
              <w:jc w:val="right"/>
              <w:rPr>
                <w:sz w:val="18"/>
                <w:szCs w:val="22"/>
                <w:highlight w:val="yellow"/>
              </w:rPr>
            </w:pPr>
            <w:r w:rsidRPr="007958E3">
              <w:rPr>
                <w:sz w:val="18"/>
                <w:szCs w:val="22"/>
              </w:rPr>
              <w:t>11,651</w:t>
            </w:r>
          </w:p>
        </w:tc>
        <w:tc>
          <w:tcPr>
            <w:tcW w:w="1276" w:type="dxa"/>
            <w:shd w:val="clear" w:color="auto" w:fill="auto"/>
            <w:noWrap/>
            <w:vAlign w:val="bottom"/>
          </w:tcPr>
          <w:p w14:paraId="2EEC3D76" w14:textId="77777777" w:rsidR="007958E3" w:rsidRPr="007958E3" w:rsidRDefault="007958E3" w:rsidP="00D27AB9">
            <w:pPr>
              <w:tabs>
                <w:tab w:val="decimal" w:pos="1020"/>
              </w:tabs>
              <w:spacing w:before="40" w:line="200" w:lineRule="auto"/>
              <w:jc w:val="right"/>
              <w:rPr>
                <w:sz w:val="18"/>
                <w:szCs w:val="22"/>
                <w:highlight w:val="yellow"/>
              </w:rPr>
            </w:pPr>
            <w:r w:rsidRPr="007958E3">
              <w:rPr>
                <w:sz w:val="18"/>
                <w:szCs w:val="22"/>
              </w:rPr>
              <w:t>38,215</w:t>
            </w:r>
          </w:p>
        </w:tc>
        <w:tc>
          <w:tcPr>
            <w:tcW w:w="1134" w:type="dxa"/>
            <w:shd w:val="clear" w:color="auto" w:fill="auto"/>
            <w:noWrap/>
            <w:vAlign w:val="bottom"/>
          </w:tcPr>
          <w:p w14:paraId="37FE99A8" w14:textId="77777777" w:rsidR="007958E3" w:rsidRPr="007958E3" w:rsidRDefault="007958E3" w:rsidP="00D27AB9">
            <w:pPr>
              <w:tabs>
                <w:tab w:val="decimal" w:pos="1020"/>
              </w:tabs>
              <w:spacing w:before="40" w:line="200" w:lineRule="auto"/>
              <w:jc w:val="right"/>
              <w:rPr>
                <w:sz w:val="18"/>
                <w:szCs w:val="22"/>
                <w:highlight w:val="yellow"/>
              </w:rPr>
            </w:pPr>
            <w:r w:rsidRPr="007958E3">
              <w:rPr>
                <w:sz w:val="18"/>
                <w:szCs w:val="22"/>
              </w:rPr>
              <w:t>678</w:t>
            </w:r>
          </w:p>
        </w:tc>
        <w:tc>
          <w:tcPr>
            <w:tcW w:w="992" w:type="dxa"/>
            <w:shd w:val="clear" w:color="auto" w:fill="auto"/>
            <w:noWrap/>
            <w:vAlign w:val="bottom"/>
          </w:tcPr>
          <w:p w14:paraId="3D5987F1" w14:textId="77777777" w:rsidR="007958E3" w:rsidRPr="007958E3" w:rsidRDefault="007958E3" w:rsidP="00D27AB9">
            <w:pPr>
              <w:tabs>
                <w:tab w:val="decimal" w:pos="1020"/>
              </w:tabs>
              <w:spacing w:before="40" w:line="200" w:lineRule="auto"/>
              <w:jc w:val="right"/>
              <w:rPr>
                <w:sz w:val="18"/>
                <w:szCs w:val="22"/>
                <w:highlight w:val="yellow"/>
              </w:rPr>
            </w:pPr>
            <w:r w:rsidRPr="007958E3">
              <w:rPr>
                <w:sz w:val="18"/>
                <w:szCs w:val="22"/>
              </w:rPr>
              <w:t>864</w:t>
            </w:r>
          </w:p>
        </w:tc>
        <w:tc>
          <w:tcPr>
            <w:tcW w:w="1134" w:type="dxa"/>
            <w:shd w:val="clear" w:color="auto" w:fill="auto"/>
            <w:noWrap/>
            <w:vAlign w:val="bottom"/>
          </w:tcPr>
          <w:p w14:paraId="2EC0EE16" w14:textId="77777777" w:rsidR="007958E3" w:rsidRPr="007958E3" w:rsidRDefault="007958E3" w:rsidP="00D27AB9">
            <w:pPr>
              <w:tabs>
                <w:tab w:val="decimal" w:pos="1020"/>
              </w:tabs>
              <w:spacing w:before="40" w:line="200" w:lineRule="auto"/>
              <w:jc w:val="right"/>
              <w:rPr>
                <w:sz w:val="18"/>
                <w:szCs w:val="22"/>
                <w:highlight w:val="yellow"/>
              </w:rPr>
            </w:pPr>
            <w:r w:rsidRPr="007958E3">
              <w:rPr>
                <w:sz w:val="18"/>
                <w:szCs w:val="22"/>
              </w:rPr>
              <w:t>1,765</w:t>
            </w:r>
          </w:p>
        </w:tc>
        <w:tc>
          <w:tcPr>
            <w:tcW w:w="1134" w:type="dxa"/>
            <w:shd w:val="clear" w:color="auto" w:fill="auto"/>
            <w:noWrap/>
            <w:vAlign w:val="bottom"/>
          </w:tcPr>
          <w:p w14:paraId="3A7A8B0C" w14:textId="77777777" w:rsidR="007958E3" w:rsidRPr="007958E3" w:rsidRDefault="007958E3" w:rsidP="00D27AB9">
            <w:pPr>
              <w:tabs>
                <w:tab w:val="decimal" w:pos="1020"/>
              </w:tabs>
              <w:spacing w:before="40" w:line="200" w:lineRule="auto"/>
              <w:jc w:val="right"/>
              <w:rPr>
                <w:sz w:val="18"/>
                <w:szCs w:val="22"/>
                <w:highlight w:val="yellow"/>
              </w:rPr>
            </w:pPr>
            <w:r w:rsidRPr="007958E3">
              <w:rPr>
                <w:sz w:val="18"/>
                <w:szCs w:val="22"/>
              </w:rPr>
              <w:t>5,175</w:t>
            </w:r>
          </w:p>
        </w:tc>
        <w:tc>
          <w:tcPr>
            <w:tcW w:w="1134" w:type="dxa"/>
            <w:shd w:val="clear" w:color="auto" w:fill="auto"/>
            <w:noWrap/>
            <w:vAlign w:val="bottom"/>
          </w:tcPr>
          <w:p w14:paraId="0A352906" w14:textId="77777777" w:rsidR="007958E3" w:rsidRPr="007958E3" w:rsidRDefault="007958E3" w:rsidP="00D27AB9">
            <w:pPr>
              <w:tabs>
                <w:tab w:val="decimal" w:pos="1020"/>
              </w:tabs>
              <w:spacing w:before="40" w:line="200" w:lineRule="auto"/>
              <w:jc w:val="right"/>
              <w:rPr>
                <w:sz w:val="18"/>
                <w:szCs w:val="22"/>
                <w:highlight w:val="yellow"/>
              </w:rPr>
            </w:pPr>
            <w:r w:rsidRPr="007958E3">
              <w:rPr>
                <w:sz w:val="18"/>
                <w:szCs w:val="22"/>
              </w:rPr>
              <w:t>29,733</w:t>
            </w:r>
          </w:p>
        </w:tc>
      </w:tr>
      <w:tr w:rsidR="007958E3" w:rsidRPr="00AF5B17" w14:paraId="5941B111" w14:textId="77777777" w:rsidTr="005101BC">
        <w:trPr>
          <w:trHeight w:val="283"/>
        </w:trPr>
        <w:tc>
          <w:tcPr>
            <w:tcW w:w="2759" w:type="dxa"/>
            <w:shd w:val="clear" w:color="auto" w:fill="auto"/>
            <w:vAlign w:val="bottom"/>
            <w:hideMark/>
          </w:tcPr>
          <w:p w14:paraId="4E198157" w14:textId="77777777" w:rsidR="007958E3" w:rsidRPr="00E43187" w:rsidRDefault="007958E3" w:rsidP="00327BFD">
            <w:pPr>
              <w:spacing w:before="40"/>
              <w:rPr>
                <w:rFonts w:asciiTheme="majorBidi" w:hAnsiTheme="majorBidi" w:cstheme="majorBidi"/>
                <w:sz w:val="20"/>
              </w:rPr>
            </w:pPr>
            <w:r w:rsidRPr="00E43187">
              <w:rPr>
                <w:rFonts w:asciiTheme="majorBidi" w:hAnsiTheme="majorBidi" w:cstheme="majorBidi"/>
                <w:color w:val="000000"/>
                <w:sz w:val="20"/>
              </w:rPr>
              <w:t>Loans from related parties</w:t>
            </w:r>
          </w:p>
        </w:tc>
        <w:tc>
          <w:tcPr>
            <w:tcW w:w="1276" w:type="dxa"/>
            <w:shd w:val="clear" w:color="auto" w:fill="auto"/>
            <w:noWrap/>
            <w:vAlign w:val="bottom"/>
          </w:tcPr>
          <w:p w14:paraId="4383C7F0" w14:textId="77777777" w:rsidR="007958E3" w:rsidRPr="007958E3" w:rsidRDefault="007958E3" w:rsidP="00D27AB9">
            <w:pPr>
              <w:tabs>
                <w:tab w:val="decimal" w:pos="1020"/>
              </w:tabs>
              <w:spacing w:before="40" w:line="200" w:lineRule="auto"/>
              <w:jc w:val="right"/>
              <w:rPr>
                <w:sz w:val="18"/>
                <w:szCs w:val="22"/>
                <w:highlight w:val="yellow"/>
              </w:rPr>
            </w:pPr>
            <w:r w:rsidRPr="007958E3">
              <w:rPr>
                <w:sz w:val="18"/>
                <w:szCs w:val="22"/>
              </w:rPr>
              <w:t>954,411</w:t>
            </w:r>
          </w:p>
        </w:tc>
        <w:tc>
          <w:tcPr>
            <w:tcW w:w="1276" w:type="dxa"/>
            <w:shd w:val="clear" w:color="auto" w:fill="auto"/>
            <w:noWrap/>
            <w:vAlign w:val="bottom"/>
          </w:tcPr>
          <w:p w14:paraId="319A1A28" w14:textId="77777777" w:rsidR="007958E3" w:rsidRPr="007958E3" w:rsidRDefault="007958E3" w:rsidP="00D27AB9">
            <w:pPr>
              <w:tabs>
                <w:tab w:val="decimal" w:pos="1020"/>
              </w:tabs>
              <w:spacing w:before="40" w:line="200" w:lineRule="auto"/>
              <w:jc w:val="right"/>
              <w:rPr>
                <w:sz w:val="18"/>
                <w:szCs w:val="22"/>
                <w:highlight w:val="yellow"/>
              </w:rPr>
            </w:pPr>
            <w:r w:rsidRPr="007958E3">
              <w:rPr>
                <w:sz w:val="18"/>
                <w:szCs w:val="22"/>
              </w:rPr>
              <w:t>1,182,322</w:t>
            </w:r>
          </w:p>
        </w:tc>
        <w:tc>
          <w:tcPr>
            <w:tcW w:w="1134" w:type="dxa"/>
            <w:shd w:val="clear" w:color="auto" w:fill="auto"/>
            <w:noWrap/>
            <w:vAlign w:val="bottom"/>
          </w:tcPr>
          <w:p w14:paraId="7FEA2D72" w14:textId="77777777" w:rsidR="007958E3" w:rsidRPr="007958E3" w:rsidRDefault="007958E3" w:rsidP="00D27AB9">
            <w:pPr>
              <w:tabs>
                <w:tab w:val="decimal" w:pos="1020"/>
              </w:tabs>
              <w:spacing w:before="40" w:line="200" w:lineRule="auto"/>
              <w:jc w:val="right"/>
              <w:rPr>
                <w:sz w:val="18"/>
                <w:szCs w:val="22"/>
                <w:highlight w:val="yellow"/>
              </w:rPr>
            </w:pPr>
            <w:r w:rsidRPr="007958E3">
              <w:rPr>
                <w:sz w:val="18"/>
                <w:szCs w:val="22"/>
              </w:rPr>
              <w:t>4,353</w:t>
            </w:r>
          </w:p>
        </w:tc>
        <w:tc>
          <w:tcPr>
            <w:tcW w:w="992" w:type="dxa"/>
            <w:shd w:val="clear" w:color="auto" w:fill="auto"/>
            <w:noWrap/>
            <w:vAlign w:val="bottom"/>
          </w:tcPr>
          <w:p w14:paraId="55DE621A" w14:textId="77777777" w:rsidR="007958E3" w:rsidRPr="007958E3" w:rsidRDefault="007958E3" w:rsidP="00D27AB9">
            <w:pPr>
              <w:tabs>
                <w:tab w:val="decimal" w:pos="1020"/>
              </w:tabs>
              <w:spacing w:before="40" w:line="200" w:lineRule="auto"/>
              <w:jc w:val="right"/>
              <w:rPr>
                <w:sz w:val="18"/>
                <w:szCs w:val="22"/>
                <w:highlight w:val="yellow"/>
              </w:rPr>
            </w:pPr>
            <w:r w:rsidRPr="007958E3">
              <w:rPr>
                <w:sz w:val="18"/>
                <w:szCs w:val="22"/>
              </w:rPr>
              <w:t>4,332</w:t>
            </w:r>
          </w:p>
        </w:tc>
        <w:tc>
          <w:tcPr>
            <w:tcW w:w="1134" w:type="dxa"/>
            <w:shd w:val="clear" w:color="auto" w:fill="auto"/>
            <w:noWrap/>
            <w:vAlign w:val="bottom"/>
          </w:tcPr>
          <w:p w14:paraId="4F666AAB" w14:textId="77777777" w:rsidR="007958E3" w:rsidRPr="007958E3" w:rsidRDefault="007958E3" w:rsidP="00D27AB9">
            <w:pPr>
              <w:tabs>
                <w:tab w:val="decimal" w:pos="1020"/>
              </w:tabs>
              <w:spacing w:before="40" w:line="200" w:lineRule="auto"/>
              <w:jc w:val="right"/>
              <w:rPr>
                <w:sz w:val="18"/>
                <w:szCs w:val="22"/>
                <w:highlight w:val="yellow"/>
              </w:rPr>
            </w:pPr>
            <w:r w:rsidRPr="007958E3">
              <w:rPr>
                <w:sz w:val="18"/>
                <w:szCs w:val="22"/>
              </w:rPr>
              <w:t>8,519</w:t>
            </w:r>
          </w:p>
        </w:tc>
        <w:tc>
          <w:tcPr>
            <w:tcW w:w="1134" w:type="dxa"/>
            <w:shd w:val="clear" w:color="auto" w:fill="auto"/>
            <w:noWrap/>
            <w:vAlign w:val="bottom"/>
          </w:tcPr>
          <w:p w14:paraId="2716F931" w14:textId="77777777" w:rsidR="007958E3" w:rsidRPr="007958E3" w:rsidRDefault="007958E3" w:rsidP="00D27AB9">
            <w:pPr>
              <w:tabs>
                <w:tab w:val="decimal" w:pos="1020"/>
              </w:tabs>
              <w:spacing w:before="40" w:line="200" w:lineRule="auto"/>
              <w:jc w:val="right"/>
              <w:rPr>
                <w:sz w:val="18"/>
                <w:szCs w:val="22"/>
                <w:highlight w:val="yellow"/>
              </w:rPr>
            </w:pPr>
            <w:r w:rsidRPr="007958E3">
              <w:rPr>
                <w:sz w:val="18"/>
                <w:szCs w:val="22"/>
              </w:rPr>
              <w:t>1,165,118</w:t>
            </w:r>
          </w:p>
        </w:tc>
        <w:tc>
          <w:tcPr>
            <w:tcW w:w="1134" w:type="dxa"/>
            <w:shd w:val="clear" w:color="auto" w:fill="auto"/>
            <w:noWrap/>
            <w:vAlign w:val="bottom"/>
          </w:tcPr>
          <w:p w14:paraId="376282D3" w14:textId="77777777" w:rsidR="007958E3" w:rsidRPr="007958E3" w:rsidRDefault="007958E3" w:rsidP="00D27AB9">
            <w:pPr>
              <w:tabs>
                <w:tab w:val="decimal" w:pos="1020"/>
              </w:tabs>
              <w:spacing w:before="40" w:line="200" w:lineRule="auto"/>
              <w:jc w:val="right"/>
              <w:rPr>
                <w:sz w:val="18"/>
                <w:szCs w:val="22"/>
                <w:highlight w:val="yellow"/>
              </w:rPr>
            </w:pPr>
            <w:r w:rsidRPr="007958E3">
              <w:rPr>
                <w:sz w:val="18"/>
                <w:szCs w:val="22"/>
              </w:rPr>
              <w:t>-</w:t>
            </w:r>
          </w:p>
        </w:tc>
      </w:tr>
      <w:tr w:rsidR="007958E3" w:rsidRPr="00AF5B17" w14:paraId="33C71F2B" w14:textId="77777777" w:rsidTr="005101BC">
        <w:trPr>
          <w:trHeight w:val="283"/>
        </w:trPr>
        <w:tc>
          <w:tcPr>
            <w:tcW w:w="2759" w:type="dxa"/>
            <w:shd w:val="clear" w:color="auto" w:fill="auto"/>
            <w:vAlign w:val="bottom"/>
            <w:hideMark/>
          </w:tcPr>
          <w:p w14:paraId="4832BFE7" w14:textId="77777777" w:rsidR="007958E3" w:rsidRPr="00E43187" w:rsidRDefault="007958E3" w:rsidP="00327BFD">
            <w:pPr>
              <w:spacing w:before="40"/>
              <w:rPr>
                <w:rFonts w:asciiTheme="majorBidi" w:hAnsiTheme="majorBidi" w:cstheme="majorBidi"/>
                <w:sz w:val="20"/>
              </w:rPr>
            </w:pPr>
            <w:r w:rsidRPr="00E43187">
              <w:rPr>
                <w:rFonts w:asciiTheme="majorBidi" w:hAnsiTheme="majorBidi" w:cstheme="majorBidi"/>
                <w:color w:val="000000"/>
                <w:sz w:val="20"/>
              </w:rPr>
              <w:t>Non-current liabilities</w:t>
            </w:r>
          </w:p>
        </w:tc>
        <w:tc>
          <w:tcPr>
            <w:tcW w:w="1276" w:type="dxa"/>
            <w:shd w:val="clear" w:color="auto" w:fill="auto"/>
            <w:noWrap/>
            <w:vAlign w:val="bottom"/>
          </w:tcPr>
          <w:p w14:paraId="5DF8DBE1" w14:textId="77777777" w:rsidR="007958E3" w:rsidRPr="007958E3" w:rsidRDefault="007958E3" w:rsidP="00D27AB9">
            <w:pPr>
              <w:tabs>
                <w:tab w:val="decimal" w:pos="1020"/>
              </w:tabs>
              <w:spacing w:before="40" w:line="200" w:lineRule="auto"/>
              <w:jc w:val="right"/>
              <w:rPr>
                <w:sz w:val="18"/>
                <w:szCs w:val="22"/>
                <w:highlight w:val="yellow"/>
              </w:rPr>
            </w:pPr>
            <w:r w:rsidRPr="007958E3">
              <w:rPr>
                <w:sz w:val="18"/>
                <w:szCs w:val="22"/>
              </w:rPr>
              <w:t>21,004</w:t>
            </w:r>
          </w:p>
        </w:tc>
        <w:tc>
          <w:tcPr>
            <w:tcW w:w="1276" w:type="dxa"/>
            <w:shd w:val="clear" w:color="auto" w:fill="auto"/>
            <w:noWrap/>
            <w:vAlign w:val="bottom"/>
          </w:tcPr>
          <w:p w14:paraId="2F183436" w14:textId="77777777" w:rsidR="007958E3" w:rsidRPr="007958E3" w:rsidRDefault="007958E3" w:rsidP="00D27AB9">
            <w:pPr>
              <w:tabs>
                <w:tab w:val="decimal" w:pos="1020"/>
              </w:tabs>
              <w:spacing w:before="40" w:line="200" w:lineRule="auto"/>
              <w:jc w:val="right"/>
              <w:rPr>
                <w:sz w:val="18"/>
                <w:szCs w:val="22"/>
                <w:highlight w:val="yellow"/>
              </w:rPr>
            </w:pPr>
            <w:r w:rsidRPr="007958E3">
              <w:rPr>
                <w:sz w:val="18"/>
                <w:szCs w:val="22"/>
              </w:rPr>
              <w:t>21,004</w:t>
            </w:r>
          </w:p>
        </w:tc>
        <w:tc>
          <w:tcPr>
            <w:tcW w:w="1134" w:type="dxa"/>
            <w:shd w:val="clear" w:color="auto" w:fill="auto"/>
            <w:noWrap/>
            <w:vAlign w:val="bottom"/>
          </w:tcPr>
          <w:p w14:paraId="4E97BD8E" w14:textId="77777777" w:rsidR="007958E3" w:rsidRPr="007958E3" w:rsidRDefault="007958E3" w:rsidP="00D27AB9">
            <w:pPr>
              <w:tabs>
                <w:tab w:val="decimal" w:pos="1020"/>
              </w:tabs>
              <w:spacing w:before="40" w:line="200" w:lineRule="auto"/>
              <w:jc w:val="right"/>
              <w:rPr>
                <w:sz w:val="18"/>
                <w:szCs w:val="22"/>
                <w:highlight w:val="yellow"/>
              </w:rPr>
            </w:pPr>
            <w:r w:rsidRPr="007958E3">
              <w:rPr>
                <w:sz w:val="18"/>
                <w:szCs w:val="22"/>
              </w:rPr>
              <w:t>-</w:t>
            </w:r>
          </w:p>
        </w:tc>
        <w:tc>
          <w:tcPr>
            <w:tcW w:w="992" w:type="dxa"/>
            <w:shd w:val="clear" w:color="auto" w:fill="auto"/>
            <w:noWrap/>
            <w:vAlign w:val="bottom"/>
          </w:tcPr>
          <w:p w14:paraId="2E4FC46F" w14:textId="77777777" w:rsidR="007958E3" w:rsidRPr="007958E3" w:rsidRDefault="007958E3" w:rsidP="00D27AB9">
            <w:pPr>
              <w:tabs>
                <w:tab w:val="decimal" w:pos="1020"/>
              </w:tabs>
              <w:spacing w:before="40" w:line="200" w:lineRule="auto"/>
              <w:jc w:val="right"/>
              <w:rPr>
                <w:sz w:val="18"/>
                <w:szCs w:val="22"/>
                <w:highlight w:val="yellow"/>
              </w:rPr>
            </w:pPr>
            <w:r w:rsidRPr="007958E3">
              <w:rPr>
                <w:sz w:val="18"/>
                <w:szCs w:val="22"/>
              </w:rPr>
              <w:t>-</w:t>
            </w:r>
          </w:p>
        </w:tc>
        <w:tc>
          <w:tcPr>
            <w:tcW w:w="1134" w:type="dxa"/>
            <w:shd w:val="clear" w:color="auto" w:fill="auto"/>
            <w:noWrap/>
            <w:vAlign w:val="bottom"/>
          </w:tcPr>
          <w:p w14:paraId="452F939E" w14:textId="77777777" w:rsidR="007958E3" w:rsidRPr="007958E3" w:rsidRDefault="007958E3" w:rsidP="00D27AB9">
            <w:pPr>
              <w:tabs>
                <w:tab w:val="decimal" w:pos="1020"/>
              </w:tabs>
              <w:spacing w:before="40" w:line="200" w:lineRule="auto"/>
              <w:jc w:val="right"/>
              <w:rPr>
                <w:sz w:val="18"/>
                <w:szCs w:val="22"/>
                <w:highlight w:val="yellow"/>
              </w:rPr>
            </w:pPr>
            <w:r w:rsidRPr="007958E3">
              <w:rPr>
                <w:sz w:val="18"/>
                <w:szCs w:val="22"/>
              </w:rPr>
              <w:t>5,061</w:t>
            </w:r>
          </w:p>
        </w:tc>
        <w:tc>
          <w:tcPr>
            <w:tcW w:w="1134" w:type="dxa"/>
            <w:shd w:val="clear" w:color="auto" w:fill="auto"/>
            <w:noWrap/>
            <w:vAlign w:val="bottom"/>
          </w:tcPr>
          <w:p w14:paraId="4D3EDE34" w14:textId="77777777" w:rsidR="007958E3" w:rsidRPr="007958E3" w:rsidRDefault="007958E3" w:rsidP="00D27AB9">
            <w:pPr>
              <w:tabs>
                <w:tab w:val="decimal" w:pos="1020"/>
              </w:tabs>
              <w:spacing w:before="40" w:line="200" w:lineRule="auto"/>
              <w:jc w:val="right"/>
              <w:rPr>
                <w:sz w:val="18"/>
                <w:szCs w:val="22"/>
                <w:highlight w:val="yellow"/>
              </w:rPr>
            </w:pPr>
            <w:r w:rsidRPr="007958E3">
              <w:rPr>
                <w:sz w:val="18"/>
                <w:szCs w:val="22"/>
              </w:rPr>
              <w:t>13,266</w:t>
            </w:r>
          </w:p>
        </w:tc>
        <w:tc>
          <w:tcPr>
            <w:tcW w:w="1134" w:type="dxa"/>
            <w:shd w:val="clear" w:color="auto" w:fill="auto"/>
            <w:noWrap/>
            <w:vAlign w:val="bottom"/>
          </w:tcPr>
          <w:p w14:paraId="7FDF4781" w14:textId="77777777" w:rsidR="007958E3" w:rsidRPr="007958E3" w:rsidRDefault="007958E3" w:rsidP="00D27AB9">
            <w:pPr>
              <w:tabs>
                <w:tab w:val="decimal" w:pos="1020"/>
              </w:tabs>
              <w:spacing w:before="40" w:line="200" w:lineRule="auto"/>
              <w:jc w:val="right"/>
              <w:rPr>
                <w:sz w:val="18"/>
                <w:szCs w:val="22"/>
                <w:highlight w:val="yellow"/>
              </w:rPr>
            </w:pPr>
            <w:r w:rsidRPr="007958E3">
              <w:rPr>
                <w:sz w:val="18"/>
                <w:szCs w:val="22"/>
              </w:rPr>
              <w:t>2,677</w:t>
            </w:r>
          </w:p>
        </w:tc>
      </w:tr>
      <w:tr w:rsidR="007958E3" w:rsidRPr="00AF5B17" w14:paraId="5558941E" w14:textId="77777777" w:rsidTr="005101BC">
        <w:trPr>
          <w:trHeight w:val="283"/>
        </w:trPr>
        <w:tc>
          <w:tcPr>
            <w:tcW w:w="2759" w:type="dxa"/>
            <w:shd w:val="clear" w:color="auto" w:fill="auto"/>
            <w:vAlign w:val="center"/>
            <w:hideMark/>
          </w:tcPr>
          <w:p w14:paraId="79037F79" w14:textId="77777777" w:rsidR="007958E3" w:rsidRPr="00E43187" w:rsidRDefault="007958E3" w:rsidP="00327BFD">
            <w:pPr>
              <w:spacing w:before="40"/>
              <w:rPr>
                <w:rFonts w:asciiTheme="majorBidi" w:hAnsiTheme="majorBidi" w:cstheme="majorBidi"/>
                <w:sz w:val="20"/>
              </w:rPr>
            </w:pPr>
            <w:r w:rsidRPr="00E43187">
              <w:rPr>
                <w:rFonts w:asciiTheme="majorBidi" w:hAnsiTheme="majorBidi" w:cstheme="majorBidi"/>
                <w:color w:val="000000"/>
                <w:sz w:val="20"/>
              </w:rPr>
              <w:t>Loans from joint venture</w:t>
            </w:r>
            <w:r w:rsidRPr="00E43187">
              <w:rPr>
                <w:rFonts w:asciiTheme="majorBidi" w:hAnsiTheme="majorBidi" w:cstheme="majorBidi"/>
                <w:color w:val="000000"/>
                <w:sz w:val="20"/>
              </w:rPr>
              <w:br/>
              <w:t>partners</w:t>
            </w:r>
          </w:p>
        </w:tc>
        <w:tc>
          <w:tcPr>
            <w:tcW w:w="1276" w:type="dxa"/>
            <w:shd w:val="clear" w:color="auto" w:fill="auto"/>
            <w:noWrap/>
            <w:vAlign w:val="bottom"/>
          </w:tcPr>
          <w:p w14:paraId="163E3068" w14:textId="77777777" w:rsidR="007958E3" w:rsidRPr="007958E3" w:rsidRDefault="007958E3" w:rsidP="00D27AB9">
            <w:pPr>
              <w:tabs>
                <w:tab w:val="decimal" w:pos="1020"/>
              </w:tabs>
              <w:spacing w:before="40" w:line="200" w:lineRule="auto"/>
              <w:jc w:val="right"/>
              <w:rPr>
                <w:sz w:val="18"/>
                <w:szCs w:val="22"/>
                <w:highlight w:val="yellow"/>
              </w:rPr>
            </w:pPr>
            <w:r w:rsidRPr="007958E3">
              <w:rPr>
                <w:sz w:val="18"/>
                <w:szCs w:val="22"/>
              </w:rPr>
              <w:t>801</w:t>
            </w:r>
          </w:p>
        </w:tc>
        <w:tc>
          <w:tcPr>
            <w:tcW w:w="1276" w:type="dxa"/>
            <w:shd w:val="clear" w:color="auto" w:fill="auto"/>
            <w:noWrap/>
            <w:vAlign w:val="bottom"/>
          </w:tcPr>
          <w:p w14:paraId="6AD3CB8A" w14:textId="77777777" w:rsidR="007958E3" w:rsidRPr="007958E3" w:rsidRDefault="007958E3" w:rsidP="00D27AB9">
            <w:pPr>
              <w:tabs>
                <w:tab w:val="decimal" w:pos="1020"/>
              </w:tabs>
              <w:spacing w:before="40" w:line="200" w:lineRule="auto"/>
              <w:jc w:val="right"/>
              <w:rPr>
                <w:sz w:val="18"/>
                <w:szCs w:val="22"/>
                <w:highlight w:val="yellow"/>
              </w:rPr>
            </w:pPr>
            <w:r w:rsidRPr="007958E3">
              <w:rPr>
                <w:sz w:val="18"/>
                <w:szCs w:val="22"/>
              </w:rPr>
              <w:t>925</w:t>
            </w:r>
          </w:p>
        </w:tc>
        <w:tc>
          <w:tcPr>
            <w:tcW w:w="1134" w:type="dxa"/>
            <w:shd w:val="clear" w:color="auto" w:fill="auto"/>
            <w:noWrap/>
            <w:vAlign w:val="bottom"/>
          </w:tcPr>
          <w:p w14:paraId="5A344B17" w14:textId="77777777" w:rsidR="007958E3" w:rsidRPr="007958E3" w:rsidRDefault="007958E3" w:rsidP="00D27AB9">
            <w:pPr>
              <w:tabs>
                <w:tab w:val="decimal" w:pos="1020"/>
              </w:tabs>
              <w:spacing w:before="40" w:line="200" w:lineRule="auto"/>
              <w:jc w:val="right"/>
              <w:rPr>
                <w:sz w:val="18"/>
                <w:szCs w:val="22"/>
                <w:highlight w:val="yellow"/>
              </w:rPr>
            </w:pPr>
            <w:r w:rsidRPr="007958E3">
              <w:rPr>
                <w:sz w:val="18"/>
                <w:szCs w:val="22"/>
              </w:rPr>
              <w:t>-</w:t>
            </w:r>
          </w:p>
        </w:tc>
        <w:tc>
          <w:tcPr>
            <w:tcW w:w="992" w:type="dxa"/>
            <w:shd w:val="clear" w:color="auto" w:fill="auto"/>
            <w:noWrap/>
            <w:vAlign w:val="bottom"/>
          </w:tcPr>
          <w:p w14:paraId="2331A92B" w14:textId="77777777" w:rsidR="007958E3" w:rsidRPr="007958E3" w:rsidRDefault="007958E3" w:rsidP="00D27AB9">
            <w:pPr>
              <w:tabs>
                <w:tab w:val="decimal" w:pos="1020"/>
              </w:tabs>
              <w:spacing w:before="40" w:line="200" w:lineRule="auto"/>
              <w:jc w:val="right"/>
              <w:rPr>
                <w:sz w:val="18"/>
                <w:szCs w:val="22"/>
                <w:highlight w:val="yellow"/>
              </w:rPr>
            </w:pPr>
            <w:r w:rsidRPr="007958E3">
              <w:rPr>
                <w:sz w:val="18"/>
                <w:szCs w:val="22"/>
              </w:rPr>
              <w:t>-</w:t>
            </w:r>
          </w:p>
        </w:tc>
        <w:tc>
          <w:tcPr>
            <w:tcW w:w="1134" w:type="dxa"/>
            <w:shd w:val="clear" w:color="auto" w:fill="auto"/>
            <w:noWrap/>
            <w:vAlign w:val="bottom"/>
          </w:tcPr>
          <w:p w14:paraId="43339B1B" w14:textId="77777777" w:rsidR="007958E3" w:rsidRPr="007958E3" w:rsidRDefault="007958E3" w:rsidP="00D27AB9">
            <w:pPr>
              <w:tabs>
                <w:tab w:val="decimal" w:pos="1020"/>
              </w:tabs>
              <w:spacing w:before="40" w:line="200" w:lineRule="auto"/>
              <w:jc w:val="right"/>
              <w:rPr>
                <w:sz w:val="18"/>
                <w:szCs w:val="22"/>
                <w:highlight w:val="yellow"/>
              </w:rPr>
            </w:pPr>
            <w:r w:rsidRPr="007958E3">
              <w:rPr>
                <w:sz w:val="18"/>
                <w:szCs w:val="22"/>
              </w:rPr>
              <w:t>-</w:t>
            </w:r>
          </w:p>
        </w:tc>
        <w:tc>
          <w:tcPr>
            <w:tcW w:w="1134" w:type="dxa"/>
            <w:shd w:val="clear" w:color="auto" w:fill="auto"/>
            <w:noWrap/>
            <w:vAlign w:val="bottom"/>
          </w:tcPr>
          <w:p w14:paraId="2DD23566" w14:textId="77777777" w:rsidR="007958E3" w:rsidRPr="007958E3" w:rsidRDefault="007958E3" w:rsidP="00D27AB9">
            <w:pPr>
              <w:tabs>
                <w:tab w:val="decimal" w:pos="1020"/>
              </w:tabs>
              <w:spacing w:before="40" w:line="200" w:lineRule="auto"/>
              <w:jc w:val="right"/>
              <w:rPr>
                <w:sz w:val="18"/>
                <w:szCs w:val="22"/>
                <w:highlight w:val="yellow"/>
              </w:rPr>
            </w:pPr>
            <w:r w:rsidRPr="007958E3">
              <w:rPr>
                <w:sz w:val="18"/>
                <w:szCs w:val="22"/>
              </w:rPr>
              <w:t>925</w:t>
            </w:r>
          </w:p>
        </w:tc>
        <w:tc>
          <w:tcPr>
            <w:tcW w:w="1134" w:type="dxa"/>
            <w:shd w:val="clear" w:color="auto" w:fill="auto"/>
            <w:noWrap/>
            <w:vAlign w:val="bottom"/>
          </w:tcPr>
          <w:p w14:paraId="745754AE" w14:textId="77777777" w:rsidR="007958E3" w:rsidRPr="007958E3" w:rsidRDefault="007958E3" w:rsidP="00D27AB9">
            <w:pPr>
              <w:tabs>
                <w:tab w:val="decimal" w:pos="1020"/>
              </w:tabs>
              <w:spacing w:before="40" w:line="200" w:lineRule="auto"/>
              <w:jc w:val="right"/>
              <w:rPr>
                <w:sz w:val="18"/>
                <w:szCs w:val="22"/>
                <w:highlight w:val="yellow"/>
              </w:rPr>
            </w:pPr>
            <w:r w:rsidRPr="007958E3">
              <w:rPr>
                <w:sz w:val="18"/>
                <w:szCs w:val="22"/>
              </w:rPr>
              <w:t>-</w:t>
            </w:r>
          </w:p>
        </w:tc>
      </w:tr>
      <w:tr w:rsidR="007958E3" w:rsidRPr="00AF5B17" w14:paraId="0DEAF451" w14:textId="77777777" w:rsidTr="005101BC">
        <w:trPr>
          <w:trHeight w:val="283"/>
        </w:trPr>
        <w:tc>
          <w:tcPr>
            <w:tcW w:w="2759" w:type="dxa"/>
            <w:shd w:val="clear" w:color="auto" w:fill="auto"/>
            <w:vAlign w:val="bottom"/>
            <w:hideMark/>
          </w:tcPr>
          <w:p w14:paraId="423714F2" w14:textId="77777777" w:rsidR="007958E3" w:rsidRPr="00E43187" w:rsidRDefault="007958E3" w:rsidP="00327BFD">
            <w:pPr>
              <w:spacing w:before="40"/>
              <w:rPr>
                <w:rFonts w:asciiTheme="majorBidi" w:hAnsiTheme="majorBidi" w:cstheme="majorBidi"/>
                <w:sz w:val="20"/>
              </w:rPr>
            </w:pPr>
            <w:r w:rsidRPr="00E43187">
              <w:rPr>
                <w:rFonts w:asciiTheme="majorBidi" w:hAnsiTheme="majorBidi" w:cstheme="majorBidi"/>
                <w:color w:val="000000"/>
                <w:sz w:val="20"/>
              </w:rPr>
              <w:t>Trade and other payables (1)</w:t>
            </w:r>
          </w:p>
        </w:tc>
        <w:tc>
          <w:tcPr>
            <w:tcW w:w="1276" w:type="dxa"/>
            <w:shd w:val="clear" w:color="auto" w:fill="auto"/>
            <w:noWrap/>
            <w:vAlign w:val="bottom"/>
          </w:tcPr>
          <w:p w14:paraId="562B5DC8" w14:textId="77777777" w:rsidR="007958E3" w:rsidRPr="007958E3" w:rsidRDefault="007958E3" w:rsidP="00D27AB9">
            <w:pPr>
              <w:pBdr>
                <w:bottom w:val="single" w:sz="4" w:space="1" w:color="auto"/>
              </w:pBdr>
              <w:tabs>
                <w:tab w:val="decimal" w:pos="1020"/>
              </w:tabs>
              <w:spacing w:before="40" w:line="200" w:lineRule="auto"/>
              <w:jc w:val="right"/>
              <w:rPr>
                <w:sz w:val="18"/>
                <w:szCs w:val="22"/>
                <w:highlight w:val="yellow"/>
              </w:rPr>
            </w:pPr>
            <w:r w:rsidRPr="007958E3">
              <w:rPr>
                <w:sz w:val="18"/>
                <w:szCs w:val="22"/>
              </w:rPr>
              <w:t>141,831</w:t>
            </w:r>
          </w:p>
        </w:tc>
        <w:tc>
          <w:tcPr>
            <w:tcW w:w="1276" w:type="dxa"/>
            <w:shd w:val="clear" w:color="auto" w:fill="auto"/>
            <w:noWrap/>
            <w:vAlign w:val="bottom"/>
          </w:tcPr>
          <w:p w14:paraId="58B9A1A3" w14:textId="77777777" w:rsidR="007958E3" w:rsidRPr="007958E3" w:rsidRDefault="007958E3" w:rsidP="00D27AB9">
            <w:pPr>
              <w:pBdr>
                <w:bottom w:val="single" w:sz="4" w:space="1" w:color="auto"/>
              </w:pBdr>
              <w:tabs>
                <w:tab w:val="decimal" w:pos="1020"/>
              </w:tabs>
              <w:spacing w:before="40" w:line="200" w:lineRule="auto"/>
              <w:jc w:val="right"/>
              <w:rPr>
                <w:sz w:val="18"/>
                <w:szCs w:val="22"/>
                <w:highlight w:val="yellow"/>
              </w:rPr>
            </w:pPr>
            <w:r w:rsidRPr="007958E3">
              <w:rPr>
                <w:sz w:val="18"/>
                <w:szCs w:val="22"/>
              </w:rPr>
              <w:t>138,325</w:t>
            </w:r>
          </w:p>
        </w:tc>
        <w:tc>
          <w:tcPr>
            <w:tcW w:w="1134" w:type="dxa"/>
            <w:shd w:val="clear" w:color="auto" w:fill="auto"/>
            <w:noWrap/>
            <w:vAlign w:val="bottom"/>
          </w:tcPr>
          <w:p w14:paraId="647ADE34" w14:textId="77777777" w:rsidR="007958E3" w:rsidRPr="007958E3" w:rsidRDefault="007958E3" w:rsidP="00D27AB9">
            <w:pPr>
              <w:pBdr>
                <w:bottom w:val="single" w:sz="4" w:space="1" w:color="auto"/>
              </w:pBdr>
              <w:tabs>
                <w:tab w:val="decimal" w:pos="1020"/>
              </w:tabs>
              <w:spacing w:before="40" w:line="200" w:lineRule="auto"/>
              <w:jc w:val="right"/>
              <w:rPr>
                <w:sz w:val="18"/>
                <w:szCs w:val="22"/>
                <w:highlight w:val="yellow"/>
              </w:rPr>
            </w:pPr>
            <w:r w:rsidRPr="007958E3">
              <w:rPr>
                <w:sz w:val="18"/>
                <w:szCs w:val="22"/>
              </w:rPr>
              <w:t>129,198</w:t>
            </w:r>
          </w:p>
        </w:tc>
        <w:tc>
          <w:tcPr>
            <w:tcW w:w="992" w:type="dxa"/>
            <w:shd w:val="clear" w:color="auto" w:fill="auto"/>
            <w:noWrap/>
            <w:vAlign w:val="bottom"/>
          </w:tcPr>
          <w:p w14:paraId="58AB519F" w14:textId="77777777" w:rsidR="007958E3" w:rsidRPr="007958E3" w:rsidRDefault="007958E3" w:rsidP="00D27AB9">
            <w:pPr>
              <w:pBdr>
                <w:bottom w:val="single" w:sz="4" w:space="1" w:color="auto"/>
              </w:pBdr>
              <w:tabs>
                <w:tab w:val="decimal" w:pos="1020"/>
              </w:tabs>
              <w:spacing w:before="40" w:line="200" w:lineRule="auto"/>
              <w:jc w:val="right"/>
              <w:rPr>
                <w:sz w:val="18"/>
                <w:szCs w:val="22"/>
                <w:highlight w:val="yellow"/>
              </w:rPr>
            </w:pPr>
            <w:r w:rsidRPr="007958E3">
              <w:rPr>
                <w:sz w:val="18"/>
                <w:szCs w:val="22"/>
              </w:rPr>
              <w:t>9,127</w:t>
            </w:r>
          </w:p>
        </w:tc>
        <w:tc>
          <w:tcPr>
            <w:tcW w:w="1134" w:type="dxa"/>
            <w:shd w:val="clear" w:color="auto" w:fill="auto"/>
            <w:noWrap/>
            <w:vAlign w:val="bottom"/>
          </w:tcPr>
          <w:p w14:paraId="3F672DB5" w14:textId="77777777" w:rsidR="007958E3" w:rsidRPr="007958E3" w:rsidRDefault="007958E3" w:rsidP="00D27AB9">
            <w:pPr>
              <w:pBdr>
                <w:bottom w:val="single" w:sz="4" w:space="1" w:color="auto"/>
              </w:pBdr>
              <w:tabs>
                <w:tab w:val="decimal" w:pos="1020"/>
              </w:tabs>
              <w:spacing w:before="40" w:line="200" w:lineRule="auto"/>
              <w:jc w:val="right"/>
              <w:rPr>
                <w:sz w:val="18"/>
                <w:szCs w:val="22"/>
                <w:highlight w:val="yellow"/>
              </w:rPr>
            </w:pPr>
            <w:r w:rsidRPr="007958E3">
              <w:rPr>
                <w:sz w:val="18"/>
                <w:szCs w:val="22"/>
              </w:rPr>
              <w:t>-</w:t>
            </w:r>
          </w:p>
        </w:tc>
        <w:tc>
          <w:tcPr>
            <w:tcW w:w="1134" w:type="dxa"/>
            <w:shd w:val="clear" w:color="auto" w:fill="auto"/>
            <w:noWrap/>
            <w:vAlign w:val="bottom"/>
          </w:tcPr>
          <w:p w14:paraId="745156A3" w14:textId="77777777" w:rsidR="007958E3" w:rsidRPr="007958E3" w:rsidRDefault="007958E3" w:rsidP="00D27AB9">
            <w:pPr>
              <w:pBdr>
                <w:bottom w:val="single" w:sz="4" w:space="1" w:color="auto"/>
              </w:pBdr>
              <w:tabs>
                <w:tab w:val="decimal" w:pos="1020"/>
              </w:tabs>
              <w:spacing w:before="40" w:line="200" w:lineRule="auto"/>
              <w:jc w:val="right"/>
              <w:rPr>
                <w:sz w:val="18"/>
                <w:szCs w:val="22"/>
                <w:highlight w:val="yellow"/>
              </w:rPr>
            </w:pPr>
            <w:r w:rsidRPr="007958E3">
              <w:rPr>
                <w:sz w:val="18"/>
                <w:szCs w:val="22"/>
              </w:rPr>
              <w:t>-</w:t>
            </w:r>
          </w:p>
        </w:tc>
        <w:tc>
          <w:tcPr>
            <w:tcW w:w="1134" w:type="dxa"/>
            <w:shd w:val="clear" w:color="auto" w:fill="auto"/>
            <w:noWrap/>
            <w:vAlign w:val="bottom"/>
          </w:tcPr>
          <w:p w14:paraId="6F759BE8" w14:textId="77777777" w:rsidR="007958E3" w:rsidRPr="007958E3" w:rsidRDefault="007958E3" w:rsidP="00D27AB9">
            <w:pPr>
              <w:pBdr>
                <w:bottom w:val="single" w:sz="4" w:space="1" w:color="auto"/>
              </w:pBdr>
              <w:tabs>
                <w:tab w:val="decimal" w:pos="1020"/>
              </w:tabs>
              <w:spacing w:before="40" w:line="200" w:lineRule="auto"/>
              <w:jc w:val="right"/>
              <w:rPr>
                <w:sz w:val="18"/>
                <w:szCs w:val="22"/>
                <w:highlight w:val="yellow"/>
              </w:rPr>
            </w:pPr>
            <w:r w:rsidRPr="007958E3">
              <w:rPr>
                <w:sz w:val="18"/>
                <w:szCs w:val="22"/>
              </w:rPr>
              <w:t>-</w:t>
            </w:r>
          </w:p>
        </w:tc>
      </w:tr>
      <w:tr w:rsidR="007958E3" w:rsidRPr="00AF5B17" w14:paraId="4C89EC08" w14:textId="77777777" w:rsidTr="005101BC">
        <w:trPr>
          <w:trHeight w:val="283"/>
        </w:trPr>
        <w:tc>
          <w:tcPr>
            <w:tcW w:w="2759" w:type="dxa"/>
            <w:shd w:val="clear" w:color="auto" w:fill="auto"/>
            <w:noWrap/>
            <w:vAlign w:val="bottom"/>
            <w:hideMark/>
          </w:tcPr>
          <w:p w14:paraId="09AB8399" w14:textId="77777777" w:rsidR="007958E3" w:rsidRPr="00AF5B17" w:rsidRDefault="007958E3" w:rsidP="00327BFD">
            <w:pPr>
              <w:spacing w:before="40"/>
              <w:rPr>
                <w:rFonts w:asciiTheme="majorBidi" w:eastAsia="Arial" w:hAnsiTheme="majorBidi" w:cstheme="majorBidi"/>
                <w:sz w:val="22"/>
                <w:szCs w:val="22"/>
              </w:rPr>
            </w:pPr>
          </w:p>
        </w:tc>
        <w:tc>
          <w:tcPr>
            <w:tcW w:w="1276" w:type="dxa"/>
            <w:shd w:val="clear" w:color="auto" w:fill="auto"/>
            <w:noWrap/>
            <w:vAlign w:val="bottom"/>
          </w:tcPr>
          <w:p w14:paraId="13E43297" w14:textId="77777777" w:rsidR="007958E3" w:rsidRPr="007958E3" w:rsidRDefault="007958E3" w:rsidP="00D27AB9">
            <w:pPr>
              <w:pBdr>
                <w:bottom w:val="double" w:sz="4" w:space="0" w:color="000000"/>
              </w:pBdr>
              <w:tabs>
                <w:tab w:val="decimal" w:pos="1020"/>
              </w:tabs>
              <w:spacing w:before="40" w:line="200" w:lineRule="auto"/>
              <w:jc w:val="right"/>
              <w:rPr>
                <w:sz w:val="18"/>
                <w:szCs w:val="22"/>
                <w:highlight w:val="yellow"/>
              </w:rPr>
            </w:pPr>
            <w:r w:rsidRPr="007958E3">
              <w:rPr>
                <w:sz w:val="18"/>
                <w:szCs w:val="22"/>
              </w:rPr>
              <w:t>2,364,674</w:t>
            </w:r>
          </w:p>
        </w:tc>
        <w:tc>
          <w:tcPr>
            <w:tcW w:w="1276" w:type="dxa"/>
            <w:shd w:val="clear" w:color="auto" w:fill="auto"/>
            <w:noWrap/>
            <w:vAlign w:val="bottom"/>
          </w:tcPr>
          <w:p w14:paraId="34759290" w14:textId="77777777" w:rsidR="007958E3" w:rsidRPr="007958E3" w:rsidRDefault="007958E3" w:rsidP="00D27AB9">
            <w:pPr>
              <w:pBdr>
                <w:bottom w:val="double" w:sz="4" w:space="0" w:color="000000"/>
              </w:pBdr>
              <w:tabs>
                <w:tab w:val="decimal" w:pos="1020"/>
              </w:tabs>
              <w:spacing w:before="40" w:line="200" w:lineRule="auto"/>
              <w:jc w:val="right"/>
              <w:rPr>
                <w:sz w:val="18"/>
                <w:szCs w:val="22"/>
                <w:highlight w:val="yellow"/>
              </w:rPr>
            </w:pPr>
            <w:r w:rsidRPr="007958E3">
              <w:rPr>
                <w:sz w:val="18"/>
                <w:szCs w:val="22"/>
              </w:rPr>
              <w:t>2,822,720</w:t>
            </w:r>
          </w:p>
        </w:tc>
        <w:tc>
          <w:tcPr>
            <w:tcW w:w="1134" w:type="dxa"/>
            <w:shd w:val="clear" w:color="auto" w:fill="auto"/>
            <w:noWrap/>
            <w:vAlign w:val="bottom"/>
          </w:tcPr>
          <w:p w14:paraId="1D8471A3" w14:textId="77777777" w:rsidR="007958E3" w:rsidRPr="007958E3" w:rsidRDefault="007958E3" w:rsidP="00D27AB9">
            <w:pPr>
              <w:pBdr>
                <w:bottom w:val="double" w:sz="4" w:space="0" w:color="000000"/>
              </w:pBdr>
              <w:tabs>
                <w:tab w:val="decimal" w:pos="1020"/>
              </w:tabs>
              <w:spacing w:before="40" w:line="200" w:lineRule="auto"/>
              <w:jc w:val="right"/>
              <w:rPr>
                <w:sz w:val="18"/>
                <w:szCs w:val="22"/>
                <w:highlight w:val="yellow"/>
              </w:rPr>
            </w:pPr>
            <w:r w:rsidRPr="007958E3">
              <w:rPr>
                <w:sz w:val="18"/>
                <w:szCs w:val="22"/>
              </w:rPr>
              <w:t>182,978</w:t>
            </w:r>
          </w:p>
        </w:tc>
        <w:tc>
          <w:tcPr>
            <w:tcW w:w="992" w:type="dxa"/>
            <w:shd w:val="clear" w:color="auto" w:fill="auto"/>
            <w:noWrap/>
            <w:vAlign w:val="bottom"/>
          </w:tcPr>
          <w:p w14:paraId="7D082D16" w14:textId="77777777" w:rsidR="007958E3" w:rsidRPr="007958E3" w:rsidRDefault="007958E3" w:rsidP="00D27AB9">
            <w:pPr>
              <w:pBdr>
                <w:bottom w:val="double" w:sz="4" w:space="0" w:color="000000"/>
              </w:pBdr>
              <w:tabs>
                <w:tab w:val="decimal" w:pos="1020"/>
              </w:tabs>
              <w:spacing w:before="40" w:line="200" w:lineRule="auto"/>
              <w:jc w:val="right"/>
              <w:rPr>
                <w:sz w:val="18"/>
                <w:szCs w:val="22"/>
                <w:highlight w:val="yellow"/>
              </w:rPr>
            </w:pPr>
            <w:r w:rsidRPr="007958E3">
              <w:rPr>
                <w:sz w:val="18"/>
                <w:szCs w:val="22"/>
              </w:rPr>
              <w:t>100,017</w:t>
            </w:r>
          </w:p>
        </w:tc>
        <w:tc>
          <w:tcPr>
            <w:tcW w:w="1134" w:type="dxa"/>
            <w:shd w:val="clear" w:color="auto" w:fill="auto"/>
            <w:noWrap/>
            <w:vAlign w:val="bottom"/>
          </w:tcPr>
          <w:p w14:paraId="3DB6B202" w14:textId="77777777" w:rsidR="007958E3" w:rsidRPr="007958E3" w:rsidRDefault="007958E3" w:rsidP="00D27AB9">
            <w:pPr>
              <w:pBdr>
                <w:bottom w:val="double" w:sz="4" w:space="0" w:color="000000"/>
              </w:pBdr>
              <w:tabs>
                <w:tab w:val="decimal" w:pos="1020"/>
              </w:tabs>
              <w:spacing w:before="40" w:line="200" w:lineRule="auto"/>
              <w:jc w:val="right"/>
              <w:rPr>
                <w:sz w:val="18"/>
                <w:szCs w:val="22"/>
                <w:highlight w:val="yellow"/>
              </w:rPr>
            </w:pPr>
            <w:r w:rsidRPr="007958E3">
              <w:rPr>
                <w:sz w:val="18"/>
                <w:szCs w:val="22"/>
              </w:rPr>
              <w:t>371,701</w:t>
            </w:r>
          </w:p>
        </w:tc>
        <w:tc>
          <w:tcPr>
            <w:tcW w:w="1134" w:type="dxa"/>
            <w:shd w:val="clear" w:color="auto" w:fill="auto"/>
            <w:noWrap/>
            <w:vAlign w:val="bottom"/>
          </w:tcPr>
          <w:p w14:paraId="24D7CADF" w14:textId="77777777" w:rsidR="007958E3" w:rsidRPr="007958E3" w:rsidRDefault="007958E3" w:rsidP="00D27AB9">
            <w:pPr>
              <w:pBdr>
                <w:bottom w:val="double" w:sz="4" w:space="0" w:color="000000"/>
              </w:pBdr>
              <w:tabs>
                <w:tab w:val="decimal" w:pos="1020"/>
              </w:tabs>
              <w:spacing w:before="40" w:line="200" w:lineRule="auto"/>
              <w:jc w:val="right"/>
              <w:rPr>
                <w:sz w:val="18"/>
                <w:szCs w:val="22"/>
                <w:highlight w:val="yellow"/>
              </w:rPr>
            </w:pPr>
            <w:r w:rsidRPr="007958E3">
              <w:rPr>
                <w:sz w:val="18"/>
                <w:szCs w:val="22"/>
              </w:rPr>
              <w:t>1,950,558</w:t>
            </w:r>
          </w:p>
        </w:tc>
        <w:tc>
          <w:tcPr>
            <w:tcW w:w="1134" w:type="dxa"/>
            <w:shd w:val="clear" w:color="auto" w:fill="auto"/>
            <w:noWrap/>
            <w:vAlign w:val="bottom"/>
          </w:tcPr>
          <w:p w14:paraId="058EA62E" w14:textId="77777777" w:rsidR="007958E3" w:rsidRPr="007958E3" w:rsidRDefault="007958E3" w:rsidP="00D27AB9">
            <w:pPr>
              <w:pBdr>
                <w:bottom w:val="double" w:sz="4" w:space="0" w:color="000000"/>
              </w:pBdr>
              <w:tabs>
                <w:tab w:val="decimal" w:pos="1020"/>
              </w:tabs>
              <w:spacing w:before="40" w:line="200" w:lineRule="auto"/>
              <w:jc w:val="right"/>
              <w:rPr>
                <w:sz w:val="18"/>
                <w:szCs w:val="22"/>
                <w:highlight w:val="yellow"/>
              </w:rPr>
            </w:pPr>
            <w:r w:rsidRPr="007958E3">
              <w:rPr>
                <w:sz w:val="18"/>
                <w:szCs w:val="22"/>
              </w:rPr>
              <w:t>217,465</w:t>
            </w:r>
          </w:p>
        </w:tc>
      </w:tr>
    </w:tbl>
    <w:p w14:paraId="408034AE" w14:textId="77777777" w:rsidR="007958E3" w:rsidRDefault="007958E3" w:rsidP="000354F1">
      <w:pPr>
        <w:ind w:left="1080"/>
        <w:jc w:val="both"/>
        <w:rPr>
          <w:sz w:val="20"/>
        </w:rPr>
      </w:pPr>
    </w:p>
    <w:p w14:paraId="45949309" w14:textId="77777777" w:rsidR="007958E3" w:rsidRDefault="007958E3" w:rsidP="000354F1">
      <w:pPr>
        <w:ind w:left="1080"/>
        <w:jc w:val="both"/>
        <w:rPr>
          <w:sz w:val="20"/>
        </w:rPr>
      </w:pPr>
    </w:p>
    <w:p w14:paraId="6A2D89D7" w14:textId="77777777" w:rsidR="000354F1" w:rsidRPr="008211D9" w:rsidRDefault="000354F1" w:rsidP="00C5462B">
      <w:pPr>
        <w:numPr>
          <w:ilvl w:val="0"/>
          <w:numId w:val="33"/>
        </w:numPr>
        <w:jc w:val="both"/>
        <w:rPr>
          <w:sz w:val="20"/>
        </w:rPr>
      </w:pPr>
      <w:r w:rsidRPr="008211D9">
        <w:rPr>
          <w:sz w:val="20"/>
        </w:rPr>
        <w:t>Includ</w:t>
      </w:r>
      <w:r>
        <w:rPr>
          <w:sz w:val="20"/>
        </w:rPr>
        <w:t>ing</w:t>
      </w:r>
      <w:r w:rsidRPr="008211D9">
        <w:rPr>
          <w:sz w:val="20"/>
        </w:rPr>
        <w:t xml:space="preserve"> deferred expenses.</w:t>
      </w:r>
    </w:p>
    <w:p w14:paraId="7B509545" w14:textId="77777777" w:rsidR="00543265" w:rsidRDefault="00543265" w:rsidP="00543265">
      <w:pPr>
        <w:jc w:val="both"/>
        <w:rPr>
          <w:sz w:val="20"/>
        </w:rPr>
      </w:pPr>
    </w:p>
    <w:p w14:paraId="6365F089" w14:textId="77777777" w:rsidR="00543265" w:rsidRPr="008211D9" w:rsidRDefault="00543265" w:rsidP="00543265">
      <w:pPr>
        <w:jc w:val="both"/>
        <w:rPr>
          <w:sz w:val="20"/>
        </w:rPr>
      </w:pPr>
    </w:p>
    <w:p w14:paraId="1AE2D174" w14:textId="77777777" w:rsidR="00C35D07" w:rsidRPr="00F02921" w:rsidRDefault="00C35D07" w:rsidP="009D3680">
      <w:pPr>
        <w:jc w:val="both"/>
        <w:rPr>
          <w:sz w:val="22"/>
          <w:szCs w:val="22"/>
        </w:rPr>
        <w:sectPr w:rsidR="00C35D07" w:rsidRPr="00F02921" w:rsidSect="00593E8F">
          <w:headerReference w:type="default" r:id="rId28"/>
          <w:endnotePr>
            <w:numFmt w:val="lowerLetter"/>
          </w:endnotePr>
          <w:type w:val="nextColumn"/>
          <w:pgSz w:w="11906" w:h="16838"/>
          <w:pgMar w:top="1134" w:right="1134" w:bottom="1134" w:left="1134" w:header="567" w:footer="567" w:gutter="0"/>
          <w:paperSrc w:first="15" w:other="15"/>
          <w:cols w:space="720"/>
          <w:bidi/>
          <w:docGrid w:linePitch="326"/>
        </w:sectPr>
      </w:pPr>
    </w:p>
    <w:p w14:paraId="11F0B249" w14:textId="77777777" w:rsidR="000354F1" w:rsidRDefault="000354F1" w:rsidP="00BF2911">
      <w:pPr>
        <w:jc w:val="both"/>
        <w:rPr>
          <w:b/>
          <w:bCs/>
          <w:sz w:val="26"/>
          <w:szCs w:val="26"/>
        </w:rPr>
      </w:pPr>
    </w:p>
    <w:p w14:paraId="0A8A0A7D" w14:textId="5697A062" w:rsidR="00C35D07" w:rsidRPr="000354F1" w:rsidRDefault="00C35D07" w:rsidP="00BF2911">
      <w:pPr>
        <w:jc w:val="both"/>
        <w:rPr>
          <w:b/>
          <w:bCs/>
          <w:sz w:val="22"/>
          <w:szCs w:val="22"/>
        </w:rPr>
      </w:pPr>
      <w:r w:rsidRPr="000354F1">
        <w:rPr>
          <w:b/>
          <w:bCs/>
          <w:sz w:val="22"/>
          <w:szCs w:val="22"/>
        </w:rPr>
        <w:t xml:space="preserve">Note </w:t>
      </w:r>
      <w:r w:rsidR="00776020" w:rsidRPr="000354F1">
        <w:rPr>
          <w:b/>
          <w:bCs/>
          <w:sz w:val="22"/>
          <w:szCs w:val="22"/>
        </w:rPr>
        <w:t xml:space="preserve">21 </w:t>
      </w:r>
      <w:r w:rsidRPr="000354F1">
        <w:rPr>
          <w:b/>
          <w:bCs/>
          <w:sz w:val="22"/>
          <w:szCs w:val="22"/>
        </w:rPr>
        <w:t>- Financial Instruments (cont’d)</w:t>
      </w:r>
    </w:p>
    <w:p w14:paraId="6CC10B7D" w14:textId="77777777" w:rsidR="00C35D07" w:rsidRPr="000354F1" w:rsidRDefault="00C35D07" w:rsidP="004A3C21">
      <w:pPr>
        <w:jc w:val="both"/>
        <w:rPr>
          <w:sz w:val="22"/>
          <w:szCs w:val="22"/>
        </w:rPr>
      </w:pPr>
    </w:p>
    <w:p w14:paraId="44E2AF73" w14:textId="77777777" w:rsidR="00C35D07" w:rsidRPr="000354F1" w:rsidRDefault="00D452B6" w:rsidP="00C01E5D">
      <w:pPr>
        <w:ind w:left="567" w:hanging="567"/>
        <w:jc w:val="both"/>
        <w:outlineLvl w:val="3"/>
        <w:rPr>
          <w:b/>
          <w:bCs/>
          <w:sz w:val="22"/>
          <w:szCs w:val="22"/>
        </w:rPr>
      </w:pPr>
      <w:bookmarkStart w:id="200" w:name="H4_CCurrency_risk"/>
      <w:r w:rsidRPr="00E43187">
        <w:rPr>
          <w:b/>
          <w:bCs/>
          <w:sz w:val="22"/>
          <w:szCs w:val="22"/>
        </w:rPr>
        <w:t>C.</w:t>
      </w:r>
      <w:r w:rsidRPr="00E43187">
        <w:rPr>
          <w:b/>
          <w:bCs/>
          <w:sz w:val="22"/>
          <w:szCs w:val="22"/>
        </w:rPr>
        <w:tab/>
      </w:r>
      <w:r w:rsidR="00C35D07" w:rsidRPr="00E43187">
        <w:rPr>
          <w:b/>
          <w:bCs/>
          <w:sz w:val="22"/>
          <w:szCs w:val="22"/>
        </w:rPr>
        <w:t>Currency risk</w:t>
      </w:r>
    </w:p>
    <w:bookmarkEnd w:id="200"/>
    <w:p w14:paraId="47719E20" w14:textId="77777777" w:rsidR="00C35D07" w:rsidRPr="00F02921" w:rsidRDefault="00C35D07" w:rsidP="004A3C21">
      <w:pPr>
        <w:jc w:val="both"/>
        <w:rPr>
          <w:sz w:val="22"/>
          <w:szCs w:val="22"/>
        </w:rPr>
      </w:pPr>
    </w:p>
    <w:p w14:paraId="6CCC192C" w14:textId="77777777" w:rsidR="00C35D07" w:rsidRPr="00EC59FE" w:rsidRDefault="00C35D07" w:rsidP="004A3C21">
      <w:pPr>
        <w:jc w:val="both"/>
        <w:rPr>
          <w:sz w:val="22"/>
          <w:szCs w:val="22"/>
        </w:rPr>
      </w:pPr>
      <w:r w:rsidRPr="00F02921">
        <w:rPr>
          <w:sz w:val="22"/>
          <w:szCs w:val="22"/>
        </w:rPr>
        <w:t>The Group’s exposure to foreign currency risk was as follows base</w:t>
      </w:r>
      <w:r w:rsidRPr="00EC59FE">
        <w:rPr>
          <w:sz w:val="22"/>
          <w:szCs w:val="22"/>
        </w:rPr>
        <w:t>d on notional amounts:</w:t>
      </w:r>
    </w:p>
    <w:p w14:paraId="1B9F1A60" w14:textId="77777777" w:rsidR="00C35D07" w:rsidRPr="00EC59FE" w:rsidRDefault="00C35D07" w:rsidP="00ED6C37">
      <w:pPr>
        <w:spacing w:before="120"/>
        <w:jc w:val="both"/>
        <w:rPr>
          <w:rStyle w:val="Koteret"/>
          <w:b w:val="0"/>
          <w:bCs/>
          <w:i/>
          <w:iCs/>
        </w:rPr>
      </w:pPr>
      <w:r w:rsidRPr="00EC59FE">
        <w:rPr>
          <w:rStyle w:val="Koteret"/>
          <w:b w:val="0"/>
          <w:bCs/>
          <w:i/>
          <w:iCs/>
        </w:rPr>
        <w:t>In thousands of Euros</w:t>
      </w:r>
    </w:p>
    <w:tbl>
      <w:tblPr>
        <w:tblW w:w="16049" w:type="dxa"/>
        <w:tblInd w:w="-740" w:type="dxa"/>
        <w:tblLayout w:type="fixed"/>
        <w:tblLook w:val="06E0" w:firstRow="1" w:lastRow="1" w:firstColumn="1" w:lastColumn="0" w:noHBand="1" w:noVBand="1"/>
        <w:tblCaption w:val="AHR02"/>
        <w:tblDescription w:val="Currency risk&#10;"/>
      </w:tblPr>
      <w:tblGrid>
        <w:gridCol w:w="1957"/>
        <w:gridCol w:w="1099"/>
        <w:gridCol w:w="822"/>
        <w:gridCol w:w="823"/>
        <w:gridCol w:w="686"/>
        <w:gridCol w:w="824"/>
        <w:gridCol w:w="823"/>
        <w:gridCol w:w="865"/>
        <w:gridCol w:w="1063"/>
        <w:gridCol w:w="992"/>
        <w:gridCol w:w="933"/>
        <w:gridCol w:w="824"/>
        <w:gridCol w:w="687"/>
        <w:gridCol w:w="962"/>
        <w:gridCol w:w="775"/>
        <w:gridCol w:w="857"/>
        <w:gridCol w:w="1057"/>
      </w:tblGrid>
      <w:tr w:rsidR="005101BC" w:rsidRPr="00EC59FE" w14:paraId="360E0995" w14:textId="77777777" w:rsidTr="005101BC">
        <w:trPr>
          <w:cantSplit/>
          <w:trHeight w:val="80"/>
          <w:tblHeader/>
        </w:trPr>
        <w:tc>
          <w:tcPr>
            <w:tcW w:w="1957" w:type="dxa"/>
            <w:vMerge w:val="restart"/>
            <w:shd w:val="clear" w:color="auto" w:fill="auto"/>
            <w:noWrap/>
            <w:vAlign w:val="bottom"/>
            <w:hideMark/>
          </w:tcPr>
          <w:p w14:paraId="41C3A1FA" w14:textId="77777777" w:rsidR="005101BC" w:rsidRPr="00EC59FE" w:rsidRDefault="005101BC">
            <w:pPr>
              <w:spacing w:before="40"/>
              <w:rPr>
                <w:rFonts w:ascii="Arial" w:eastAsia="Arial" w:hAnsi="Arial" w:cs="Arial"/>
                <w:sz w:val="20"/>
              </w:rPr>
            </w:pPr>
            <w:bookmarkStart w:id="201" w:name="Title_54" w:colFirst="0" w:colLast="0"/>
          </w:p>
        </w:tc>
        <w:tc>
          <w:tcPr>
            <w:tcW w:w="1099" w:type="dxa"/>
            <w:shd w:val="clear" w:color="auto" w:fill="auto"/>
            <w:vAlign w:val="bottom"/>
            <w:hideMark/>
          </w:tcPr>
          <w:p w14:paraId="0929CA24" w14:textId="77777777" w:rsidR="005101BC" w:rsidRPr="00E43187" w:rsidRDefault="005101BC">
            <w:pPr>
              <w:pBdr>
                <w:bottom w:val="single" w:sz="4" w:space="0" w:color="000000"/>
              </w:pBdr>
              <w:spacing w:before="40"/>
              <w:jc w:val="right"/>
              <w:rPr>
                <w:b/>
                <w:bCs/>
                <w:sz w:val="18"/>
                <w:szCs w:val="18"/>
              </w:rPr>
            </w:pPr>
            <w:r w:rsidRPr="00E43187">
              <w:rPr>
                <w:b/>
                <w:bCs/>
                <w:color w:val="000000"/>
                <w:sz w:val="18"/>
                <w:szCs w:val="18"/>
              </w:rPr>
              <w:t>Euro</w:t>
            </w:r>
          </w:p>
        </w:tc>
        <w:tc>
          <w:tcPr>
            <w:tcW w:w="822" w:type="dxa"/>
            <w:shd w:val="clear" w:color="auto" w:fill="auto"/>
            <w:vAlign w:val="bottom"/>
            <w:hideMark/>
          </w:tcPr>
          <w:p w14:paraId="233C8426" w14:textId="77777777" w:rsidR="005101BC" w:rsidRPr="00E43187" w:rsidRDefault="005101BC">
            <w:pPr>
              <w:pBdr>
                <w:bottom w:val="single" w:sz="4" w:space="0" w:color="000000"/>
              </w:pBdr>
              <w:spacing w:before="40"/>
              <w:jc w:val="right"/>
              <w:rPr>
                <w:b/>
                <w:bCs/>
                <w:sz w:val="18"/>
                <w:szCs w:val="18"/>
              </w:rPr>
            </w:pPr>
            <w:r w:rsidRPr="00E43187">
              <w:rPr>
                <w:b/>
                <w:bCs/>
                <w:color w:val="000000"/>
                <w:sz w:val="18"/>
                <w:szCs w:val="18"/>
              </w:rPr>
              <w:t>CZK</w:t>
            </w:r>
          </w:p>
        </w:tc>
        <w:tc>
          <w:tcPr>
            <w:tcW w:w="823" w:type="dxa"/>
            <w:shd w:val="clear" w:color="auto" w:fill="auto"/>
            <w:vAlign w:val="bottom"/>
            <w:hideMark/>
          </w:tcPr>
          <w:p w14:paraId="63A65AB4" w14:textId="77777777" w:rsidR="005101BC" w:rsidRPr="00E43187" w:rsidRDefault="005101BC">
            <w:pPr>
              <w:pBdr>
                <w:bottom w:val="single" w:sz="4" w:space="0" w:color="000000"/>
              </w:pBdr>
              <w:spacing w:before="40"/>
              <w:jc w:val="right"/>
              <w:rPr>
                <w:b/>
                <w:bCs/>
                <w:sz w:val="18"/>
                <w:szCs w:val="18"/>
              </w:rPr>
            </w:pPr>
            <w:r w:rsidRPr="00E43187">
              <w:rPr>
                <w:b/>
                <w:bCs/>
                <w:color w:val="000000"/>
                <w:sz w:val="18"/>
                <w:szCs w:val="18"/>
              </w:rPr>
              <w:t>PLN</w:t>
            </w:r>
          </w:p>
        </w:tc>
        <w:tc>
          <w:tcPr>
            <w:tcW w:w="686" w:type="dxa"/>
            <w:shd w:val="clear" w:color="auto" w:fill="auto"/>
            <w:vAlign w:val="bottom"/>
            <w:hideMark/>
          </w:tcPr>
          <w:p w14:paraId="7FF28E5E" w14:textId="77777777" w:rsidR="005101BC" w:rsidRPr="00E43187" w:rsidRDefault="005101BC">
            <w:pPr>
              <w:pBdr>
                <w:bottom w:val="single" w:sz="4" w:space="0" w:color="000000"/>
              </w:pBdr>
              <w:spacing w:before="40"/>
              <w:jc w:val="right"/>
              <w:rPr>
                <w:b/>
                <w:bCs/>
                <w:sz w:val="18"/>
                <w:szCs w:val="18"/>
              </w:rPr>
            </w:pPr>
            <w:r w:rsidRPr="00E43187">
              <w:rPr>
                <w:b/>
                <w:bCs/>
                <w:color w:val="000000"/>
                <w:sz w:val="18"/>
                <w:szCs w:val="18"/>
              </w:rPr>
              <w:t>BGN</w:t>
            </w:r>
          </w:p>
        </w:tc>
        <w:tc>
          <w:tcPr>
            <w:tcW w:w="824" w:type="dxa"/>
            <w:shd w:val="clear" w:color="auto" w:fill="auto"/>
            <w:vAlign w:val="bottom"/>
            <w:hideMark/>
          </w:tcPr>
          <w:p w14:paraId="174CAA55" w14:textId="77777777" w:rsidR="005101BC" w:rsidRPr="00E43187" w:rsidRDefault="005101BC">
            <w:pPr>
              <w:pBdr>
                <w:bottom w:val="single" w:sz="4" w:space="0" w:color="000000"/>
              </w:pBdr>
              <w:spacing w:before="40"/>
              <w:jc w:val="right"/>
              <w:rPr>
                <w:b/>
                <w:bCs/>
                <w:sz w:val="18"/>
                <w:szCs w:val="18"/>
              </w:rPr>
            </w:pPr>
            <w:r w:rsidRPr="00E43187">
              <w:rPr>
                <w:b/>
                <w:bCs/>
                <w:color w:val="000000"/>
                <w:sz w:val="18"/>
                <w:szCs w:val="18"/>
              </w:rPr>
              <w:t>RON</w:t>
            </w:r>
          </w:p>
        </w:tc>
        <w:tc>
          <w:tcPr>
            <w:tcW w:w="823" w:type="dxa"/>
            <w:shd w:val="clear" w:color="auto" w:fill="auto"/>
            <w:vAlign w:val="bottom"/>
            <w:hideMark/>
          </w:tcPr>
          <w:p w14:paraId="732F2DDB" w14:textId="77777777" w:rsidR="005101BC" w:rsidRPr="00E43187" w:rsidRDefault="005101BC">
            <w:pPr>
              <w:pBdr>
                <w:bottom w:val="single" w:sz="4" w:space="0" w:color="000000"/>
              </w:pBdr>
              <w:spacing w:before="40"/>
              <w:jc w:val="right"/>
              <w:rPr>
                <w:b/>
                <w:bCs/>
                <w:sz w:val="18"/>
                <w:szCs w:val="18"/>
              </w:rPr>
            </w:pPr>
            <w:r w:rsidRPr="00E43187">
              <w:rPr>
                <w:b/>
                <w:bCs/>
                <w:color w:val="000000"/>
                <w:sz w:val="18"/>
                <w:szCs w:val="18"/>
              </w:rPr>
              <w:t>CSD</w:t>
            </w:r>
          </w:p>
        </w:tc>
        <w:tc>
          <w:tcPr>
            <w:tcW w:w="865" w:type="dxa"/>
            <w:shd w:val="clear" w:color="auto" w:fill="auto"/>
            <w:vAlign w:val="bottom"/>
            <w:hideMark/>
          </w:tcPr>
          <w:p w14:paraId="73FF267D" w14:textId="77777777" w:rsidR="005101BC" w:rsidRPr="00E43187" w:rsidRDefault="005101BC">
            <w:pPr>
              <w:pBdr>
                <w:bottom w:val="single" w:sz="4" w:space="0" w:color="000000"/>
              </w:pBdr>
              <w:spacing w:before="40"/>
              <w:jc w:val="right"/>
              <w:rPr>
                <w:b/>
                <w:bCs/>
                <w:sz w:val="18"/>
                <w:szCs w:val="18"/>
              </w:rPr>
            </w:pPr>
            <w:r w:rsidRPr="00E43187">
              <w:rPr>
                <w:b/>
                <w:bCs/>
                <w:color w:val="000000"/>
                <w:sz w:val="18"/>
                <w:szCs w:val="18"/>
              </w:rPr>
              <w:t>Others</w:t>
            </w:r>
          </w:p>
        </w:tc>
        <w:tc>
          <w:tcPr>
            <w:tcW w:w="1063" w:type="dxa"/>
            <w:shd w:val="clear" w:color="auto" w:fill="auto"/>
            <w:vAlign w:val="bottom"/>
            <w:hideMark/>
          </w:tcPr>
          <w:p w14:paraId="1E747409" w14:textId="77777777" w:rsidR="005101BC" w:rsidRPr="00E43187" w:rsidRDefault="005101BC">
            <w:pPr>
              <w:pBdr>
                <w:bottom w:val="single" w:sz="4" w:space="0" w:color="000000"/>
              </w:pBdr>
              <w:spacing w:before="40"/>
              <w:jc w:val="right"/>
              <w:rPr>
                <w:b/>
                <w:bCs/>
                <w:sz w:val="18"/>
                <w:szCs w:val="18"/>
              </w:rPr>
            </w:pPr>
            <w:r w:rsidRPr="00E43187">
              <w:rPr>
                <w:b/>
                <w:bCs/>
                <w:color w:val="000000"/>
                <w:sz w:val="18"/>
                <w:szCs w:val="18"/>
              </w:rPr>
              <w:t>Total</w:t>
            </w:r>
          </w:p>
        </w:tc>
        <w:tc>
          <w:tcPr>
            <w:tcW w:w="992" w:type="dxa"/>
            <w:shd w:val="clear" w:color="auto" w:fill="auto"/>
            <w:vAlign w:val="bottom"/>
            <w:hideMark/>
          </w:tcPr>
          <w:p w14:paraId="74944306" w14:textId="77777777" w:rsidR="005101BC" w:rsidRPr="00EC59FE" w:rsidRDefault="005101BC">
            <w:pPr>
              <w:pBdr>
                <w:bottom w:val="single" w:sz="4" w:space="0" w:color="000000"/>
              </w:pBdr>
              <w:spacing w:before="40"/>
              <w:jc w:val="right"/>
              <w:rPr>
                <w:b/>
                <w:bCs/>
                <w:sz w:val="18"/>
                <w:szCs w:val="18"/>
              </w:rPr>
            </w:pPr>
            <w:r w:rsidRPr="00EC59FE">
              <w:rPr>
                <w:b/>
                <w:bCs/>
                <w:color w:val="000000"/>
                <w:sz w:val="18"/>
                <w:szCs w:val="18"/>
              </w:rPr>
              <w:t>Euro</w:t>
            </w:r>
          </w:p>
        </w:tc>
        <w:tc>
          <w:tcPr>
            <w:tcW w:w="933" w:type="dxa"/>
            <w:shd w:val="clear" w:color="auto" w:fill="auto"/>
            <w:vAlign w:val="bottom"/>
            <w:hideMark/>
          </w:tcPr>
          <w:p w14:paraId="76DC4180" w14:textId="77777777" w:rsidR="005101BC" w:rsidRPr="00EC59FE" w:rsidRDefault="005101BC">
            <w:pPr>
              <w:pBdr>
                <w:bottom w:val="single" w:sz="4" w:space="0" w:color="000000"/>
              </w:pBdr>
              <w:spacing w:before="40"/>
              <w:jc w:val="right"/>
              <w:rPr>
                <w:b/>
                <w:bCs/>
                <w:sz w:val="18"/>
                <w:szCs w:val="18"/>
              </w:rPr>
            </w:pPr>
            <w:r w:rsidRPr="00EC59FE">
              <w:rPr>
                <w:b/>
                <w:bCs/>
                <w:color w:val="000000"/>
                <w:sz w:val="18"/>
                <w:szCs w:val="18"/>
              </w:rPr>
              <w:t>CZK</w:t>
            </w:r>
          </w:p>
        </w:tc>
        <w:tc>
          <w:tcPr>
            <w:tcW w:w="824" w:type="dxa"/>
            <w:shd w:val="clear" w:color="auto" w:fill="auto"/>
            <w:vAlign w:val="bottom"/>
            <w:hideMark/>
          </w:tcPr>
          <w:p w14:paraId="7AC9C34F" w14:textId="77777777" w:rsidR="005101BC" w:rsidRPr="00EC59FE" w:rsidRDefault="005101BC">
            <w:pPr>
              <w:pBdr>
                <w:bottom w:val="single" w:sz="4" w:space="0" w:color="000000"/>
              </w:pBdr>
              <w:spacing w:before="40"/>
              <w:jc w:val="right"/>
              <w:rPr>
                <w:b/>
                <w:bCs/>
                <w:sz w:val="18"/>
                <w:szCs w:val="18"/>
              </w:rPr>
            </w:pPr>
            <w:r w:rsidRPr="00EC59FE">
              <w:rPr>
                <w:b/>
                <w:bCs/>
                <w:color w:val="000000"/>
                <w:sz w:val="18"/>
                <w:szCs w:val="18"/>
              </w:rPr>
              <w:t>PLN</w:t>
            </w:r>
          </w:p>
        </w:tc>
        <w:tc>
          <w:tcPr>
            <w:tcW w:w="687" w:type="dxa"/>
            <w:shd w:val="clear" w:color="auto" w:fill="auto"/>
            <w:vAlign w:val="bottom"/>
            <w:hideMark/>
          </w:tcPr>
          <w:p w14:paraId="295698A0" w14:textId="77777777" w:rsidR="005101BC" w:rsidRPr="00EC59FE" w:rsidRDefault="005101BC">
            <w:pPr>
              <w:pBdr>
                <w:bottom w:val="single" w:sz="4" w:space="0" w:color="000000"/>
              </w:pBdr>
              <w:spacing w:before="40"/>
              <w:jc w:val="right"/>
              <w:rPr>
                <w:b/>
                <w:bCs/>
                <w:sz w:val="18"/>
                <w:szCs w:val="18"/>
              </w:rPr>
            </w:pPr>
            <w:r w:rsidRPr="00EC59FE">
              <w:rPr>
                <w:b/>
                <w:bCs/>
                <w:color w:val="000000"/>
                <w:sz w:val="18"/>
                <w:szCs w:val="18"/>
              </w:rPr>
              <w:t>BGN</w:t>
            </w:r>
          </w:p>
        </w:tc>
        <w:tc>
          <w:tcPr>
            <w:tcW w:w="962" w:type="dxa"/>
            <w:shd w:val="clear" w:color="auto" w:fill="auto"/>
            <w:vAlign w:val="bottom"/>
            <w:hideMark/>
          </w:tcPr>
          <w:p w14:paraId="7A29ED64" w14:textId="77777777" w:rsidR="005101BC" w:rsidRPr="00EC59FE" w:rsidRDefault="005101BC">
            <w:pPr>
              <w:pBdr>
                <w:bottom w:val="single" w:sz="4" w:space="0" w:color="000000"/>
              </w:pBdr>
              <w:spacing w:before="40"/>
              <w:jc w:val="right"/>
              <w:rPr>
                <w:b/>
                <w:bCs/>
                <w:sz w:val="18"/>
                <w:szCs w:val="18"/>
              </w:rPr>
            </w:pPr>
            <w:r w:rsidRPr="00EC59FE">
              <w:rPr>
                <w:b/>
                <w:bCs/>
                <w:color w:val="000000"/>
                <w:sz w:val="18"/>
                <w:szCs w:val="18"/>
              </w:rPr>
              <w:t>RON</w:t>
            </w:r>
          </w:p>
        </w:tc>
        <w:tc>
          <w:tcPr>
            <w:tcW w:w="775" w:type="dxa"/>
            <w:shd w:val="clear" w:color="auto" w:fill="auto"/>
            <w:vAlign w:val="bottom"/>
            <w:hideMark/>
          </w:tcPr>
          <w:p w14:paraId="3585092B" w14:textId="77777777" w:rsidR="005101BC" w:rsidRPr="00EC59FE" w:rsidRDefault="005101BC">
            <w:pPr>
              <w:pBdr>
                <w:bottom w:val="single" w:sz="4" w:space="0" w:color="000000"/>
              </w:pBdr>
              <w:spacing w:before="40"/>
              <w:jc w:val="right"/>
              <w:rPr>
                <w:b/>
                <w:bCs/>
                <w:sz w:val="18"/>
                <w:szCs w:val="18"/>
              </w:rPr>
            </w:pPr>
            <w:r w:rsidRPr="00EC59FE">
              <w:rPr>
                <w:b/>
                <w:bCs/>
                <w:color w:val="000000"/>
                <w:sz w:val="18"/>
                <w:szCs w:val="18"/>
              </w:rPr>
              <w:t>CSD</w:t>
            </w:r>
          </w:p>
        </w:tc>
        <w:tc>
          <w:tcPr>
            <w:tcW w:w="857" w:type="dxa"/>
            <w:shd w:val="clear" w:color="auto" w:fill="auto"/>
            <w:vAlign w:val="bottom"/>
            <w:hideMark/>
          </w:tcPr>
          <w:p w14:paraId="4BBD8991" w14:textId="77777777" w:rsidR="005101BC" w:rsidRPr="00EC59FE" w:rsidRDefault="005101BC">
            <w:pPr>
              <w:pBdr>
                <w:bottom w:val="single" w:sz="4" w:space="0" w:color="000000"/>
              </w:pBdr>
              <w:spacing w:before="40"/>
              <w:jc w:val="right"/>
              <w:rPr>
                <w:b/>
                <w:bCs/>
                <w:sz w:val="18"/>
                <w:szCs w:val="18"/>
              </w:rPr>
            </w:pPr>
            <w:r w:rsidRPr="00EC59FE">
              <w:rPr>
                <w:b/>
                <w:bCs/>
                <w:color w:val="000000"/>
                <w:sz w:val="18"/>
                <w:szCs w:val="18"/>
              </w:rPr>
              <w:t>Others</w:t>
            </w:r>
          </w:p>
        </w:tc>
        <w:tc>
          <w:tcPr>
            <w:tcW w:w="1057" w:type="dxa"/>
            <w:shd w:val="clear" w:color="auto" w:fill="auto"/>
            <w:vAlign w:val="bottom"/>
            <w:hideMark/>
          </w:tcPr>
          <w:p w14:paraId="41535C70" w14:textId="77777777" w:rsidR="005101BC" w:rsidRPr="00EC59FE" w:rsidRDefault="005101BC">
            <w:pPr>
              <w:pBdr>
                <w:bottom w:val="single" w:sz="4" w:space="0" w:color="000000"/>
              </w:pBdr>
              <w:spacing w:before="40"/>
              <w:jc w:val="right"/>
              <w:rPr>
                <w:b/>
                <w:bCs/>
                <w:sz w:val="18"/>
                <w:szCs w:val="18"/>
              </w:rPr>
            </w:pPr>
            <w:r w:rsidRPr="00EC59FE">
              <w:rPr>
                <w:b/>
                <w:bCs/>
                <w:color w:val="000000"/>
                <w:sz w:val="18"/>
                <w:szCs w:val="18"/>
              </w:rPr>
              <w:t>Total</w:t>
            </w:r>
          </w:p>
        </w:tc>
      </w:tr>
      <w:bookmarkEnd w:id="201"/>
      <w:tr w:rsidR="005101BC" w:rsidRPr="00AE7300" w14:paraId="708EF58E" w14:textId="77777777" w:rsidTr="005101BC">
        <w:trPr>
          <w:cantSplit/>
          <w:trHeight w:val="272"/>
          <w:tblHeader/>
        </w:trPr>
        <w:tc>
          <w:tcPr>
            <w:tcW w:w="1957" w:type="dxa"/>
            <w:vMerge/>
            <w:shd w:val="clear" w:color="auto" w:fill="auto"/>
            <w:noWrap/>
            <w:vAlign w:val="bottom"/>
            <w:hideMark/>
          </w:tcPr>
          <w:p w14:paraId="53926B40" w14:textId="77777777" w:rsidR="005101BC" w:rsidRPr="00EC59FE" w:rsidRDefault="005101BC" w:rsidP="0086460A">
            <w:pPr>
              <w:spacing w:before="40"/>
              <w:rPr>
                <w:rFonts w:ascii="Arial" w:eastAsia="Arial" w:hAnsi="Arial" w:cs="Arial"/>
                <w:sz w:val="20"/>
              </w:rPr>
            </w:pPr>
          </w:p>
        </w:tc>
        <w:tc>
          <w:tcPr>
            <w:tcW w:w="7005" w:type="dxa"/>
            <w:gridSpan w:val="8"/>
            <w:shd w:val="clear" w:color="auto" w:fill="auto"/>
            <w:vAlign w:val="bottom"/>
            <w:hideMark/>
          </w:tcPr>
          <w:p w14:paraId="33295316" w14:textId="4E8D1D12" w:rsidR="005101BC" w:rsidRPr="00E43187" w:rsidRDefault="005101BC" w:rsidP="00AD1E41">
            <w:pPr>
              <w:pBdr>
                <w:bottom w:val="single" w:sz="4" w:space="0" w:color="000000"/>
              </w:pBdr>
              <w:bidi/>
              <w:spacing w:before="40"/>
              <w:ind w:left="57"/>
              <w:jc w:val="center"/>
              <w:rPr>
                <w:b/>
                <w:bCs/>
                <w:sz w:val="18"/>
                <w:szCs w:val="18"/>
              </w:rPr>
            </w:pPr>
            <w:r w:rsidRPr="00E43187">
              <w:rPr>
                <w:b/>
                <w:bCs/>
                <w:color w:val="000000"/>
                <w:sz w:val="18"/>
                <w:szCs w:val="18"/>
              </w:rPr>
              <w:t>December 31, 202</w:t>
            </w:r>
            <w:r w:rsidRPr="00E43187">
              <w:rPr>
                <w:b/>
                <w:bCs/>
                <w:sz w:val="18"/>
                <w:szCs w:val="18"/>
              </w:rPr>
              <w:t>4</w:t>
            </w:r>
          </w:p>
        </w:tc>
        <w:tc>
          <w:tcPr>
            <w:tcW w:w="7087" w:type="dxa"/>
            <w:gridSpan w:val="8"/>
            <w:shd w:val="clear" w:color="auto" w:fill="auto"/>
            <w:vAlign w:val="bottom"/>
            <w:hideMark/>
          </w:tcPr>
          <w:p w14:paraId="53654EDA" w14:textId="3EC364A2" w:rsidR="005101BC" w:rsidRPr="00C5462B" w:rsidRDefault="005101BC" w:rsidP="00AD1E41">
            <w:pPr>
              <w:pBdr>
                <w:bottom w:val="single" w:sz="4" w:space="0" w:color="000000"/>
              </w:pBdr>
              <w:bidi/>
              <w:spacing w:before="40"/>
              <w:ind w:left="57"/>
              <w:jc w:val="center"/>
              <w:rPr>
                <w:b/>
                <w:bCs/>
                <w:sz w:val="18"/>
                <w:szCs w:val="18"/>
                <w:lang w:bidi="he-IL"/>
              </w:rPr>
            </w:pPr>
            <w:r w:rsidRPr="00EC59FE">
              <w:rPr>
                <w:b/>
                <w:bCs/>
                <w:color w:val="000000"/>
                <w:sz w:val="18"/>
                <w:szCs w:val="18"/>
              </w:rPr>
              <w:t>December 31, 202</w:t>
            </w:r>
            <w:r w:rsidRPr="00EC59FE">
              <w:rPr>
                <w:b/>
                <w:bCs/>
                <w:sz w:val="18"/>
                <w:szCs w:val="18"/>
                <w:lang w:bidi="he-IL"/>
              </w:rPr>
              <w:t>3</w:t>
            </w:r>
          </w:p>
        </w:tc>
      </w:tr>
      <w:tr w:rsidR="009C5CD1" w:rsidRPr="00AE7300" w14:paraId="2271B842" w14:textId="77777777" w:rsidTr="005101BC">
        <w:trPr>
          <w:trHeight w:val="272"/>
        </w:trPr>
        <w:tc>
          <w:tcPr>
            <w:tcW w:w="1957" w:type="dxa"/>
            <w:shd w:val="clear" w:color="auto" w:fill="auto"/>
            <w:vAlign w:val="bottom"/>
            <w:hideMark/>
          </w:tcPr>
          <w:p w14:paraId="376F4C29" w14:textId="77777777" w:rsidR="009C5CD1" w:rsidRPr="00AE7300" w:rsidRDefault="009C5CD1" w:rsidP="009C5CD1">
            <w:pPr>
              <w:spacing w:before="40"/>
              <w:rPr>
                <w:sz w:val="20"/>
              </w:rPr>
            </w:pPr>
            <w:r w:rsidRPr="00AE7300">
              <w:rPr>
                <w:color w:val="000000"/>
                <w:sz w:val="20"/>
              </w:rPr>
              <w:t>Loans to investee</w:t>
            </w:r>
            <w:r>
              <w:rPr>
                <w:color w:val="000000"/>
                <w:sz w:val="20"/>
              </w:rPr>
              <w:t xml:space="preserve"> </w:t>
            </w:r>
            <w:r w:rsidRPr="00AE7300">
              <w:rPr>
                <w:color w:val="000000"/>
                <w:sz w:val="20"/>
              </w:rPr>
              <w:t>company</w:t>
            </w:r>
          </w:p>
        </w:tc>
        <w:tc>
          <w:tcPr>
            <w:tcW w:w="1099" w:type="dxa"/>
            <w:shd w:val="clear" w:color="auto" w:fill="auto"/>
            <w:noWrap/>
            <w:vAlign w:val="bottom"/>
          </w:tcPr>
          <w:p w14:paraId="43C9993C" w14:textId="0A7F47E3" w:rsidR="009C5CD1" w:rsidRPr="009C5CD1" w:rsidRDefault="009C5CD1" w:rsidP="009C5CD1">
            <w:pPr>
              <w:spacing w:before="40"/>
              <w:jc w:val="right"/>
              <w:rPr>
                <w:rFonts w:asciiTheme="majorBidi" w:hAnsiTheme="majorBidi" w:cstheme="majorBidi"/>
                <w:b/>
                <w:bCs/>
                <w:sz w:val="16"/>
                <w:szCs w:val="16"/>
                <w:lang w:bidi="he-IL"/>
              </w:rPr>
            </w:pPr>
            <w:r w:rsidRPr="00E43187">
              <w:rPr>
                <w:sz w:val="16"/>
                <w:szCs w:val="16"/>
              </w:rPr>
              <w:t>-</w:t>
            </w:r>
          </w:p>
        </w:tc>
        <w:tc>
          <w:tcPr>
            <w:tcW w:w="822" w:type="dxa"/>
            <w:shd w:val="clear" w:color="auto" w:fill="auto"/>
            <w:noWrap/>
            <w:vAlign w:val="bottom"/>
          </w:tcPr>
          <w:p w14:paraId="2808728F" w14:textId="16968148" w:rsidR="009C5CD1" w:rsidRPr="009C5CD1" w:rsidRDefault="009C5CD1" w:rsidP="009C5CD1">
            <w:pPr>
              <w:spacing w:before="40"/>
              <w:jc w:val="right"/>
              <w:rPr>
                <w:rFonts w:asciiTheme="majorBidi" w:hAnsiTheme="majorBidi" w:cstheme="majorBidi"/>
                <w:b/>
                <w:bCs/>
                <w:sz w:val="16"/>
                <w:szCs w:val="16"/>
              </w:rPr>
            </w:pPr>
            <w:r w:rsidRPr="00E43187">
              <w:rPr>
                <w:sz w:val="16"/>
                <w:szCs w:val="16"/>
              </w:rPr>
              <w:t>-</w:t>
            </w:r>
          </w:p>
        </w:tc>
        <w:tc>
          <w:tcPr>
            <w:tcW w:w="823" w:type="dxa"/>
            <w:shd w:val="clear" w:color="auto" w:fill="auto"/>
            <w:noWrap/>
            <w:vAlign w:val="bottom"/>
          </w:tcPr>
          <w:p w14:paraId="671F90AB" w14:textId="0775CC99" w:rsidR="009C5CD1" w:rsidRPr="009C5CD1" w:rsidRDefault="009C5CD1" w:rsidP="009C5CD1">
            <w:pPr>
              <w:spacing w:before="40"/>
              <w:jc w:val="right"/>
              <w:rPr>
                <w:rFonts w:asciiTheme="majorBidi" w:hAnsiTheme="majorBidi" w:cstheme="majorBidi"/>
                <w:b/>
                <w:bCs/>
                <w:sz w:val="16"/>
                <w:szCs w:val="16"/>
              </w:rPr>
            </w:pPr>
            <w:r w:rsidRPr="00E43187">
              <w:rPr>
                <w:sz w:val="16"/>
                <w:szCs w:val="16"/>
              </w:rPr>
              <w:t>16,213</w:t>
            </w:r>
          </w:p>
        </w:tc>
        <w:tc>
          <w:tcPr>
            <w:tcW w:w="686" w:type="dxa"/>
            <w:shd w:val="clear" w:color="auto" w:fill="auto"/>
            <w:noWrap/>
            <w:vAlign w:val="bottom"/>
          </w:tcPr>
          <w:p w14:paraId="40FDDD38" w14:textId="46508D85" w:rsidR="009C5CD1" w:rsidRPr="009C5CD1" w:rsidRDefault="009C5CD1" w:rsidP="009C5CD1">
            <w:pPr>
              <w:spacing w:before="40"/>
              <w:jc w:val="right"/>
              <w:rPr>
                <w:rFonts w:asciiTheme="majorBidi" w:hAnsiTheme="majorBidi" w:cstheme="majorBidi"/>
                <w:b/>
                <w:bCs/>
                <w:sz w:val="16"/>
                <w:szCs w:val="16"/>
              </w:rPr>
            </w:pPr>
            <w:r w:rsidRPr="00E43187">
              <w:rPr>
                <w:sz w:val="16"/>
                <w:szCs w:val="16"/>
              </w:rPr>
              <w:t>-</w:t>
            </w:r>
          </w:p>
        </w:tc>
        <w:tc>
          <w:tcPr>
            <w:tcW w:w="824" w:type="dxa"/>
            <w:shd w:val="clear" w:color="auto" w:fill="auto"/>
            <w:noWrap/>
            <w:vAlign w:val="bottom"/>
          </w:tcPr>
          <w:p w14:paraId="661C72CD" w14:textId="3498A67B" w:rsidR="009C5CD1" w:rsidRPr="009C5CD1" w:rsidRDefault="009C5CD1" w:rsidP="009C5CD1">
            <w:pPr>
              <w:spacing w:before="40"/>
              <w:jc w:val="right"/>
              <w:rPr>
                <w:rFonts w:asciiTheme="majorBidi" w:hAnsiTheme="majorBidi" w:cstheme="majorBidi"/>
                <w:b/>
                <w:bCs/>
                <w:sz w:val="16"/>
                <w:szCs w:val="16"/>
              </w:rPr>
            </w:pPr>
            <w:r w:rsidRPr="00E43187">
              <w:rPr>
                <w:sz w:val="16"/>
                <w:szCs w:val="16"/>
              </w:rPr>
              <w:t>-</w:t>
            </w:r>
          </w:p>
        </w:tc>
        <w:tc>
          <w:tcPr>
            <w:tcW w:w="823" w:type="dxa"/>
            <w:shd w:val="clear" w:color="auto" w:fill="auto"/>
            <w:noWrap/>
            <w:vAlign w:val="bottom"/>
          </w:tcPr>
          <w:p w14:paraId="6C6D0AEC" w14:textId="6F26CBEC" w:rsidR="009C5CD1" w:rsidRPr="009C5CD1" w:rsidRDefault="009C5CD1" w:rsidP="009C5CD1">
            <w:pPr>
              <w:spacing w:before="40"/>
              <w:jc w:val="right"/>
              <w:rPr>
                <w:rFonts w:asciiTheme="majorBidi" w:hAnsiTheme="majorBidi" w:cstheme="majorBidi"/>
                <w:b/>
                <w:bCs/>
                <w:sz w:val="16"/>
                <w:szCs w:val="16"/>
              </w:rPr>
            </w:pPr>
            <w:r w:rsidRPr="00E43187">
              <w:rPr>
                <w:sz w:val="16"/>
                <w:szCs w:val="16"/>
              </w:rPr>
              <w:t>-</w:t>
            </w:r>
          </w:p>
        </w:tc>
        <w:tc>
          <w:tcPr>
            <w:tcW w:w="865" w:type="dxa"/>
            <w:shd w:val="clear" w:color="auto" w:fill="auto"/>
            <w:noWrap/>
            <w:vAlign w:val="bottom"/>
          </w:tcPr>
          <w:p w14:paraId="2E48E184" w14:textId="0715FE40" w:rsidR="009C5CD1" w:rsidRPr="009C5CD1" w:rsidRDefault="009C5CD1" w:rsidP="009C5CD1">
            <w:pPr>
              <w:spacing w:before="40"/>
              <w:jc w:val="right"/>
              <w:rPr>
                <w:rFonts w:asciiTheme="majorBidi" w:hAnsiTheme="majorBidi" w:cstheme="majorBidi"/>
                <w:b/>
                <w:bCs/>
                <w:sz w:val="16"/>
                <w:szCs w:val="16"/>
              </w:rPr>
            </w:pPr>
            <w:r w:rsidRPr="00E43187">
              <w:rPr>
                <w:sz w:val="16"/>
                <w:szCs w:val="16"/>
              </w:rPr>
              <w:t>-</w:t>
            </w:r>
          </w:p>
        </w:tc>
        <w:tc>
          <w:tcPr>
            <w:tcW w:w="1063" w:type="dxa"/>
            <w:shd w:val="clear" w:color="auto" w:fill="auto"/>
            <w:noWrap/>
            <w:vAlign w:val="bottom"/>
          </w:tcPr>
          <w:p w14:paraId="3D006071" w14:textId="0F7B2795" w:rsidR="009C5CD1" w:rsidRPr="009C5CD1" w:rsidRDefault="009C5CD1" w:rsidP="009C5CD1">
            <w:pPr>
              <w:spacing w:before="40"/>
              <w:jc w:val="right"/>
              <w:rPr>
                <w:rFonts w:asciiTheme="majorBidi" w:hAnsiTheme="majorBidi" w:cstheme="majorBidi"/>
                <w:b/>
                <w:bCs/>
                <w:sz w:val="16"/>
                <w:szCs w:val="16"/>
                <w:lang w:bidi="he-IL"/>
              </w:rPr>
            </w:pPr>
            <w:r w:rsidRPr="00E43187">
              <w:rPr>
                <w:sz w:val="16"/>
                <w:szCs w:val="16"/>
              </w:rPr>
              <w:t>16,213</w:t>
            </w:r>
          </w:p>
        </w:tc>
        <w:tc>
          <w:tcPr>
            <w:tcW w:w="992" w:type="dxa"/>
            <w:shd w:val="clear" w:color="auto" w:fill="auto"/>
            <w:noWrap/>
            <w:vAlign w:val="bottom"/>
          </w:tcPr>
          <w:p w14:paraId="5280A092" w14:textId="594784FC" w:rsidR="009C5CD1" w:rsidRPr="0037401B" w:rsidRDefault="009C5CD1" w:rsidP="009C5CD1">
            <w:pPr>
              <w:spacing w:before="40"/>
              <w:jc w:val="right"/>
              <w:rPr>
                <w:sz w:val="16"/>
                <w:szCs w:val="16"/>
              </w:rPr>
            </w:pPr>
            <w:r w:rsidRPr="007F589F">
              <w:rPr>
                <w:sz w:val="16"/>
                <w:szCs w:val="16"/>
              </w:rPr>
              <w:t xml:space="preserve">- </w:t>
            </w:r>
          </w:p>
        </w:tc>
        <w:tc>
          <w:tcPr>
            <w:tcW w:w="933" w:type="dxa"/>
            <w:shd w:val="clear" w:color="auto" w:fill="auto"/>
            <w:noWrap/>
            <w:vAlign w:val="bottom"/>
          </w:tcPr>
          <w:p w14:paraId="2B9CF2DB" w14:textId="6227EBF8" w:rsidR="009C5CD1" w:rsidRPr="0037401B" w:rsidRDefault="009C5CD1" w:rsidP="009C5CD1">
            <w:pPr>
              <w:spacing w:before="40"/>
              <w:jc w:val="right"/>
              <w:rPr>
                <w:sz w:val="16"/>
                <w:szCs w:val="16"/>
              </w:rPr>
            </w:pPr>
            <w:r w:rsidRPr="007F589F">
              <w:rPr>
                <w:sz w:val="16"/>
                <w:szCs w:val="16"/>
              </w:rPr>
              <w:t xml:space="preserve">- </w:t>
            </w:r>
          </w:p>
        </w:tc>
        <w:tc>
          <w:tcPr>
            <w:tcW w:w="824" w:type="dxa"/>
            <w:shd w:val="clear" w:color="auto" w:fill="auto"/>
            <w:noWrap/>
            <w:vAlign w:val="bottom"/>
          </w:tcPr>
          <w:p w14:paraId="3F1D9207" w14:textId="4C30681E" w:rsidR="009C5CD1" w:rsidRPr="0037401B" w:rsidRDefault="009C5CD1" w:rsidP="009C5CD1">
            <w:pPr>
              <w:spacing w:before="40"/>
              <w:jc w:val="right"/>
              <w:rPr>
                <w:sz w:val="16"/>
                <w:szCs w:val="16"/>
              </w:rPr>
            </w:pPr>
            <w:r w:rsidRPr="007F589F">
              <w:rPr>
                <w:sz w:val="16"/>
                <w:szCs w:val="16"/>
              </w:rPr>
              <w:t xml:space="preserve">11,998 </w:t>
            </w:r>
          </w:p>
        </w:tc>
        <w:tc>
          <w:tcPr>
            <w:tcW w:w="687" w:type="dxa"/>
            <w:shd w:val="clear" w:color="auto" w:fill="auto"/>
            <w:noWrap/>
            <w:vAlign w:val="bottom"/>
          </w:tcPr>
          <w:p w14:paraId="6C77E18B" w14:textId="2D15C464" w:rsidR="009C5CD1" w:rsidRPr="0037401B" w:rsidRDefault="009C5CD1" w:rsidP="009C5CD1">
            <w:pPr>
              <w:spacing w:before="40"/>
              <w:jc w:val="right"/>
              <w:rPr>
                <w:sz w:val="16"/>
                <w:szCs w:val="16"/>
              </w:rPr>
            </w:pPr>
            <w:r w:rsidRPr="007F589F">
              <w:rPr>
                <w:sz w:val="16"/>
                <w:szCs w:val="16"/>
              </w:rPr>
              <w:t xml:space="preserve">- </w:t>
            </w:r>
          </w:p>
        </w:tc>
        <w:tc>
          <w:tcPr>
            <w:tcW w:w="962" w:type="dxa"/>
            <w:shd w:val="clear" w:color="auto" w:fill="auto"/>
            <w:noWrap/>
            <w:vAlign w:val="bottom"/>
          </w:tcPr>
          <w:p w14:paraId="4E148AE1" w14:textId="469FC93F" w:rsidR="009C5CD1" w:rsidRPr="0037401B" w:rsidRDefault="009C5CD1" w:rsidP="009C5CD1">
            <w:pPr>
              <w:spacing w:before="40"/>
              <w:jc w:val="right"/>
              <w:rPr>
                <w:sz w:val="16"/>
                <w:szCs w:val="16"/>
              </w:rPr>
            </w:pPr>
            <w:r w:rsidRPr="007F589F">
              <w:rPr>
                <w:sz w:val="16"/>
                <w:szCs w:val="16"/>
              </w:rPr>
              <w:t xml:space="preserve">- </w:t>
            </w:r>
          </w:p>
        </w:tc>
        <w:tc>
          <w:tcPr>
            <w:tcW w:w="775" w:type="dxa"/>
            <w:shd w:val="clear" w:color="auto" w:fill="auto"/>
            <w:noWrap/>
            <w:vAlign w:val="bottom"/>
          </w:tcPr>
          <w:p w14:paraId="0520BD79" w14:textId="223CEE13" w:rsidR="009C5CD1" w:rsidRPr="0037401B" w:rsidRDefault="009C5CD1" w:rsidP="009C5CD1">
            <w:pPr>
              <w:spacing w:before="40"/>
              <w:jc w:val="right"/>
              <w:rPr>
                <w:sz w:val="16"/>
                <w:szCs w:val="16"/>
              </w:rPr>
            </w:pPr>
            <w:r w:rsidRPr="007F589F">
              <w:rPr>
                <w:sz w:val="16"/>
                <w:szCs w:val="16"/>
              </w:rPr>
              <w:t xml:space="preserve">- </w:t>
            </w:r>
          </w:p>
        </w:tc>
        <w:tc>
          <w:tcPr>
            <w:tcW w:w="857" w:type="dxa"/>
            <w:shd w:val="clear" w:color="auto" w:fill="auto"/>
            <w:noWrap/>
            <w:vAlign w:val="bottom"/>
          </w:tcPr>
          <w:p w14:paraId="5411755E" w14:textId="2EFC0A91" w:rsidR="009C5CD1" w:rsidRPr="0037401B" w:rsidRDefault="009C5CD1" w:rsidP="009C5CD1">
            <w:pPr>
              <w:spacing w:before="40"/>
              <w:jc w:val="right"/>
              <w:rPr>
                <w:sz w:val="16"/>
                <w:szCs w:val="16"/>
              </w:rPr>
            </w:pPr>
            <w:r w:rsidRPr="007F589F">
              <w:rPr>
                <w:sz w:val="16"/>
                <w:szCs w:val="16"/>
              </w:rPr>
              <w:t xml:space="preserve">- </w:t>
            </w:r>
          </w:p>
        </w:tc>
        <w:tc>
          <w:tcPr>
            <w:tcW w:w="1057" w:type="dxa"/>
            <w:shd w:val="clear" w:color="auto" w:fill="auto"/>
            <w:noWrap/>
            <w:vAlign w:val="bottom"/>
          </w:tcPr>
          <w:p w14:paraId="3CD069A5" w14:textId="02731FB8" w:rsidR="009C5CD1" w:rsidRPr="0037401B" w:rsidRDefault="009C5CD1" w:rsidP="009C5CD1">
            <w:pPr>
              <w:spacing w:before="40"/>
              <w:jc w:val="right"/>
              <w:rPr>
                <w:sz w:val="16"/>
                <w:szCs w:val="16"/>
              </w:rPr>
            </w:pPr>
            <w:r w:rsidRPr="007F589F">
              <w:rPr>
                <w:sz w:val="16"/>
                <w:szCs w:val="16"/>
              </w:rPr>
              <w:t xml:space="preserve">11,998 </w:t>
            </w:r>
          </w:p>
        </w:tc>
      </w:tr>
      <w:tr w:rsidR="009C5CD1" w:rsidRPr="00AE7300" w14:paraId="611B8CFE" w14:textId="77777777" w:rsidTr="005101BC">
        <w:trPr>
          <w:trHeight w:val="272"/>
        </w:trPr>
        <w:tc>
          <w:tcPr>
            <w:tcW w:w="1957" w:type="dxa"/>
            <w:shd w:val="clear" w:color="auto" w:fill="auto"/>
            <w:vAlign w:val="bottom"/>
          </w:tcPr>
          <w:p w14:paraId="6F486B93" w14:textId="78FCDE03" w:rsidR="009C5CD1" w:rsidRPr="00CA69D4" w:rsidRDefault="009C5CD1" w:rsidP="009C5CD1">
            <w:pPr>
              <w:spacing w:before="40"/>
              <w:rPr>
                <w:color w:val="000000"/>
                <w:sz w:val="20"/>
              </w:rPr>
            </w:pPr>
            <w:r w:rsidRPr="00CA69D4">
              <w:rPr>
                <w:color w:val="000000"/>
                <w:sz w:val="20"/>
              </w:rPr>
              <w:t>Short term investment</w:t>
            </w:r>
          </w:p>
        </w:tc>
        <w:tc>
          <w:tcPr>
            <w:tcW w:w="1099" w:type="dxa"/>
            <w:shd w:val="clear" w:color="auto" w:fill="auto"/>
            <w:noWrap/>
            <w:vAlign w:val="bottom"/>
          </w:tcPr>
          <w:p w14:paraId="4853E2DC" w14:textId="57D9E52B" w:rsidR="009C5CD1" w:rsidRPr="009C5CD1" w:rsidRDefault="009C5CD1" w:rsidP="009C5CD1">
            <w:pPr>
              <w:spacing w:before="40"/>
              <w:jc w:val="right"/>
              <w:rPr>
                <w:rFonts w:asciiTheme="majorBidi" w:hAnsiTheme="majorBidi" w:cstheme="majorBidi"/>
                <w:b/>
                <w:bCs/>
                <w:sz w:val="16"/>
                <w:szCs w:val="16"/>
                <w:highlight w:val="yellow"/>
              </w:rPr>
            </w:pPr>
            <w:r w:rsidRPr="00E43187">
              <w:rPr>
                <w:sz w:val="16"/>
                <w:szCs w:val="16"/>
              </w:rPr>
              <w:t>15,336</w:t>
            </w:r>
          </w:p>
        </w:tc>
        <w:tc>
          <w:tcPr>
            <w:tcW w:w="822" w:type="dxa"/>
            <w:shd w:val="clear" w:color="auto" w:fill="auto"/>
            <w:noWrap/>
            <w:vAlign w:val="bottom"/>
          </w:tcPr>
          <w:p w14:paraId="5532F773" w14:textId="018B21FF" w:rsidR="009C5CD1" w:rsidRPr="009C5CD1" w:rsidRDefault="009C5CD1" w:rsidP="009C5CD1">
            <w:pPr>
              <w:spacing w:before="40"/>
              <w:jc w:val="right"/>
              <w:rPr>
                <w:rFonts w:asciiTheme="majorBidi" w:hAnsiTheme="majorBidi" w:cstheme="majorBidi"/>
                <w:b/>
                <w:bCs/>
                <w:sz w:val="16"/>
                <w:szCs w:val="16"/>
                <w:highlight w:val="yellow"/>
              </w:rPr>
            </w:pPr>
            <w:r w:rsidRPr="00E43187">
              <w:rPr>
                <w:sz w:val="16"/>
                <w:szCs w:val="16"/>
              </w:rPr>
              <w:t>2,406</w:t>
            </w:r>
          </w:p>
        </w:tc>
        <w:tc>
          <w:tcPr>
            <w:tcW w:w="823" w:type="dxa"/>
            <w:shd w:val="clear" w:color="auto" w:fill="auto"/>
            <w:noWrap/>
            <w:vAlign w:val="bottom"/>
          </w:tcPr>
          <w:p w14:paraId="1F4BD557" w14:textId="14CF98C7" w:rsidR="009C5CD1" w:rsidRPr="009C5CD1" w:rsidRDefault="009C5CD1" w:rsidP="009C5CD1">
            <w:pPr>
              <w:spacing w:before="40"/>
              <w:jc w:val="right"/>
              <w:rPr>
                <w:rFonts w:asciiTheme="majorBidi" w:hAnsiTheme="majorBidi" w:cstheme="majorBidi"/>
                <w:b/>
                <w:bCs/>
                <w:sz w:val="16"/>
                <w:szCs w:val="16"/>
                <w:highlight w:val="yellow"/>
              </w:rPr>
            </w:pPr>
            <w:r w:rsidRPr="00E43187">
              <w:rPr>
                <w:sz w:val="16"/>
                <w:szCs w:val="16"/>
              </w:rPr>
              <w:t>387</w:t>
            </w:r>
          </w:p>
        </w:tc>
        <w:tc>
          <w:tcPr>
            <w:tcW w:w="686" w:type="dxa"/>
            <w:shd w:val="clear" w:color="auto" w:fill="auto"/>
            <w:noWrap/>
            <w:vAlign w:val="bottom"/>
          </w:tcPr>
          <w:p w14:paraId="3B4426EC" w14:textId="4A940B9E" w:rsidR="009C5CD1" w:rsidRPr="009C5CD1" w:rsidRDefault="009C5CD1" w:rsidP="009C5CD1">
            <w:pPr>
              <w:spacing w:before="40"/>
              <w:jc w:val="right"/>
              <w:rPr>
                <w:rFonts w:asciiTheme="majorBidi" w:hAnsiTheme="majorBidi" w:cstheme="majorBidi"/>
                <w:b/>
                <w:bCs/>
                <w:sz w:val="16"/>
                <w:szCs w:val="16"/>
                <w:highlight w:val="yellow"/>
              </w:rPr>
            </w:pPr>
            <w:r w:rsidRPr="00E43187">
              <w:rPr>
                <w:sz w:val="16"/>
                <w:szCs w:val="16"/>
              </w:rPr>
              <w:t>-</w:t>
            </w:r>
          </w:p>
        </w:tc>
        <w:tc>
          <w:tcPr>
            <w:tcW w:w="824" w:type="dxa"/>
            <w:shd w:val="clear" w:color="auto" w:fill="auto"/>
            <w:noWrap/>
            <w:vAlign w:val="bottom"/>
          </w:tcPr>
          <w:p w14:paraId="40960E0A" w14:textId="75500658" w:rsidR="009C5CD1" w:rsidRPr="009C5CD1" w:rsidRDefault="009C5CD1" w:rsidP="009C5CD1">
            <w:pPr>
              <w:spacing w:before="40"/>
              <w:jc w:val="right"/>
              <w:rPr>
                <w:rFonts w:asciiTheme="majorBidi" w:hAnsiTheme="majorBidi" w:cstheme="majorBidi"/>
                <w:b/>
                <w:bCs/>
                <w:sz w:val="16"/>
                <w:szCs w:val="16"/>
                <w:highlight w:val="yellow"/>
              </w:rPr>
            </w:pPr>
            <w:r w:rsidRPr="00E43187">
              <w:rPr>
                <w:sz w:val="16"/>
                <w:szCs w:val="16"/>
              </w:rPr>
              <w:t>1,296</w:t>
            </w:r>
          </w:p>
        </w:tc>
        <w:tc>
          <w:tcPr>
            <w:tcW w:w="823" w:type="dxa"/>
            <w:shd w:val="clear" w:color="auto" w:fill="auto"/>
            <w:noWrap/>
            <w:vAlign w:val="bottom"/>
          </w:tcPr>
          <w:p w14:paraId="57A57B76" w14:textId="7E13F118" w:rsidR="009C5CD1" w:rsidRPr="009C5CD1" w:rsidRDefault="009C5CD1" w:rsidP="009C5CD1">
            <w:pPr>
              <w:spacing w:before="40"/>
              <w:jc w:val="right"/>
              <w:rPr>
                <w:rFonts w:asciiTheme="majorBidi" w:hAnsiTheme="majorBidi" w:cstheme="majorBidi"/>
                <w:b/>
                <w:bCs/>
                <w:sz w:val="16"/>
                <w:szCs w:val="16"/>
                <w:highlight w:val="yellow"/>
              </w:rPr>
            </w:pPr>
            <w:r w:rsidRPr="00E43187">
              <w:rPr>
                <w:sz w:val="16"/>
                <w:szCs w:val="16"/>
              </w:rPr>
              <w:t>525</w:t>
            </w:r>
          </w:p>
        </w:tc>
        <w:tc>
          <w:tcPr>
            <w:tcW w:w="865" w:type="dxa"/>
            <w:shd w:val="clear" w:color="auto" w:fill="auto"/>
            <w:noWrap/>
            <w:vAlign w:val="bottom"/>
          </w:tcPr>
          <w:p w14:paraId="027E31F1" w14:textId="6BB30809" w:rsidR="009C5CD1" w:rsidRPr="009C5CD1" w:rsidRDefault="009C5CD1" w:rsidP="009C5CD1">
            <w:pPr>
              <w:spacing w:before="40"/>
              <w:jc w:val="right"/>
              <w:rPr>
                <w:rFonts w:asciiTheme="majorBidi" w:hAnsiTheme="majorBidi" w:cstheme="majorBidi"/>
                <w:b/>
                <w:bCs/>
                <w:sz w:val="16"/>
                <w:szCs w:val="16"/>
                <w:highlight w:val="yellow"/>
              </w:rPr>
            </w:pPr>
            <w:r w:rsidRPr="00E43187">
              <w:rPr>
                <w:sz w:val="16"/>
                <w:szCs w:val="16"/>
              </w:rPr>
              <w:t>-</w:t>
            </w:r>
          </w:p>
        </w:tc>
        <w:tc>
          <w:tcPr>
            <w:tcW w:w="1063" w:type="dxa"/>
            <w:shd w:val="clear" w:color="auto" w:fill="auto"/>
            <w:noWrap/>
            <w:vAlign w:val="bottom"/>
          </w:tcPr>
          <w:p w14:paraId="3E4E9662" w14:textId="4124DD65" w:rsidR="009C5CD1" w:rsidRPr="009C5CD1" w:rsidRDefault="009C5CD1" w:rsidP="009C5CD1">
            <w:pPr>
              <w:spacing w:before="40"/>
              <w:jc w:val="right"/>
              <w:rPr>
                <w:rFonts w:asciiTheme="majorBidi" w:hAnsiTheme="majorBidi" w:cstheme="majorBidi"/>
                <w:b/>
                <w:bCs/>
                <w:sz w:val="16"/>
                <w:szCs w:val="16"/>
                <w:highlight w:val="yellow"/>
              </w:rPr>
            </w:pPr>
            <w:r w:rsidRPr="00E43187">
              <w:rPr>
                <w:sz w:val="16"/>
                <w:szCs w:val="16"/>
              </w:rPr>
              <w:t>19,950</w:t>
            </w:r>
          </w:p>
        </w:tc>
        <w:tc>
          <w:tcPr>
            <w:tcW w:w="992" w:type="dxa"/>
            <w:shd w:val="clear" w:color="auto" w:fill="auto"/>
            <w:noWrap/>
            <w:vAlign w:val="bottom"/>
          </w:tcPr>
          <w:p w14:paraId="67EC1168" w14:textId="000E4D54" w:rsidR="009C5CD1" w:rsidRPr="0037401B" w:rsidRDefault="009C5CD1" w:rsidP="009C5CD1">
            <w:pPr>
              <w:spacing w:before="40"/>
              <w:jc w:val="right"/>
              <w:rPr>
                <w:color w:val="000000"/>
                <w:sz w:val="16"/>
                <w:szCs w:val="16"/>
              </w:rPr>
            </w:pPr>
            <w:r w:rsidRPr="007F589F">
              <w:rPr>
                <w:sz w:val="16"/>
                <w:szCs w:val="16"/>
              </w:rPr>
              <w:t xml:space="preserve">11,383 </w:t>
            </w:r>
          </w:p>
        </w:tc>
        <w:tc>
          <w:tcPr>
            <w:tcW w:w="933" w:type="dxa"/>
            <w:shd w:val="clear" w:color="auto" w:fill="auto"/>
            <w:noWrap/>
            <w:vAlign w:val="bottom"/>
          </w:tcPr>
          <w:p w14:paraId="6664B186" w14:textId="3F82D083" w:rsidR="009C5CD1" w:rsidRPr="0037401B" w:rsidRDefault="009C5CD1" w:rsidP="009C5CD1">
            <w:pPr>
              <w:spacing w:before="40"/>
              <w:jc w:val="right"/>
              <w:rPr>
                <w:color w:val="000000"/>
                <w:sz w:val="16"/>
                <w:szCs w:val="16"/>
              </w:rPr>
            </w:pPr>
            <w:r w:rsidRPr="007F589F">
              <w:rPr>
                <w:sz w:val="16"/>
                <w:szCs w:val="16"/>
              </w:rPr>
              <w:t xml:space="preserve">1,560 </w:t>
            </w:r>
          </w:p>
        </w:tc>
        <w:tc>
          <w:tcPr>
            <w:tcW w:w="824" w:type="dxa"/>
            <w:shd w:val="clear" w:color="auto" w:fill="auto"/>
            <w:noWrap/>
            <w:vAlign w:val="bottom"/>
          </w:tcPr>
          <w:p w14:paraId="3FFB4D5A" w14:textId="662152C8" w:rsidR="009C5CD1" w:rsidRPr="0037401B" w:rsidRDefault="009C5CD1" w:rsidP="009C5CD1">
            <w:pPr>
              <w:spacing w:before="40"/>
              <w:jc w:val="right"/>
              <w:rPr>
                <w:color w:val="000000"/>
                <w:sz w:val="16"/>
                <w:szCs w:val="16"/>
              </w:rPr>
            </w:pPr>
            <w:r w:rsidRPr="007F589F">
              <w:rPr>
                <w:sz w:val="16"/>
                <w:szCs w:val="16"/>
              </w:rPr>
              <w:t xml:space="preserve">151 </w:t>
            </w:r>
          </w:p>
        </w:tc>
        <w:tc>
          <w:tcPr>
            <w:tcW w:w="687" w:type="dxa"/>
            <w:shd w:val="clear" w:color="auto" w:fill="auto"/>
            <w:noWrap/>
            <w:vAlign w:val="bottom"/>
          </w:tcPr>
          <w:p w14:paraId="26D35036" w14:textId="5072F8EF" w:rsidR="009C5CD1" w:rsidRPr="0037401B" w:rsidRDefault="009C5CD1" w:rsidP="009C5CD1">
            <w:pPr>
              <w:spacing w:before="40"/>
              <w:jc w:val="right"/>
              <w:rPr>
                <w:color w:val="000000"/>
                <w:sz w:val="16"/>
                <w:szCs w:val="16"/>
              </w:rPr>
            </w:pPr>
            <w:r w:rsidRPr="007F589F">
              <w:rPr>
                <w:sz w:val="16"/>
                <w:szCs w:val="16"/>
              </w:rPr>
              <w:t xml:space="preserve">958 </w:t>
            </w:r>
          </w:p>
        </w:tc>
        <w:tc>
          <w:tcPr>
            <w:tcW w:w="962" w:type="dxa"/>
            <w:shd w:val="clear" w:color="auto" w:fill="auto"/>
            <w:noWrap/>
            <w:vAlign w:val="bottom"/>
          </w:tcPr>
          <w:p w14:paraId="13B8EB48" w14:textId="46C63871" w:rsidR="009C5CD1" w:rsidRPr="0037401B" w:rsidRDefault="009C5CD1" w:rsidP="009C5CD1">
            <w:pPr>
              <w:spacing w:before="40"/>
              <w:jc w:val="right"/>
              <w:rPr>
                <w:color w:val="000000"/>
                <w:sz w:val="16"/>
                <w:szCs w:val="16"/>
              </w:rPr>
            </w:pPr>
            <w:r w:rsidRPr="007F589F">
              <w:rPr>
                <w:sz w:val="16"/>
                <w:szCs w:val="16"/>
              </w:rPr>
              <w:t xml:space="preserve">1,456 </w:t>
            </w:r>
          </w:p>
        </w:tc>
        <w:tc>
          <w:tcPr>
            <w:tcW w:w="775" w:type="dxa"/>
            <w:shd w:val="clear" w:color="auto" w:fill="auto"/>
            <w:noWrap/>
            <w:vAlign w:val="bottom"/>
          </w:tcPr>
          <w:p w14:paraId="3826DD75" w14:textId="1065CB1E" w:rsidR="009C5CD1" w:rsidRPr="0037401B" w:rsidRDefault="009C5CD1" w:rsidP="009C5CD1">
            <w:pPr>
              <w:spacing w:before="40"/>
              <w:jc w:val="right"/>
              <w:rPr>
                <w:color w:val="000000"/>
                <w:sz w:val="16"/>
                <w:szCs w:val="16"/>
              </w:rPr>
            </w:pPr>
            <w:r w:rsidRPr="007F589F">
              <w:rPr>
                <w:sz w:val="16"/>
                <w:szCs w:val="16"/>
              </w:rPr>
              <w:t xml:space="preserve">1,676 </w:t>
            </w:r>
          </w:p>
        </w:tc>
        <w:tc>
          <w:tcPr>
            <w:tcW w:w="857" w:type="dxa"/>
            <w:shd w:val="clear" w:color="auto" w:fill="auto"/>
            <w:noWrap/>
            <w:vAlign w:val="bottom"/>
          </w:tcPr>
          <w:p w14:paraId="460AA31A" w14:textId="7A4C9923" w:rsidR="009C5CD1" w:rsidRPr="0037401B" w:rsidRDefault="009C5CD1" w:rsidP="009C5CD1">
            <w:pPr>
              <w:spacing w:before="40"/>
              <w:jc w:val="right"/>
              <w:rPr>
                <w:color w:val="000000"/>
                <w:sz w:val="16"/>
                <w:szCs w:val="16"/>
              </w:rPr>
            </w:pPr>
            <w:r w:rsidRPr="007F589F">
              <w:rPr>
                <w:sz w:val="16"/>
                <w:szCs w:val="16"/>
              </w:rPr>
              <w:t xml:space="preserve">- </w:t>
            </w:r>
          </w:p>
        </w:tc>
        <w:tc>
          <w:tcPr>
            <w:tcW w:w="1057" w:type="dxa"/>
            <w:shd w:val="clear" w:color="auto" w:fill="auto"/>
            <w:noWrap/>
            <w:vAlign w:val="bottom"/>
          </w:tcPr>
          <w:p w14:paraId="211FEEDE" w14:textId="60264FCE" w:rsidR="009C5CD1" w:rsidRPr="0037401B" w:rsidRDefault="009C5CD1" w:rsidP="009C5CD1">
            <w:pPr>
              <w:spacing w:before="40"/>
              <w:jc w:val="right"/>
              <w:rPr>
                <w:color w:val="000000"/>
                <w:sz w:val="16"/>
                <w:szCs w:val="16"/>
              </w:rPr>
            </w:pPr>
            <w:r w:rsidRPr="007F589F">
              <w:rPr>
                <w:sz w:val="16"/>
                <w:szCs w:val="16"/>
              </w:rPr>
              <w:t xml:space="preserve">17,184 </w:t>
            </w:r>
          </w:p>
        </w:tc>
      </w:tr>
      <w:tr w:rsidR="009C5CD1" w:rsidRPr="00AE7300" w14:paraId="3E4C73FB" w14:textId="77777777" w:rsidTr="005101BC">
        <w:trPr>
          <w:trHeight w:val="272"/>
        </w:trPr>
        <w:tc>
          <w:tcPr>
            <w:tcW w:w="1957" w:type="dxa"/>
            <w:shd w:val="clear" w:color="auto" w:fill="auto"/>
            <w:vAlign w:val="bottom"/>
            <w:hideMark/>
          </w:tcPr>
          <w:p w14:paraId="7FB6833B" w14:textId="77777777" w:rsidR="009C5CD1" w:rsidRPr="00CA69D4" w:rsidRDefault="009C5CD1" w:rsidP="009C5CD1">
            <w:pPr>
              <w:spacing w:before="40"/>
              <w:rPr>
                <w:sz w:val="20"/>
              </w:rPr>
            </w:pPr>
            <w:r w:rsidRPr="00CA69D4">
              <w:rPr>
                <w:color w:val="000000"/>
                <w:sz w:val="20"/>
              </w:rPr>
              <w:t>Trade receivables</w:t>
            </w:r>
          </w:p>
        </w:tc>
        <w:tc>
          <w:tcPr>
            <w:tcW w:w="1099" w:type="dxa"/>
            <w:shd w:val="clear" w:color="auto" w:fill="auto"/>
            <w:noWrap/>
            <w:vAlign w:val="bottom"/>
          </w:tcPr>
          <w:p w14:paraId="17D564AC" w14:textId="5E2CC8CA" w:rsidR="009C5CD1" w:rsidRPr="009C5CD1" w:rsidRDefault="009C5CD1" w:rsidP="009C5CD1">
            <w:pPr>
              <w:spacing w:before="40"/>
              <w:jc w:val="right"/>
              <w:rPr>
                <w:rFonts w:asciiTheme="majorBidi" w:hAnsiTheme="majorBidi" w:cstheme="majorBidi"/>
                <w:b/>
                <w:bCs/>
                <w:sz w:val="16"/>
                <w:szCs w:val="16"/>
                <w:highlight w:val="yellow"/>
              </w:rPr>
            </w:pPr>
            <w:r w:rsidRPr="00E43187">
              <w:rPr>
                <w:sz w:val="16"/>
                <w:szCs w:val="16"/>
              </w:rPr>
              <w:t>48,220</w:t>
            </w:r>
          </w:p>
        </w:tc>
        <w:tc>
          <w:tcPr>
            <w:tcW w:w="822" w:type="dxa"/>
            <w:shd w:val="clear" w:color="auto" w:fill="auto"/>
            <w:noWrap/>
            <w:vAlign w:val="bottom"/>
          </w:tcPr>
          <w:p w14:paraId="7083E63C" w14:textId="1B04F20B" w:rsidR="009C5CD1" w:rsidRPr="009C5CD1" w:rsidRDefault="009C5CD1" w:rsidP="009C5CD1">
            <w:pPr>
              <w:spacing w:before="40"/>
              <w:jc w:val="right"/>
              <w:rPr>
                <w:rFonts w:asciiTheme="majorBidi" w:hAnsiTheme="majorBidi" w:cstheme="majorBidi"/>
                <w:b/>
                <w:bCs/>
                <w:sz w:val="16"/>
                <w:szCs w:val="16"/>
                <w:highlight w:val="yellow"/>
              </w:rPr>
            </w:pPr>
            <w:r w:rsidRPr="00E43187">
              <w:rPr>
                <w:sz w:val="16"/>
                <w:szCs w:val="16"/>
              </w:rPr>
              <w:t>6,688</w:t>
            </w:r>
          </w:p>
        </w:tc>
        <w:tc>
          <w:tcPr>
            <w:tcW w:w="823" w:type="dxa"/>
            <w:shd w:val="clear" w:color="auto" w:fill="auto"/>
            <w:noWrap/>
            <w:vAlign w:val="bottom"/>
          </w:tcPr>
          <w:p w14:paraId="0F247E24" w14:textId="7D9E390A" w:rsidR="009C5CD1" w:rsidRPr="009C5CD1" w:rsidRDefault="009C5CD1" w:rsidP="009C5CD1">
            <w:pPr>
              <w:spacing w:before="40"/>
              <w:jc w:val="right"/>
              <w:rPr>
                <w:rFonts w:asciiTheme="majorBidi" w:hAnsiTheme="majorBidi" w:cstheme="majorBidi"/>
                <w:b/>
                <w:bCs/>
                <w:sz w:val="16"/>
                <w:szCs w:val="16"/>
                <w:highlight w:val="yellow"/>
              </w:rPr>
            </w:pPr>
            <w:r w:rsidRPr="00E43187">
              <w:rPr>
                <w:sz w:val="16"/>
                <w:szCs w:val="16"/>
              </w:rPr>
              <w:t>6,785</w:t>
            </w:r>
          </w:p>
        </w:tc>
        <w:tc>
          <w:tcPr>
            <w:tcW w:w="686" w:type="dxa"/>
            <w:shd w:val="clear" w:color="auto" w:fill="auto"/>
            <w:noWrap/>
            <w:vAlign w:val="bottom"/>
          </w:tcPr>
          <w:p w14:paraId="0607E5C0" w14:textId="0B08B09E" w:rsidR="009C5CD1" w:rsidRPr="009C5CD1" w:rsidRDefault="009C5CD1" w:rsidP="009C5CD1">
            <w:pPr>
              <w:spacing w:before="40"/>
              <w:jc w:val="right"/>
              <w:rPr>
                <w:rFonts w:asciiTheme="majorBidi" w:hAnsiTheme="majorBidi" w:cstheme="majorBidi"/>
                <w:b/>
                <w:bCs/>
                <w:sz w:val="16"/>
                <w:szCs w:val="16"/>
                <w:highlight w:val="yellow"/>
              </w:rPr>
            </w:pPr>
            <w:r w:rsidRPr="00E43187">
              <w:rPr>
                <w:sz w:val="16"/>
                <w:szCs w:val="16"/>
              </w:rPr>
              <w:t>4,195</w:t>
            </w:r>
          </w:p>
        </w:tc>
        <w:tc>
          <w:tcPr>
            <w:tcW w:w="824" w:type="dxa"/>
            <w:shd w:val="clear" w:color="auto" w:fill="auto"/>
            <w:noWrap/>
            <w:vAlign w:val="bottom"/>
          </w:tcPr>
          <w:p w14:paraId="7805B2D7" w14:textId="434D3D31" w:rsidR="009C5CD1" w:rsidRPr="009C5CD1" w:rsidRDefault="009C5CD1" w:rsidP="009C5CD1">
            <w:pPr>
              <w:spacing w:before="40"/>
              <w:jc w:val="right"/>
              <w:rPr>
                <w:rFonts w:asciiTheme="majorBidi" w:hAnsiTheme="majorBidi" w:cstheme="majorBidi"/>
                <w:b/>
                <w:bCs/>
                <w:sz w:val="16"/>
                <w:szCs w:val="16"/>
                <w:highlight w:val="yellow"/>
              </w:rPr>
            </w:pPr>
            <w:r w:rsidRPr="00E43187">
              <w:rPr>
                <w:sz w:val="16"/>
                <w:szCs w:val="16"/>
              </w:rPr>
              <w:t>28,120</w:t>
            </w:r>
          </w:p>
        </w:tc>
        <w:tc>
          <w:tcPr>
            <w:tcW w:w="823" w:type="dxa"/>
            <w:shd w:val="clear" w:color="auto" w:fill="auto"/>
            <w:noWrap/>
            <w:vAlign w:val="bottom"/>
          </w:tcPr>
          <w:p w14:paraId="0DAAD5E0" w14:textId="507AC23E" w:rsidR="009C5CD1" w:rsidRPr="009C5CD1" w:rsidRDefault="009C5CD1" w:rsidP="009C5CD1">
            <w:pPr>
              <w:spacing w:before="40"/>
              <w:jc w:val="right"/>
              <w:rPr>
                <w:rFonts w:asciiTheme="majorBidi" w:hAnsiTheme="majorBidi" w:cstheme="majorBidi"/>
                <w:b/>
                <w:bCs/>
                <w:sz w:val="16"/>
                <w:szCs w:val="16"/>
                <w:highlight w:val="yellow"/>
              </w:rPr>
            </w:pPr>
            <w:r w:rsidRPr="00E43187">
              <w:rPr>
                <w:sz w:val="16"/>
                <w:szCs w:val="16"/>
              </w:rPr>
              <w:t>8,754</w:t>
            </w:r>
          </w:p>
        </w:tc>
        <w:tc>
          <w:tcPr>
            <w:tcW w:w="865" w:type="dxa"/>
            <w:shd w:val="clear" w:color="auto" w:fill="auto"/>
            <w:noWrap/>
            <w:vAlign w:val="bottom"/>
          </w:tcPr>
          <w:p w14:paraId="6DDB97E9" w14:textId="4BC97F91" w:rsidR="009C5CD1" w:rsidRPr="009C5CD1" w:rsidRDefault="009C5CD1" w:rsidP="009C5CD1">
            <w:pPr>
              <w:spacing w:before="40"/>
              <w:jc w:val="right"/>
              <w:rPr>
                <w:rFonts w:asciiTheme="majorBidi" w:hAnsiTheme="majorBidi" w:cstheme="majorBidi"/>
                <w:b/>
                <w:bCs/>
                <w:sz w:val="16"/>
                <w:szCs w:val="16"/>
                <w:highlight w:val="yellow"/>
              </w:rPr>
            </w:pPr>
            <w:r w:rsidRPr="00E43187">
              <w:rPr>
                <w:sz w:val="16"/>
                <w:szCs w:val="16"/>
              </w:rPr>
              <w:t>29</w:t>
            </w:r>
          </w:p>
        </w:tc>
        <w:tc>
          <w:tcPr>
            <w:tcW w:w="1063" w:type="dxa"/>
            <w:shd w:val="clear" w:color="auto" w:fill="auto"/>
            <w:noWrap/>
            <w:vAlign w:val="bottom"/>
          </w:tcPr>
          <w:p w14:paraId="1C5FC5ED" w14:textId="202117CA" w:rsidR="009C5CD1" w:rsidRPr="009C5CD1" w:rsidRDefault="009C5CD1" w:rsidP="009C5CD1">
            <w:pPr>
              <w:spacing w:before="40"/>
              <w:jc w:val="right"/>
              <w:rPr>
                <w:rFonts w:asciiTheme="majorBidi" w:hAnsiTheme="majorBidi" w:cstheme="majorBidi"/>
                <w:b/>
                <w:bCs/>
                <w:sz w:val="16"/>
                <w:szCs w:val="16"/>
                <w:highlight w:val="yellow"/>
              </w:rPr>
            </w:pPr>
            <w:r w:rsidRPr="00E43187">
              <w:rPr>
                <w:sz w:val="16"/>
                <w:szCs w:val="16"/>
              </w:rPr>
              <w:t>102,791</w:t>
            </w:r>
          </w:p>
        </w:tc>
        <w:tc>
          <w:tcPr>
            <w:tcW w:w="992" w:type="dxa"/>
            <w:shd w:val="clear" w:color="auto" w:fill="auto"/>
            <w:noWrap/>
            <w:vAlign w:val="bottom"/>
          </w:tcPr>
          <w:p w14:paraId="2138C760" w14:textId="2EEABB95" w:rsidR="009C5CD1" w:rsidRPr="0037401B" w:rsidRDefault="009C5CD1" w:rsidP="009C5CD1">
            <w:pPr>
              <w:spacing w:before="40"/>
              <w:jc w:val="right"/>
              <w:rPr>
                <w:color w:val="000000"/>
                <w:sz w:val="16"/>
                <w:szCs w:val="16"/>
              </w:rPr>
            </w:pPr>
            <w:r w:rsidRPr="007F589F">
              <w:rPr>
                <w:sz w:val="16"/>
                <w:szCs w:val="16"/>
              </w:rPr>
              <w:t xml:space="preserve">63,588 </w:t>
            </w:r>
          </w:p>
        </w:tc>
        <w:tc>
          <w:tcPr>
            <w:tcW w:w="933" w:type="dxa"/>
            <w:shd w:val="clear" w:color="auto" w:fill="auto"/>
            <w:noWrap/>
            <w:vAlign w:val="bottom"/>
          </w:tcPr>
          <w:p w14:paraId="1A458325" w14:textId="536E3105" w:rsidR="009C5CD1" w:rsidRPr="0037401B" w:rsidRDefault="009C5CD1" w:rsidP="009C5CD1">
            <w:pPr>
              <w:spacing w:before="40"/>
              <w:jc w:val="right"/>
              <w:rPr>
                <w:color w:val="000000"/>
                <w:sz w:val="16"/>
                <w:szCs w:val="16"/>
              </w:rPr>
            </w:pPr>
            <w:r w:rsidRPr="007F589F">
              <w:rPr>
                <w:sz w:val="16"/>
                <w:szCs w:val="16"/>
              </w:rPr>
              <w:t xml:space="preserve">15,224 </w:t>
            </w:r>
          </w:p>
        </w:tc>
        <w:tc>
          <w:tcPr>
            <w:tcW w:w="824" w:type="dxa"/>
            <w:shd w:val="clear" w:color="auto" w:fill="auto"/>
            <w:noWrap/>
            <w:vAlign w:val="bottom"/>
          </w:tcPr>
          <w:p w14:paraId="77C4F10A" w14:textId="5FF97BA1" w:rsidR="009C5CD1" w:rsidRPr="0037401B" w:rsidRDefault="009C5CD1" w:rsidP="009C5CD1">
            <w:pPr>
              <w:spacing w:before="40"/>
              <w:jc w:val="right"/>
              <w:rPr>
                <w:color w:val="000000"/>
                <w:sz w:val="16"/>
                <w:szCs w:val="16"/>
              </w:rPr>
            </w:pPr>
            <w:r w:rsidRPr="007F589F">
              <w:rPr>
                <w:sz w:val="16"/>
                <w:szCs w:val="16"/>
              </w:rPr>
              <w:t xml:space="preserve">74,476 </w:t>
            </w:r>
          </w:p>
        </w:tc>
        <w:tc>
          <w:tcPr>
            <w:tcW w:w="687" w:type="dxa"/>
            <w:shd w:val="clear" w:color="auto" w:fill="auto"/>
            <w:noWrap/>
            <w:vAlign w:val="bottom"/>
          </w:tcPr>
          <w:p w14:paraId="595FFB3A" w14:textId="48FAD7A5" w:rsidR="009C5CD1" w:rsidRPr="0037401B" w:rsidRDefault="009C5CD1" w:rsidP="009C5CD1">
            <w:pPr>
              <w:spacing w:before="40"/>
              <w:jc w:val="right"/>
              <w:rPr>
                <w:color w:val="000000"/>
                <w:sz w:val="16"/>
                <w:szCs w:val="16"/>
              </w:rPr>
            </w:pPr>
            <w:r w:rsidRPr="007F589F">
              <w:rPr>
                <w:sz w:val="16"/>
                <w:szCs w:val="16"/>
              </w:rPr>
              <w:t xml:space="preserve">14,009 </w:t>
            </w:r>
          </w:p>
        </w:tc>
        <w:tc>
          <w:tcPr>
            <w:tcW w:w="962" w:type="dxa"/>
            <w:shd w:val="clear" w:color="auto" w:fill="auto"/>
            <w:noWrap/>
            <w:vAlign w:val="bottom"/>
          </w:tcPr>
          <w:p w14:paraId="5235BDCE" w14:textId="7547E9A6" w:rsidR="009C5CD1" w:rsidRPr="0037401B" w:rsidRDefault="009C5CD1" w:rsidP="009C5CD1">
            <w:pPr>
              <w:spacing w:before="40"/>
              <w:jc w:val="right"/>
              <w:rPr>
                <w:color w:val="000000"/>
                <w:sz w:val="16"/>
                <w:szCs w:val="16"/>
              </w:rPr>
            </w:pPr>
            <w:r w:rsidRPr="007F589F">
              <w:rPr>
                <w:sz w:val="16"/>
                <w:szCs w:val="16"/>
              </w:rPr>
              <w:t xml:space="preserve">32,837 </w:t>
            </w:r>
          </w:p>
        </w:tc>
        <w:tc>
          <w:tcPr>
            <w:tcW w:w="775" w:type="dxa"/>
            <w:shd w:val="clear" w:color="auto" w:fill="auto"/>
            <w:noWrap/>
            <w:vAlign w:val="bottom"/>
          </w:tcPr>
          <w:p w14:paraId="72BF6A97" w14:textId="1747E476" w:rsidR="009C5CD1" w:rsidRPr="0037401B" w:rsidRDefault="009C5CD1" w:rsidP="009C5CD1">
            <w:pPr>
              <w:spacing w:before="40"/>
              <w:jc w:val="right"/>
              <w:rPr>
                <w:sz w:val="16"/>
                <w:szCs w:val="16"/>
              </w:rPr>
            </w:pPr>
            <w:r w:rsidRPr="007F589F">
              <w:rPr>
                <w:sz w:val="16"/>
                <w:szCs w:val="16"/>
              </w:rPr>
              <w:t xml:space="preserve">11,365 </w:t>
            </w:r>
          </w:p>
        </w:tc>
        <w:tc>
          <w:tcPr>
            <w:tcW w:w="857" w:type="dxa"/>
            <w:shd w:val="clear" w:color="auto" w:fill="auto"/>
            <w:noWrap/>
            <w:vAlign w:val="bottom"/>
          </w:tcPr>
          <w:p w14:paraId="34690C21" w14:textId="6FEE2EB2" w:rsidR="009C5CD1" w:rsidRPr="0037401B" w:rsidRDefault="009C5CD1" w:rsidP="009C5CD1">
            <w:pPr>
              <w:spacing w:before="40"/>
              <w:jc w:val="right"/>
              <w:rPr>
                <w:sz w:val="16"/>
                <w:szCs w:val="16"/>
              </w:rPr>
            </w:pPr>
            <w:r w:rsidRPr="007F589F">
              <w:rPr>
                <w:sz w:val="16"/>
                <w:szCs w:val="16"/>
              </w:rPr>
              <w:t xml:space="preserve">48 </w:t>
            </w:r>
          </w:p>
        </w:tc>
        <w:tc>
          <w:tcPr>
            <w:tcW w:w="1057" w:type="dxa"/>
            <w:shd w:val="clear" w:color="auto" w:fill="auto"/>
            <w:noWrap/>
            <w:vAlign w:val="bottom"/>
          </w:tcPr>
          <w:p w14:paraId="3D032FC5" w14:textId="679C15E1" w:rsidR="009C5CD1" w:rsidRPr="0037401B" w:rsidRDefault="009C5CD1" w:rsidP="009C5CD1">
            <w:pPr>
              <w:spacing w:before="40"/>
              <w:jc w:val="right"/>
              <w:rPr>
                <w:color w:val="000000"/>
                <w:sz w:val="16"/>
                <w:szCs w:val="16"/>
              </w:rPr>
            </w:pPr>
            <w:r w:rsidRPr="007F589F">
              <w:rPr>
                <w:sz w:val="16"/>
                <w:szCs w:val="16"/>
              </w:rPr>
              <w:t xml:space="preserve">211,547 </w:t>
            </w:r>
          </w:p>
        </w:tc>
      </w:tr>
      <w:tr w:rsidR="009C5CD1" w:rsidRPr="00AE7300" w14:paraId="54B00195" w14:textId="77777777" w:rsidTr="005101BC">
        <w:trPr>
          <w:trHeight w:val="272"/>
        </w:trPr>
        <w:tc>
          <w:tcPr>
            <w:tcW w:w="1957" w:type="dxa"/>
            <w:shd w:val="clear" w:color="auto" w:fill="auto"/>
            <w:vAlign w:val="bottom"/>
            <w:hideMark/>
          </w:tcPr>
          <w:p w14:paraId="160A2EBD" w14:textId="77777777" w:rsidR="009C5CD1" w:rsidRPr="00AE7300" w:rsidRDefault="009C5CD1" w:rsidP="009C5CD1">
            <w:pPr>
              <w:spacing w:before="40"/>
              <w:rPr>
                <w:sz w:val="20"/>
              </w:rPr>
            </w:pPr>
            <w:r w:rsidRPr="00AE7300">
              <w:rPr>
                <w:color w:val="000000"/>
                <w:sz w:val="20"/>
              </w:rPr>
              <w:t>Cash and cash equivalents</w:t>
            </w:r>
          </w:p>
        </w:tc>
        <w:tc>
          <w:tcPr>
            <w:tcW w:w="1099" w:type="dxa"/>
            <w:shd w:val="clear" w:color="auto" w:fill="auto"/>
            <w:noWrap/>
            <w:vAlign w:val="bottom"/>
          </w:tcPr>
          <w:p w14:paraId="1FAFD83C" w14:textId="2BC0CE66" w:rsidR="009C5CD1" w:rsidRPr="009C5CD1" w:rsidRDefault="009C5CD1" w:rsidP="009C5CD1">
            <w:pPr>
              <w:spacing w:before="40"/>
              <w:jc w:val="right"/>
              <w:rPr>
                <w:rFonts w:asciiTheme="majorBidi" w:hAnsiTheme="majorBidi" w:cstheme="majorBidi"/>
                <w:b/>
                <w:bCs/>
                <w:sz w:val="16"/>
                <w:szCs w:val="16"/>
                <w:highlight w:val="yellow"/>
              </w:rPr>
            </w:pPr>
            <w:r w:rsidRPr="00E43187">
              <w:rPr>
                <w:sz w:val="16"/>
                <w:szCs w:val="16"/>
              </w:rPr>
              <w:t>42,368</w:t>
            </w:r>
          </w:p>
        </w:tc>
        <w:tc>
          <w:tcPr>
            <w:tcW w:w="822" w:type="dxa"/>
            <w:shd w:val="clear" w:color="auto" w:fill="auto"/>
            <w:noWrap/>
            <w:vAlign w:val="bottom"/>
          </w:tcPr>
          <w:p w14:paraId="38074BE4" w14:textId="011A1259" w:rsidR="009C5CD1" w:rsidRPr="009C5CD1" w:rsidRDefault="009C5CD1" w:rsidP="009C5CD1">
            <w:pPr>
              <w:spacing w:before="40"/>
              <w:jc w:val="right"/>
              <w:rPr>
                <w:rFonts w:asciiTheme="majorBidi" w:hAnsiTheme="majorBidi" w:cstheme="majorBidi"/>
                <w:b/>
                <w:bCs/>
                <w:sz w:val="16"/>
                <w:szCs w:val="16"/>
                <w:highlight w:val="yellow"/>
              </w:rPr>
            </w:pPr>
            <w:r w:rsidRPr="00E43187">
              <w:rPr>
                <w:sz w:val="16"/>
                <w:szCs w:val="16"/>
              </w:rPr>
              <w:t>1,913</w:t>
            </w:r>
          </w:p>
        </w:tc>
        <w:tc>
          <w:tcPr>
            <w:tcW w:w="823" w:type="dxa"/>
            <w:shd w:val="clear" w:color="auto" w:fill="auto"/>
            <w:noWrap/>
            <w:vAlign w:val="bottom"/>
          </w:tcPr>
          <w:p w14:paraId="0AF7385B" w14:textId="5C239916" w:rsidR="009C5CD1" w:rsidRPr="009C5CD1" w:rsidRDefault="009C5CD1" w:rsidP="009C5CD1">
            <w:pPr>
              <w:spacing w:before="40"/>
              <w:jc w:val="right"/>
              <w:rPr>
                <w:rFonts w:asciiTheme="majorBidi" w:hAnsiTheme="majorBidi" w:cstheme="majorBidi"/>
                <w:b/>
                <w:bCs/>
                <w:sz w:val="16"/>
                <w:szCs w:val="16"/>
                <w:highlight w:val="yellow"/>
              </w:rPr>
            </w:pPr>
            <w:r w:rsidRPr="00E43187">
              <w:rPr>
                <w:sz w:val="16"/>
                <w:szCs w:val="16"/>
              </w:rPr>
              <w:t>15,384</w:t>
            </w:r>
          </w:p>
        </w:tc>
        <w:tc>
          <w:tcPr>
            <w:tcW w:w="686" w:type="dxa"/>
            <w:shd w:val="clear" w:color="auto" w:fill="auto"/>
            <w:noWrap/>
            <w:vAlign w:val="bottom"/>
          </w:tcPr>
          <w:p w14:paraId="4939BC52" w14:textId="1E3C3A5C" w:rsidR="009C5CD1" w:rsidRPr="009C5CD1" w:rsidRDefault="009C5CD1" w:rsidP="009C5CD1">
            <w:pPr>
              <w:spacing w:before="40"/>
              <w:jc w:val="right"/>
              <w:rPr>
                <w:rFonts w:asciiTheme="majorBidi" w:hAnsiTheme="majorBidi" w:cstheme="majorBidi"/>
                <w:b/>
                <w:bCs/>
                <w:sz w:val="16"/>
                <w:szCs w:val="16"/>
                <w:highlight w:val="yellow"/>
              </w:rPr>
            </w:pPr>
            <w:r w:rsidRPr="00E43187">
              <w:rPr>
                <w:sz w:val="16"/>
                <w:szCs w:val="16"/>
              </w:rPr>
              <w:t>2,515</w:t>
            </w:r>
          </w:p>
        </w:tc>
        <w:tc>
          <w:tcPr>
            <w:tcW w:w="824" w:type="dxa"/>
            <w:shd w:val="clear" w:color="auto" w:fill="auto"/>
            <w:noWrap/>
            <w:vAlign w:val="bottom"/>
          </w:tcPr>
          <w:p w14:paraId="46FA77A5" w14:textId="60EC6A34" w:rsidR="009C5CD1" w:rsidRPr="009C5CD1" w:rsidRDefault="009C5CD1" w:rsidP="009C5CD1">
            <w:pPr>
              <w:spacing w:before="40"/>
              <w:jc w:val="right"/>
              <w:rPr>
                <w:rFonts w:asciiTheme="majorBidi" w:hAnsiTheme="majorBidi" w:cstheme="majorBidi"/>
                <w:b/>
                <w:bCs/>
                <w:sz w:val="16"/>
                <w:szCs w:val="16"/>
                <w:highlight w:val="yellow"/>
              </w:rPr>
            </w:pPr>
            <w:r w:rsidRPr="00E43187">
              <w:rPr>
                <w:sz w:val="16"/>
                <w:szCs w:val="16"/>
              </w:rPr>
              <w:t>37,491</w:t>
            </w:r>
          </w:p>
        </w:tc>
        <w:tc>
          <w:tcPr>
            <w:tcW w:w="823" w:type="dxa"/>
            <w:shd w:val="clear" w:color="auto" w:fill="auto"/>
            <w:noWrap/>
            <w:vAlign w:val="bottom"/>
          </w:tcPr>
          <w:p w14:paraId="11CCD753" w14:textId="3B91293A" w:rsidR="009C5CD1" w:rsidRPr="009C5CD1" w:rsidRDefault="009C5CD1" w:rsidP="009C5CD1">
            <w:pPr>
              <w:spacing w:before="40"/>
              <w:jc w:val="right"/>
              <w:rPr>
                <w:rFonts w:asciiTheme="majorBidi" w:hAnsiTheme="majorBidi" w:cstheme="majorBidi"/>
                <w:b/>
                <w:bCs/>
                <w:sz w:val="16"/>
                <w:szCs w:val="16"/>
                <w:highlight w:val="yellow"/>
              </w:rPr>
            </w:pPr>
            <w:r w:rsidRPr="00E43187">
              <w:rPr>
                <w:sz w:val="16"/>
                <w:szCs w:val="16"/>
              </w:rPr>
              <w:t>4,382</w:t>
            </w:r>
          </w:p>
        </w:tc>
        <w:tc>
          <w:tcPr>
            <w:tcW w:w="865" w:type="dxa"/>
            <w:shd w:val="clear" w:color="auto" w:fill="auto"/>
            <w:noWrap/>
            <w:vAlign w:val="bottom"/>
          </w:tcPr>
          <w:p w14:paraId="7A6D5195" w14:textId="2BB74F94" w:rsidR="009C5CD1" w:rsidRPr="009C5CD1" w:rsidRDefault="009C5CD1" w:rsidP="009C5CD1">
            <w:pPr>
              <w:spacing w:before="40"/>
              <w:jc w:val="right"/>
              <w:rPr>
                <w:rFonts w:asciiTheme="majorBidi" w:hAnsiTheme="majorBidi" w:cstheme="majorBidi"/>
                <w:b/>
                <w:bCs/>
                <w:sz w:val="16"/>
                <w:szCs w:val="16"/>
                <w:highlight w:val="yellow"/>
              </w:rPr>
            </w:pPr>
            <w:r w:rsidRPr="00E43187">
              <w:rPr>
                <w:sz w:val="16"/>
                <w:szCs w:val="16"/>
              </w:rPr>
              <w:t>15</w:t>
            </w:r>
          </w:p>
        </w:tc>
        <w:tc>
          <w:tcPr>
            <w:tcW w:w="1063" w:type="dxa"/>
            <w:shd w:val="clear" w:color="auto" w:fill="auto"/>
            <w:noWrap/>
            <w:vAlign w:val="bottom"/>
          </w:tcPr>
          <w:p w14:paraId="4EDFB771" w14:textId="3E92D2BF" w:rsidR="009C5CD1" w:rsidRPr="009C5CD1" w:rsidRDefault="009C5CD1" w:rsidP="009C5CD1">
            <w:pPr>
              <w:spacing w:before="40"/>
              <w:jc w:val="right"/>
              <w:rPr>
                <w:rFonts w:asciiTheme="majorBidi" w:hAnsiTheme="majorBidi" w:cstheme="majorBidi"/>
                <w:b/>
                <w:bCs/>
                <w:sz w:val="16"/>
                <w:szCs w:val="16"/>
                <w:highlight w:val="yellow"/>
              </w:rPr>
            </w:pPr>
            <w:r w:rsidRPr="00E43187">
              <w:rPr>
                <w:sz w:val="16"/>
                <w:szCs w:val="16"/>
              </w:rPr>
              <w:t>104,068</w:t>
            </w:r>
          </w:p>
        </w:tc>
        <w:tc>
          <w:tcPr>
            <w:tcW w:w="992" w:type="dxa"/>
            <w:shd w:val="clear" w:color="auto" w:fill="auto"/>
            <w:noWrap/>
            <w:vAlign w:val="bottom"/>
          </w:tcPr>
          <w:p w14:paraId="778D3CB2" w14:textId="281F2138" w:rsidR="009C5CD1" w:rsidRPr="0037401B" w:rsidRDefault="009C5CD1" w:rsidP="009C5CD1">
            <w:pPr>
              <w:spacing w:before="40"/>
              <w:jc w:val="right"/>
              <w:rPr>
                <w:sz w:val="16"/>
                <w:szCs w:val="16"/>
              </w:rPr>
            </w:pPr>
            <w:r w:rsidRPr="007F589F">
              <w:rPr>
                <w:sz w:val="16"/>
                <w:szCs w:val="16"/>
              </w:rPr>
              <w:t xml:space="preserve">39,709 </w:t>
            </w:r>
          </w:p>
        </w:tc>
        <w:tc>
          <w:tcPr>
            <w:tcW w:w="933" w:type="dxa"/>
            <w:shd w:val="clear" w:color="auto" w:fill="auto"/>
            <w:noWrap/>
            <w:vAlign w:val="bottom"/>
          </w:tcPr>
          <w:p w14:paraId="005E5FEB" w14:textId="3163478D" w:rsidR="009C5CD1" w:rsidRPr="0037401B" w:rsidRDefault="009C5CD1" w:rsidP="009C5CD1">
            <w:pPr>
              <w:spacing w:before="40"/>
              <w:jc w:val="right"/>
              <w:rPr>
                <w:sz w:val="16"/>
                <w:szCs w:val="16"/>
              </w:rPr>
            </w:pPr>
            <w:r w:rsidRPr="007F589F">
              <w:rPr>
                <w:sz w:val="16"/>
                <w:szCs w:val="16"/>
              </w:rPr>
              <w:t xml:space="preserve">2,836 </w:t>
            </w:r>
          </w:p>
        </w:tc>
        <w:tc>
          <w:tcPr>
            <w:tcW w:w="824" w:type="dxa"/>
            <w:shd w:val="clear" w:color="auto" w:fill="auto"/>
            <w:noWrap/>
            <w:vAlign w:val="bottom"/>
          </w:tcPr>
          <w:p w14:paraId="3F927989" w14:textId="0D82BFED" w:rsidR="009C5CD1" w:rsidRPr="0037401B" w:rsidRDefault="009C5CD1" w:rsidP="009C5CD1">
            <w:pPr>
              <w:spacing w:before="40"/>
              <w:jc w:val="right"/>
              <w:rPr>
                <w:sz w:val="16"/>
                <w:szCs w:val="16"/>
              </w:rPr>
            </w:pPr>
            <w:r w:rsidRPr="007F589F">
              <w:rPr>
                <w:sz w:val="16"/>
                <w:szCs w:val="16"/>
              </w:rPr>
              <w:t xml:space="preserve">3,509 </w:t>
            </w:r>
          </w:p>
        </w:tc>
        <w:tc>
          <w:tcPr>
            <w:tcW w:w="687" w:type="dxa"/>
            <w:shd w:val="clear" w:color="auto" w:fill="auto"/>
            <w:noWrap/>
            <w:vAlign w:val="bottom"/>
          </w:tcPr>
          <w:p w14:paraId="714D5B54" w14:textId="499B12A2" w:rsidR="009C5CD1" w:rsidRPr="0037401B" w:rsidRDefault="009C5CD1" w:rsidP="009C5CD1">
            <w:pPr>
              <w:spacing w:before="40"/>
              <w:jc w:val="right"/>
              <w:rPr>
                <w:sz w:val="16"/>
                <w:szCs w:val="16"/>
              </w:rPr>
            </w:pPr>
            <w:r w:rsidRPr="007F589F">
              <w:rPr>
                <w:sz w:val="16"/>
                <w:szCs w:val="16"/>
              </w:rPr>
              <w:t xml:space="preserve">712 </w:t>
            </w:r>
          </w:p>
        </w:tc>
        <w:tc>
          <w:tcPr>
            <w:tcW w:w="962" w:type="dxa"/>
            <w:shd w:val="clear" w:color="auto" w:fill="auto"/>
            <w:noWrap/>
            <w:vAlign w:val="bottom"/>
          </w:tcPr>
          <w:p w14:paraId="3FB59695" w14:textId="2DA32EAB" w:rsidR="009C5CD1" w:rsidRPr="0037401B" w:rsidRDefault="009C5CD1" w:rsidP="009C5CD1">
            <w:pPr>
              <w:spacing w:before="40"/>
              <w:jc w:val="right"/>
              <w:rPr>
                <w:sz w:val="16"/>
                <w:szCs w:val="16"/>
              </w:rPr>
            </w:pPr>
            <w:r w:rsidRPr="007F589F">
              <w:rPr>
                <w:sz w:val="16"/>
                <w:szCs w:val="16"/>
              </w:rPr>
              <w:t xml:space="preserve">27,683 </w:t>
            </w:r>
          </w:p>
        </w:tc>
        <w:tc>
          <w:tcPr>
            <w:tcW w:w="775" w:type="dxa"/>
            <w:shd w:val="clear" w:color="auto" w:fill="auto"/>
            <w:noWrap/>
            <w:vAlign w:val="bottom"/>
          </w:tcPr>
          <w:p w14:paraId="345EAFB7" w14:textId="4979B89D" w:rsidR="009C5CD1" w:rsidRPr="0037401B" w:rsidRDefault="009C5CD1" w:rsidP="009C5CD1">
            <w:pPr>
              <w:spacing w:before="40"/>
              <w:jc w:val="right"/>
              <w:rPr>
                <w:sz w:val="16"/>
                <w:szCs w:val="16"/>
              </w:rPr>
            </w:pPr>
            <w:r w:rsidRPr="007F589F">
              <w:rPr>
                <w:sz w:val="16"/>
                <w:szCs w:val="16"/>
              </w:rPr>
              <w:t xml:space="preserve">8,193 </w:t>
            </w:r>
          </w:p>
        </w:tc>
        <w:tc>
          <w:tcPr>
            <w:tcW w:w="857" w:type="dxa"/>
            <w:shd w:val="clear" w:color="auto" w:fill="auto"/>
            <w:noWrap/>
            <w:vAlign w:val="bottom"/>
          </w:tcPr>
          <w:p w14:paraId="2F87D44D" w14:textId="34E625D7" w:rsidR="009C5CD1" w:rsidRPr="0037401B" w:rsidRDefault="009C5CD1" w:rsidP="009C5CD1">
            <w:pPr>
              <w:spacing w:before="40"/>
              <w:jc w:val="right"/>
              <w:rPr>
                <w:sz w:val="16"/>
                <w:szCs w:val="16"/>
              </w:rPr>
            </w:pPr>
            <w:r w:rsidRPr="007F589F">
              <w:rPr>
                <w:sz w:val="16"/>
                <w:szCs w:val="16"/>
              </w:rPr>
              <w:t xml:space="preserve">176 </w:t>
            </w:r>
          </w:p>
        </w:tc>
        <w:tc>
          <w:tcPr>
            <w:tcW w:w="1057" w:type="dxa"/>
            <w:shd w:val="clear" w:color="auto" w:fill="auto"/>
            <w:noWrap/>
            <w:vAlign w:val="bottom"/>
          </w:tcPr>
          <w:p w14:paraId="08E85921" w14:textId="347CB93B" w:rsidR="009C5CD1" w:rsidRPr="0037401B" w:rsidRDefault="009C5CD1" w:rsidP="009C5CD1">
            <w:pPr>
              <w:spacing w:before="40"/>
              <w:jc w:val="right"/>
              <w:rPr>
                <w:sz w:val="16"/>
                <w:szCs w:val="16"/>
              </w:rPr>
            </w:pPr>
            <w:r w:rsidRPr="007F589F">
              <w:rPr>
                <w:sz w:val="16"/>
                <w:szCs w:val="16"/>
              </w:rPr>
              <w:t xml:space="preserve">82,818 </w:t>
            </w:r>
          </w:p>
        </w:tc>
      </w:tr>
      <w:tr w:rsidR="009C5CD1" w:rsidRPr="00AE7300" w14:paraId="354A7E1D" w14:textId="77777777" w:rsidTr="005101BC">
        <w:trPr>
          <w:trHeight w:val="272"/>
        </w:trPr>
        <w:tc>
          <w:tcPr>
            <w:tcW w:w="1957" w:type="dxa"/>
            <w:shd w:val="clear" w:color="auto" w:fill="auto"/>
            <w:vAlign w:val="bottom"/>
            <w:hideMark/>
          </w:tcPr>
          <w:p w14:paraId="7F398C9D" w14:textId="77777777" w:rsidR="009C5CD1" w:rsidRPr="00AE7300" w:rsidRDefault="009C5CD1" w:rsidP="009C5CD1">
            <w:pPr>
              <w:spacing w:before="40"/>
              <w:rPr>
                <w:sz w:val="20"/>
              </w:rPr>
            </w:pPr>
            <w:r w:rsidRPr="00AE7300">
              <w:rPr>
                <w:color w:val="000000"/>
                <w:sz w:val="20"/>
              </w:rPr>
              <w:t>Interest-bearing</w:t>
            </w:r>
            <w:r>
              <w:rPr>
                <w:color w:val="000000"/>
                <w:sz w:val="20"/>
              </w:rPr>
              <w:t xml:space="preserve"> </w:t>
            </w:r>
            <w:r w:rsidRPr="00AE7300">
              <w:rPr>
                <w:color w:val="000000"/>
                <w:sz w:val="20"/>
              </w:rPr>
              <w:t>loans and</w:t>
            </w:r>
            <w:r>
              <w:rPr>
                <w:color w:val="000000"/>
                <w:sz w:val="20"/>
              </w:rPr>
              <w:t xml:space="preserve"> </w:t>
            </w:r>
            <w:r w:rsidRPr="00AE7300">
              <w:rPr>
                <w:color w:val="000000"/>
                <w:sz w:val="20"/>
              </w:rPr>
              <w:t>borrowings</w:t>
            </w:r>
          </w:p>
        </w:tc>
        <w:tc>
          <w:tcPr>
            <w:tcW w:w="1099" w:type="dxa"/>
            <w:shd w:val="clear" w:color="auto" w:fill="auto"/>
            <w:noWrap/>
            <w:vAlign w:val="bottom"/>
          </w:tcPr>
          <w:p w14:paraId="5DD45AEB" w14:textId="21ABBC2F" w:rsidR="009C5CD1" w:rsidRPr="009C5CD1" w:rsidRDefault="009C5CD1" w:rsidP="009C5CD1">
            <w:pPr>
              <w:spacing w:before="40"/>
              <w:jc w:val="right"/>
              <w:rPr>
                <w:rFonts w:asciiTheme="majorBidi" w:hAnsiTheme="majorBidi" w:cstheme="majorBidi"/>
                <w:b/>
                <w:bCs/>
                <w:sz w:val="16"/>
                <w:szCs w:val="16"/>
                <w:highlight w:val="yellow"/>
              </w:rPr>
            </w:pPr>
            <w:r w:rsidRPr="00E43187">
              <w:rPr>
                <w:sz w:val="16"/>
                <w:szCs w:val="16"/>
              </w:rPr>
              <w:t>(2,379,788)</w:t>
            </w:r>
          </w:p>
        </w:tc>
        <w:tc>
          <w:tcPr>
            <w:tcW w:w="822" w:type="dxa"/>
            <w:shd w:val="clear" w:color="auto" w:fill="auto"/>
            <w:noWrap/>
            <w:vAlign w:val="bottom"/>
          </w:tcPr>
          <w:p w14:paraId="36B0DB30" w14:textId="545F25E6" w:rsidR="009C5CD1" w:rsidRPr="009C5CD1" w:rsidRDefault="009C5CD1" w:rsidP="009C5CD1">
            <w:pPr>
              <w:spacing w:before="40"/>
              <w:jc w:val="right"/>
              <w:rPr>
                <w:rFonts w:asciiTheme="majorBidi" w:hAnsiTheme="majorBidi" w:cstheme="majorBidi"/>
                <w:b/>
                <w:bCs/>
                <w:sz w:val="16"/>
                <w:szCs w:val="16"/>
                <w:highlight w:val="yellow"/>
              </w:rPr>
            </w:pPr>
            <w:r w:rsidRPr="00E43187">
              <w:rPr>
                <w:sz w:val="16"/>
                <w:szCs w:val="16"/>
              </w:rPr>
              <w:t>(12,305)</w:t>
            </w:r>
          </w:p>
        </w:tc>
        <w:tc>
          <w:tcPr>
            <w:tcW w:w="823" w:type="dxa"/>
            <w:shd w:val="clear" w:color="auto" w:fill="auto"/>
            <w:noWrap/>
            <w:vAlign w:val="bottom"/>
          </w:tcPr>
          <w:p w14:paraId="39D596E8" w14:textId="19D5E8AD" w:rsidR="009C5CD1" w:rsidRPr="009C5CD1" w:rsidRDefault="009C5CD1" w:rsidP="009C5CD1">
            <w:pPr>
              <w:spacing w:before="40"/>
              <w:jc w:val="right"/>
              <w:rPr>
                <w:rFonts w:asciiTheme="majorBidi" w:hAnsiTheme="majorBidi" w:cstheme="majorBidi"/>
                <w:b/>
                <w:bCs/>
                <w:sz w:val="16"/>
                <w:szCs w:val="16"/>
                <w:highlight w:val="yellow"/>
              </w:rPr>
            </w:pPr>
            <w:r w:rsidRPr="00E43187">
              <w:rPr>
                <w:sz w:val="16"/>
                <w:szCs w:val="16"/>
              </w:rPr>
              <w:t>-</w:t>
            </w:r>
          </w:p>
        </w:tc>
        <w:tc>
          <w:tcPr>
            <w:tcW w:w="686" w:type="dxa"/>
            <w:shd w:val="clear" w:color="auto" w:fill="auto"/>
            <w:noWrap/>
            <w:vAlign w:val="bottom"/>
          </w:tcPr>
          <w:p w14:paraId="520B0D49" w14:textId="029DB880" w:rsidR="009C5CD1" w:rsidRPr="009C5CD1" w:rsidRDefault="009C5CD1" w:rsidP="009C5CD1">
            <w:pPr>
              <w:spacing w:before="40"/>
              <w:jc w:val="right"/>
              <w:rPr>
                <w:rFonts w:asciiTheme="majorBidi" w:hAnsiTheme="majorBidi" w:cstheme="majorBidi"/>
                <w:b/>
                <w:bCs/>
                <w:sz w:val="16"/>
                <w:szCs w:val="16"/>
                <w:highlight w:val="yellow"/>
              </w:rPr>
            </w:pPr>
            <w:r w:rsidRPr="00E43187">
              <w:rPr>
                <w:sz w:val="16"/>
                <w:szCs w:val="16"/>
              </w:rPr>
              <w:t>-</w:t>
            </w:r>
          </w:p>
        </w:tc>
        <w:tc>
          <w:tcPr>
            <w:tcW w:w="824" w:type="dxa"/>
            <w:shd w:val="clear" w:color="auto" w:fill="auto"/>
            <w:noWrap/>
            <w:vAlign w:val="bottom"/>
          </w:tcPr>
          <w:p w14:paraId="0D097C8B" w14:textId="75849864" w:rsidR="009C5CD1" w:rsidRPr="009C5CD1" w:rsidRDefault="009C5CD1" w:rsidP="009C5CD1">
            <w:pPr>
              <w:spacing w:before="40"/>
              <w:jc w:val="right"/>
              <w:rPr>
                <w:rFonts w:asciiTheme="majorBidi" w:hAnsiTheme="majorBidi" w:cstheme="majorBidi"/>
                <w:b/>
                <w:bCs/>
                <w:sz w:val="16"/>
                <w:szCs w:val="16"/>
                <w:highlight w:val="yellow"/>
              </w:rPr>
            </w:pPr>
            <w:r w:rsidRPr="00E43187">
              <w:rPr>
                <w:sz w:val="16"/>
                <w:szCs w:val="16"/>
              </w:rPr>
              <w:t>-</w:t>
            </w:r>
          </w:p>
        </w:tc>
        <w:tc>
          <w:tcPr>
            <w:tcW w:w="823" w:type="dxa"/>
            <w:shd w:val="clear" w:color="auto" w:fill="auto"/>
            <w:noWrap/>
            <w:vAlign w:val="bottom"/>
          </w:tcPr>
          <w:p w14:paraId="3FFB9DDD" w14:textId="2CA55B8D" w:rsidR="009C5CD1" w:rsidRPr="009C5CD1" w:rsidRDefault="009C5CD1" w:rsidP="009C5CD1">
            <w:pPr>
              <w:spacing w:before="40"/>
              <w:jc w:val="right"/>
              <w:rPr>
                <w:rFonts w:asciiTheme="majorBidi" w:hAnsiTheme="majorBidi" w:cstheme="majorBidi"/>
                <w:b/>
                <w:bCs/>
                <w:sz w:val="16"/>
                <w:szCs w:val="16"/>
                <w:highlight w:val="yellow"/>
              </w:rPr>
            </w:pPr>
            <w:r w:rsidRPr="00E43187">
              <w:rPr>
                <w:sz w:val="16"/>
                <w:szCs w:val="16"/>
              </w:rPr>
              <w:t>-</w:t>
            </w:r>
          </w:p>
        </w:tc>
        <w:tc>
          <w:tcPr>
            <w:tcW w:w="865" w:type="dxa"/>
            <w:shd w:val="clear" w:color="auto" w:fill="auto"/>
            <w:noWrap/>
            <w:vAlign w:val="bottom"/>
          </w:tcPr>
          <w:p w14:paraId="32E3F80F" w14:textId="5EB60351" w:rsidR="009C5CD1" w:rsidRPr="009C5CD1" w:rsidRDefault="009C5CD1" w:rsidP="009C5CD1">
            <w:pPr>
              <w:spacing w:before="40"/>
              <w:jc w:val="right"/>
              <w:rPr>
                <w:rFonts w:asciiTheme="majorBidi" w:hAnsiTheme="majorBidi" w:cstheme="majorBidi"/>
                <w:b/>
                <w:bCs/>
                <w:sz w:val="16"/>
                <w:szCs w:val="16"/>
                <w:highlight w:val="yellow"/>
              </w:rPr>
            </w:pPr>
            <w:r w:rsidRPr="00E43187">
              <w:rPr>
                <w:sz w:val="16"/>
                <w:szCs w:val="16"/>
              </w:rPr>
              <w:t>(88,126)</w:t>
            </w:r>
          </w:p>
        </w:tc>
        <w:tc>
          <w:tcPr>
            <w:tcW w:w="1063" w:type="dxa"/>
            <w:shd w:val="clear" w:color="auto" w:fill="auto"/>
            <w:noWrap/>
            <w:vAlign w:val="bottom"/>
          </w:tcPr>
          <w:p w14:paraId="6EB029F1" w14:textId="07AA2521" w:rsidR="009C5CD1" w:rsidRPr="009C5CD1" w:rsidRDefault="009C5CD1" w:rsidP="009C5CD1">
            <w:pPr>
              <w:spacing w:before="40"/>
              <w:jc w:val="right"/>
              <w:rPr>
                <w:rFonts w:asciiTheme="majorBidi" w:hAnsiTheme="majorBidi" w:cstheme="majorBidi"/>
                <w:b/>
                <w:bCs/>
                <w:sz w:val="16"/>
                <w:szCs w:val="16"/>
                <w:highlight w:val="yellow"/>
              </w:rPr>
            </w:pPr>
            <w:r w:rsidRPr="00E43187">
              <w:rPr>
                <w:sz w:val="16"/>
                <w:szCs w:val="16"/>
              </w:rPr>
              <w:t>(2,480,219)</w:t>
            </w:r>
          </w:p>
        </w:tc>
        <w:tc>
          <w:tcPr>
            <w:tcW w:w="992" w:type="dxa"/>
            <w:shd w:val="clear" w:color="auto" w:fill="auto"/>
            <w:noWrap/>
            <w:vAlign w:val="bottom"/>
          </w:tcPr>
          <w:p w14:paraId="7746023A" w14:textId="7953F908" w:rsidR="009C5CD1" w:rsidRPr="0037401B" w:rsidRDefault="009C5CD1" w:rsidP="009C5CD1">
            <w:pPr>
              <w:spacing w:before="40"/>
              <w:jc w:val="right"/>
              <w:rPr>
                <w:sz w:val="16"/>
                <w:szCs w:val="16"/>
              </w:rPr>
            </w:pPr>
            <w:r w:rsidRPr="007F589F">
              <w:rPr>
                <w:sz w:val="16"/>
                <w:szCs w:val="16"/>
              </w:rPr>
              <w:t>(2,097,611)</w:t>
            </w:r>
          </w:p>
        </w:tc>
        <w:tc>
          <w:tcPr>
            <w:tcW w:w="933" w:type="dxa"/>
            <w:shd w:val="clear" w:color="auto" w:fill="auto"/>
            <w:noWrap/>
            <w:vAlign w:val="bottom"/>
          </w:tcPr>
          <w:p w14:paraId="53D058B1" w14:textId="14A8BF3F" w:rsidR="009C5CD1" w:rsidRPr="0037401B" w:rsidRDefault="009C5CD1" w:rsidP="009C5CD1">
            <w:pPr>
              <w:spacing w:before="40"/>
              <w:jc w:val="right"/>
              <w:rPr>
                <w:sz w:val="16"/>
                <w:szCs w:val="16"/>
              </w:rPr>
            </w:pPr>
            <w:r w:rsidRPr="007F589F">
              <w:rPr>
                <w:sz w:val="16"/>
                <w:szCs w:val="16"/>
              </w:rPr>
              <w:t>(11,651)</w:t>
            </w:r>
          </w:p>
        </w:tc>
        <w:tc>
          <w:tcPr>
            <w:tcW w:w="824" w:type="dxa"/>
            <w:shd w:val="clear" w:color="auto" w:fill="auto"/>
            <w:noWrap/>
            <w:vAlign w:val="bottom"/>
          </w:tcPr>
          <w:p w14:paraId="7AE74E3F" w14:textId="0DB081EA" w:rsidR="009C5CD1" w:rsidRPr="0037401B" w:rsidRDefault="009C5CD1" w:rsidP="009C5CD1">
            <w:pPr>
              <w:spacing w:before="40"/>
              <w:jc w:val="right"/>
              <w:rPr>
                <w:sz w:val="16"/>
                <w:szCs w:val="16"/>
              </w:rPr>
            </w:pPr>
            <w:r w:rsidRPr="007F589F">
              <w:rPr>
                <w:sz w:val="16"/>
                <w:szCs w:val="16"/>
              </w:rPr>
              <w:t xml:space="preserve">- </w:t>
            </w:r>
          </w:p>
        </w:tc>
        <w:tc>
          <w:tcPr>
            <w:tcW w:w="687" w:type="dxa"/>
            <w:shd w:val="clear" w:color="auto" w:fill="auto"/>
            <w:noWrap/>
            <w:vAlign w:val="bottom"/>
          </w:tcPr>
          <w:p w14:paraId="16B1BFD3" w14:textId="5E5B9B20" w:rsidR="009C5CD1" w:rsidRPr="0037401B" w:rsidRDefault="009C5CD1" w:rsidP="009C5CD1">
            <w:pPr>
              <w:spacing w:before="40"/>
              <w:jc w:val="right"/>
              <w:rPr>
                <w:sz w:val="16"/>
                <w:szCs w:val="16"/>
              </w:rPr>
            </w:pPr>
            <w:r w:rsidRPr="007F589F">
              <w:rPr>
                <w:sz w:val="16"/>
                <w:szCs w:val="16"/>
              </w:rPr>
              <w:t xml:space="preserve">- </w:t>
            </w:r>
          </w:p>
        </w:tc>
        <w:tc>
          <w:tcPr>
            <w:tcW w:w="962" w:type="dxa"/>
            <w:shd w:val="clear" w:color="auto" w:fill="auto"/>
            <w:noWrap/>
            <w:vAlign w:val="bottom"/>
          </w:tcPr>
          <w:p w14:paraId="3C18BBB9" w14:textId="6DDC8E52" w:rsidR="009C5CD1" w:rsidRPr="0037401B" w:rsidRDefault="009C5CD1" w:rsidP="009C5CD1">
            <w:pPr>
              <w:spacing w:before="40"/>
              <w:jc w:val="right"/>
              <w:rPr>
                <w:sz w:val="16"/>
                <w:szCs w:val="16"/>
              </w:rPr>
            </w:pPr>
            <w:r w:rsidRPr="007F589F">
              <w:rPr>
                <w:sz w:val="16"/>
                <w:szCs w:val="16"/>
              </w:rPr>
              <w:t xml:space="preserve">- </w:t>
            </w:r>
          </w:p>
        </w:tc>
        <w:tc>
          <w:tcPr>
            <w:tcW w:w="775" w:type="dxa"/>
            <w:shd w:val="clear" w:color="auto" w:fill="auto"/>
            <w:noWrap/>
            <w:vAlign w:val="bottom"/>
          </w:tcPr>
          <w:p w14:paraId="1BE67948" w14:textId="38EA16AF" w:rsidR="009C5CD1" w:rsidRPr="0037401B" w:rsidRDefault="009C5CD1" w:rsidP="009C5CD1">
            <w:pPr>
              <w:spacing w:before="40"/>
              <w:jc w:val="right"/>
              <w:rPr>
                <w:sz w:val="16"/>
                <w:szCs w:val="16"/>
              </w:rPr>
            </w:pPr>
            <w:r w:rsidRPr="007F589F">
              <w:rPr>
                <w:sz w:val="16"/>
                <w:szCs w:val="16"/>
              </w:rPr>
              <w:t xml:space="preserve">- </w:t>
            </w:r>
          </w:p>
        </w:tc>
        <w:tc>
          <w:tcPr>
            <w:tcW w:w="857" w:type="dxa"/>
            <w:shd w:val="clear" w:color="auto" w:fill="auto"/>
            <w:noWrap/>
            <w:vAlign w:val="bottom"/>
          </w:tcPr>
          <w:p w14:paraId="73C78729" w14:textId="2DD42797" w:rsidR="009C5CD1" w:rsidRPr="0037401B" w:rsidRDefault="009C5CD1" w:rsidP="009C5CD1">
            <w:pPr>
              <w:spacing w:before="40"/>
              <w:jc w:val="right"/>
              <w:rPr>
                <w:sz w:val="16"/>
                <w:szCs w:val="16"/>
              </w:rPr>
            </w:pPr>
            <w:r w:rsidRPr="007F589F">
              <w:rPr>
                <w:sz w:val="16"/>
                <w:szCs w:val="16"/>
              </w:rPr>
              <w:t>(92,577)</w:t>
            </w:r>
          </w:p>
        </w:tc>
        <w:tc>
          <w:tcPr>
            <w:tcW w:w="1057" w:type="dxa"/>
            <w:shd w:val="clear" w:color="auto" w:fill="auto"/>
            <w:noWrap/>
            <w:vAlign w:val="bottom"/>
          </w:tcPr>
          <w:p w14:paraId="48991F17" w14:textId="6FE65672" w:rsidR="009C5CD1" w:rsidRPr="0037401B" w:rsidRDefault="009C5CD1" w:rsidP="009C5CD1">
            <w:pPr>
              <w:spacing w:before="40"/>
              <w:jc w:val="right"/>
              <w:rPr>
                <w:sz w:val="16"/>
                <w:szCs w:val="16"/>
              </w:rPr>
            </w:pPr>
            <w:r w:rsidRPr="007F589F">
              <w:rPr>
                <w:sz w:val="16"/>
                <w:szCs w:val="16"/>
              </w:rPr>
              <w:t>(2,201,839)</w:t>
            </w:r>
          </w:p>
        </w:tc>
      </w:tr>
      <w:tr w:rsidR="009C5CD1" w:rsidRPr="00AE7300" w14:paraId="7811CC31" w14:textId="77777777" w:rsidTr="005101BC">
        <w:trPr>
          <w:trHeight w:val="272"/>
        </w:trPr>
        <w:tc>
          <w:tcPr>
            <w:tcW w:w="1957" w:type="dxa"/>
            <w:shd w:val="clear" w:color="auto" w:fill="auto"/>
            <w:vAlign w:val="bottom"/>
            <w:hideMark/>
          </w:tcPr>
          <w:p w14:paraId="05D4E053" w14:textId="77777777" w:rsidR="009C5CD1" w:rsidRPr="00AE7300" w:rsidRDefault="009C5CD1" w:rsidP="009C5CD1">
            <w:pPr>
              <w:spacing w:before="40"/>
              <w:rPr>
                <w:sz w:val="20"/>
              </w:rPr>
            </w:pPr>
            <w:r w:rsidRPr="00AE7300">
              <w:rPr>
                <w:color w:val="000000"/>
                <w:sz w:val="20"/>
              </w:rPr>
              <w:t>Other non</w:t>
            </w:r>
            <w:r>
              <w:rPr>
                <w:color w:val="000000"/>
                <w:sz w:val="20"/>
              </w:rPr>
              <w:t>-</w:t>
            </w:r>
            <w:r w:rsidRPr="00AE7300">
              <w:rPr>
                <w:color w:val="000000"/>
                <w:sz w:val="20"/>
              </w:rPr>
              <w:t>current</w:t>
            </w:r>
            <w:r>
              <w:rPr>
                <w:color w:val="000000"/>
                <w:sz w:val="20"/>
              </w:rPr>
              <w:t xml:space="preserve"> </w:t>
            </w:r>
            <w:r w:rsidRPr="00AE7300">
              <w:rPr>
                <w:color w:val="000000"/>
                <w:sz w:val="20"/>
              </w:rPr>
              <w:t>liabilities</w:t>
            </w:r>
          </w:p>
        </w:tc>
        <w:tc>
          <w:tcPr>
            <w:tcW w:w="1099" w:type="dxa"/>
            <w:shd w:val="clear" w:color="auto" w:fill="auto"/>
            <w:noWrap/>
            <w:vAlign w:val="bottom"/>
          </w:tcPr>
          <w:p w14:paraId="52AE960F" w14:textId="255F0947" w:rsidR="009C5CD1" w:rsidRPr="009C5CD1" w:rsidRDefault="009C5CD1" w:rsidP="009C5CD1">
            <w:pPr>
              <w:spacing w:before="40"/>
              <w:jc w:val="right"/>
              <w:rPr>
                <w:rFonts w:asciiTheme="majorBidi" w:hAnsiTheme="majorBidi" w:cstheme="majorBidi"/>
                <w:b/>
                <w:bCs/>
                <w:sz w:val="16"/>
                <w:szCs w:val="16"/>
                <w:highlight w:val="yellow"/>
              </w:rPr>
            </w:pPr>
            <w:r w:rsidRPr="00E43187">
              <w:rPr>
                <w:sz w:val="16"/>
                <w:szCs w:val="16"/>
              </w:rPr>
              <w:t>(19,923)</w:t>
            </w:r>
          </w:p>
        </w:tc>
        <w:tc>
          <w:tcPr>
            <w:tcW w:w="822" w:type="dxa"/>
            <w:shd w:val="clear" w:color="auto" w:fill="auto"/>
            <w:noWrap/>
            <w:vAlign w:val="bottom"/>
          </w:tcPr>
          <w:p w14:paraId="0EBFA959" w14:textId="49F3BBAA" w:rsidR="009C5CD1" w:rsidRPr="009C5CD1" w:rsidRDefault="009C5CD1" w:rsidP="009C5CD1">
            <w:pPr>
              <w:spacing w:before="40"/>
              <w:jc w:val="right"/>
              <w:rPr>
                <w:rFonts w:asciiTheme="majorBidi" w:hAnsiTheme="majorBidi" w:cstheme="majorBidi"/>
                <w:b/>
                <w:bCs/>
                <w:sz w:val="16"/>
                <w:szCs w:val="16"/>
                <w:highlight w:val="yellow"/>
              </w:rPr>
            </w:pPr>
            <w:r w:rsidRPr="00E43187">
              <w:rPr>
                <w:sz w:val="16"/>
                <w:szCs w:val="16"/>
              </w:rPr>
              <w:t>(454)</w:t>
            </w:r>
          </w:p>
        </w:tc>
        <w:tc>
          <w:tcPr>
            <w:tcW w:w="823" w:type="dxa"/>
            <w:shd w:val="clear" w:color="auto" w:fill="auto"/>
            <w:noWrap/>
            <w:vAlign w:val="bottom"/>
          </w:tcPr>
          <w:p w14:paraId="69D08463" w14:textId="26733E8D" w:rsidR="009C5CD1" w:rsidRPr="009C5CD1" w:rsidRDefault="009C5CD1" w:rsidP="009C5CD1">
            <w:pPr>
              <w:spacing w:before="40"/>
              <w:jc w:val="right"/>
              <w:rPr>
                <w:rFonts w:asciiTheme="majorBidi" w:hAnsiTheme="majorBidi" w:cstheme="majorBidi"/>
                <w:b/>
                <w:bCs/>
                <w:sz w:val="16"/>
                <w:szCs w:val="16"/>
                <w:highlight w:val="yellow"/>
              </w:rPr>
            </w:pPr>
            <w:r w:rsidRPr="00E43187">
              <w:rPr>
                <w:sz w:val="16"/>
                <w:szCs w:val="16"/>
              </w:rPr>
              <w:t>(292)</w:t>
            </w:r>
          </w:p>
        </w:tc>
        <w:tc>
          <w:tcPr>
            <w:tcW w:w="686" w:type="dxa"/>
            <w:shd w:val="clear" w:color="auto" w:fill="auto"/>
            <w:noWrap/>
            <w:vAlign w:val="bottom"/>
          </w:tcPr>
          <w:p w14:paraId="7F73A79F" w14:textId="2E33803D" w:rsidR="009C5CD1" w:rsidRPr="009C5CD1" w:rsidRDefault="009C5CD1" w:rsidP="009C5CD1">
            <w:pPr>
              <w:spacing w:before="40"/>
              <w:jc w:val="right"/>
              <w:rPr>
                <w:rFonts w:asciiTheme="majorBidi" w:hAnsiTheme="majorBidi" w:cstheme="majorBidi"/>
                <w:b/>
                <w:bCs/>
                <w:sz w:val="16"/>
                <w:szCs w:val="16"/>
                <w:highlight w:val="yellow"/>
              </w:rPr>
            </w:pPr>
            <w:r w:rsidRPr="00E43187">
              <w:rPr>
                <w:sz w:val="16"/>
                <w:szCs w:val="16"/>
              </w:rPr>
              <w:t>(283)</w:t>
            </w:r>
          </w:p>
        </w:tc>
        <w:tc>
          <w:tcPr>
            <w:tcW w:w="824" w:type="dxa"/>
            <w:shd w:val="clear" w:color="auto" w:fill="auto"/>
            <w:noWrap/>
            <w:vAlign w:val="bottom"/>
          </w:tcPr>
          <w:p w14:paraId="12F280EA" w14:textId="08CB75E9" w:rsidR="009C5CD1" w:rsidRPr="009C5CD1" w:rsidRDefault="009C5CD1" w:rsidP="009C5CD1">
            <w:pPr>
              <w:spacing w:before="40"/>
              <w:jc w:val="right"/>
              <w:rPr>
                <w:rFonts w:asciiTheme="majorBidi" w:hAnsiTheme="majorBidi" w:cstheme="majorBidi"/>
                <w:b/>
                <w:bCs/>
                <w:sz w:val="16"/>
                <w:szCs w:val="16"/>
                <w:highlight w:val="yellow"/>
              </w:rPr>
            </w:pPr>
            <w:r w:rsidRPr="00E43187">
              <w:rPr>
                <w:sz w:val="16"/>
                <w:szCs w:val="16"/>
              </w:rPr>
              <w:t>(2,962)</w:t>
            </w:r>
          </w:p>
        </w:tc>
        <w:tc>
          <w:tcPr>
            <w:tcW w:w="823" w:type="dxa"/>
            <w:shd w:val="clear" w:color="auto" w:fill="auto"/>
            <w:noWrap/>
            <w:vAlign w:val="bottom"/>
          </w:tcPr>
          <w:p w14:paraId="7C48581D" w14:textId="007725A5" w:rsidR="009C5CD1" w:rsidRPr="009C5CD1" w:rsidRDefault="009C5CD1" w:rsidP="009C5CD1">
            <w:pPr>
              <w:spacing w:before="40"/>
              <w:jc w:val="right"/>
              <w:rPr>
                <w:rFonts w:asciiTheme="majorBidi" w:hAnsiTheme="majorBidi" w:cstheme="majorBidi"/>
                <w:b/>
                <w:bCs/>
                <w:sz w:val="16"/>
                <w:szCs w:val="16"/>
                <w:highlight w:val="yellow"/>
              </w:rPr>
            </w:pPr>
            <w:r w:rsidRPr="00E43187">
              <w:rPr>
                <w:sz w:val="16"/>
                <w:szCs w:val="16"/>
              </w:rPr>
              <w:t>(2,123)</w:t>
            </w:r>
          </w:p>
        </w:tc>
        <w:tc>
          <w:tcPr>
            <w:tcW w:w="865" w:type="dxa"/>
            <w:shd w:val="clear" w:color="auto" w:fill="auto"/>
            <w:noWrap/>
            <w:vAlign w:val="bottom"/>
          </w:tcPr>
          <w:p w14:paraId="7E6938D5" w14:textId="7264DBB3" w:rsidR="009C5CD1" w:rsidRPr="009C5CD1" w:rsidRDefault="009C5CD1" w:rsidP="009C5CD1">
            <w:pPr>
              <w:spacing w:before="40"/>
              <w:jc w:val="right"/>
              <w:rPr>
                <w:rFonts w:asciiTheme="majorBidi" w:hAnsiTheme="majorBidi" w:cstheme="majorBidi"/>
                <w:b/>
                <w:bCs/>
                <w:sz w:val="16"/>
                <w:szCs w:val="16"/>
                <w:highlight w:val="yellow"/>
              </w:rPr>
            </w:pPr>
            <w:r w:rsidRPr="00E43187">
              <w:rPr>
                <w:sz w:val="16"/>
                <w:szCs w:val="16"/>
              </w:rPr>
              <w:t>-</w:t>
            </w:r>
          </w:p>
        </w:tc>
        <w:tc>
          <w:tcPr>
            <w:tcW w:w="1063" w:type="dxa"/>
            <w:shd w:val="clear" w:color="auto" w:fill="auto"/>
            <w:noWrap/>
            <w:vAlign w:val="bottom"/>
          </w:tcPr>
          <w:p w14:paraId="25B63D97" w14:textId="224D5C63" w:rsidR="009C5CD1" w:rsidRPr="009C5CD1" w:rsidRDefault="009C5CD1" w:rsidP="009C5CD1">
            <w:pPr>
              <w:spacing w:before="40"/>
              <w:jc w:val="right"/>
              <w:rPr>
                <w:rFonts w:asciiTheme="majorBidi" w:hAnsiTheme="majorBidi" w:cstheme="majorBidi"/>
                <w:b/>
                <w:bCs/>
                <w:sz w:val="16"/>
                <w:szCs w:val="16"/>
                <w:highlight w:val="yellow"/>
              </w:rPr>
            </w:pPr>
            <w:r w:rsidRPr="00E43187">
              <w:rPr>
                <w:sz w:val="16"/>
                <w:szCs w:val="16"/>
              </w:rPr>
              <w:t>(26,037)</w:t>
            </w:r>
          </w:p>
        </w:tc>
        <w:tc>
          <w:tcPr>
            <w:tcW w:w="992" w:type="dxa"/>
            <w:shd w:val="clear" w:color="auto" w:fill="auto"/>
            <w:noWrap/>
            <w:vAlign w:val="bottom"/>
          </w:tcPr>
          <w:p w14:paraId="5B658738" w14:textId="7EEF4D12" w:rsidR="009C5CD1" w:rsidRPr="0037401B" w:rsidRDefault="009C5CD1" w:rsidP="009C5CD1">
            <w:pPr>
              <w:spacing w:before="40"/>
              <w:jc w:val="right"/>
              <w:rPr>
                <w:sz w:val="16"/>
                <w:szCs w:val="16"/>
              </w:rPr>
            </w:pPr>
            <w:r w:rsidRPr="007F589F">
              <w:rPr>
                <w:sz w:val="16"/>
                <w:szCs w:val="16"/>
              </w:rPr>
              <w:t>(18,005)</w:t>
            </w:r>
          </w:p>
        </w:tc>
        <w:tc>
          <w:tcPr>
            <w:tcW w:w="933" w:type="dxa"/>
            <w:shd w:val="clear" w:color="auto" w:fill="auto"/>
            <w:noWrap/>
            <w:vAlign w:val="bottom"/>
          </w:tcPr>
          <w:p w14:paraId="6101667A" w14:textId="0D4A66AB" w:rsidR="009C5CD1" w:rsidRPr="0037401B" w:rsidRDefault="009C5CD1" w:rsidP="009C5CD1">
            <w:pPr>
              <w:spacing w:before="40"/>
              <w:jc w:val="right"/>
              <w:rPr>
                <w:sz w:val="16"/>
                <w:szCs w:val="16"/>
              </w:rPr>
            </w:pPr>
            <w:r w:rsidRPr="007F589F">
              <w:rPr>
                <w:sz w:val="16"/>
                <w:szCs w:val="16"/>
              </w:rPr>
              <w:t>(634)</w:t>
            </w:r>
          </w:p>
        </w:tc>
        <w:tc>
          <w:tcPr>
            <w:tcW w:w="824" w:type="dxa"/>
            <w:shd w:val="clear" w:color="auto" w:fill="auto"/>
            <w:noWrap/>
            <w:vAlign w:val="bottom"/>
          </w:tcPr>
          <w:p w14:paraId="0DC54F2F" w14:textId="2280F512" w:rsidR="009C5CD1" w:rsidRPr="0037401B" w:rsidRDefault="009C5CD1" w:rsidP="009C5CD1">
            <w:pPr>
              <w:spacing w:before="40"/>
              <w:jc w:val="right"/>
              <w:rPr>
                <w:sz w:val="16"/>
                <w:szCs w:val="16"/>
              </w:rPr>
            </w:pPr>
            <w:r w:rsidRPr="007F589F">
              <w:rPr>
                <w:sz w:val="16"/>
                <w:szCs w:val="16"/>
              </w:rPr>
              <w:t>(297)</w:t>
            </w:r>
          </w:p>
        </w:tc>
        <w:tc>
          <w:tcPr>
            <w:tcW w:w="687" w:type="dxa"/>
            <w:shd w:val="clear" w:color="auto" w:fill="auto"/>
            <w:noWrap/>
            <w:vAlign w:val="bottom"/>
          </w:tcPr>
          <w:p w14:paraId="657B7106" w14:textId="527478E6" w:rsidR="009C5CD1" w:rsidRPr="0037401B" w:rsidRDefault="009C5CD1" w:rsidP="009C5CD1">
            <w:pPr>
              <w:spacing w:before="40"/>
              <w:jc w:val="right"/>
              <w:rPr>
                <w:sz w:val="16"/>
                <w:szCs w:val="16"/>
              </w:rPr>
            </w:pPr>
            <w:r w:rsidRPr="007F589F">
              <w:rPr>
                <w:sz w:val="16"/>
                <w:szCs w:val="16"/>
              </w:rPr>
              <w:t>(258)</w:t>
            </w:r>
          </w:p>
        </w:tc>
        <w:tc>
          <w:tcPr>
            <w:tcW w:w="962" w:type="dxa"/>
            <w:shd w:val="clear" w:color="auto" w:fill="auto"/>
            <w:noWrap/>
            <w:vAlign w:val="bottom"/>
          </w:tcPr>
          <w:p w14:paraId="4BABE0CD" w14:textId="41B32C81" w:rsidR="009C5CD1" w:rsidRPr="0037401B" w:rsidRDefault="009C5CD1" w:rsidP="009C5CD1">
            <w:pPr>
              <w:spacing w:before="40"/>
              <w:jc w:val="right"/>
              <w:rPr>
                <w:sz w:val="16"/>
                <w:szCs w:val="16"/>
              </w:rPr>
            </w:pPr>
            <w:r w:rsidRPr="007F589F">
              <w:rPr>
                <w:sz w:val="16"/>
                <w:szCs w:val="16"/>
              </w:rPr>
              <w:t>(5,742)</w:t>
            </w:r>
          </w:p>
        </w:tc>
        <w:tc>
          <w:tcPr>
            <w:tcW w:w="775" w:type="dxa"/>
            <w:shd w:val="clear" w:color="auto" w:fill="auto"/>
            <w:noWrap/>
            <w:vAlign w:val="bottom"/>
          </w:tcPr>
          <w:p w14:paraId="1BDBE859" w14:textId="6D2F5490" w:rsidR="009C5CD1" w:rsidRPr="0037401B" w:rsidRDefault="009C5CD1" w:rsidP="009C5CD1">
            <w:pPr>
              <w:spacing w:before="40"/>
              <w:jc w:val="right"/>
              <w:rPr>
                <w:sz w:val="16"/>
                <w:szCs w:val="16"/>
              </w:rPr>
            </w:pPr>
            <w:r w:rsidRPr="007F589F">
              <w:rPr>
                <w:sz w:val="16"/>
                <w:szCs w:val="16"/>
              </w:rPr>
              <w:t>(3,955)</w:t>
            </w:r>
          </w:p>
        </w:tc>
        <w:tc>
          <w:tcPr>
            <w:tcW w:w="857" w:type="dxa"/>
            <w:shd w:val="clear" w:color="auto" w:fill="auto"/>
            <w:noWrap/>
            <w:vAlign w:val="bottom"/>
          </w:tcPr>
          <w:p w14:paraId="5E6D69EF" w14:textId="6B57856E" w:rsidR="009C5CD1" w:rsidRPr="0037401B" w:rsidRDefault="009C5CD1" w:rsidP="009C5CD1">
            <w:pPr>
              <w:spacing w:before="40"/>
              <w:jc w:val="right"/>
              <w:rPr>
                <w:sz w:val="16"/>
                <w:szCs w:val="16"/>
              </w:rPr>
            </w:pPr>
            <w:r w:rsidRPr="007F589F">
              <w:rPr>
                <w:sz w:val="16"/>
                <w:szCs w:val="16"/>
              </w:rPr>
              <w:t xml:space="preserve">- </w:t>
            </w:r>
          </w:p>
        </w:tc>
        <w:tc>
          <w:tcPr>
            <w:tcW w:w="1057" w:type="dxa"/>
            <w:shd w:val="clear" w:color="auto" w:fill="auto"/>
            <w:noWrap/>
            <w:vAlign w:val="bottom"/>
          </w:tcPr>
          <w:p w14:paraId="2685DA3B" w14:textId="7025EF1C" w:rsidR="009C5CD1" w:rsidRPr="0037401B" w:rsidRDefault="009C5CD1" w:rsidP="009C5CD1">
            <w:pPr>
              <w:spacing w:before="40"/>
              <w:jc w:val="right"/>
              <w:rPr>
                <w:sz w:val="16"/>
                <w:szCs w:val="16"/>
              </w:rPr>
            </w:pPr>
            <w:r w:rsidRPr="007F589F">
              <w:rPr>
                <w:sz w:val="16"/>
                <w:szCs w:val="16"/>
              </w:rPr>
              <w:t>(28,891)</w:t>
            </w:r>
          </w:p>
        </w:tc>
      </w:tr>
      <w:tr w:rsidR="009C5CD1" w:rsidRPr="00AE7300" w14:paraId="72849945" w14:textId="77777777" w:rsidTr="005101BC">
        <w:trPr>
          <w:trHeight w:val="272"/>
        </w:trPr>
        <w:tc>
          <w:tcPr>
            <w:tcW w:w="1957" w:type="dxa"/>
            <w:shd w:val="clear" w:color="auto" w:fill="auto"/>
            <w:vAlign w:val="bottom"/>
          </w:tcPr>
          <w:p w14:paraId="02E02580" w14:textId="09014C24" w:rsidR="009C5CD1" w:rsidRPr="00AE7300" w:rsidRDefault="009C5CD1" w:rsidP="009C5CD1">
            <w:pPr>
              <w:spacing w:before="40"/>
              <w:rPr>
                <w:color w:val="000000"/>
                <w:sz w:val="20"/>
              </w:rPr>
            </w:pPr>
            <w:r w:rsidRPr="00AE7300">
              <w:rPr>
                <w:color w:val="000000"/>
                <w:sz w:val="20"/>
              </w:rPr>
              <w:t>Trade and other</w:t>
            </w:r>
            <w:r>
              <w:rPr>
                <w:color w:val="000000"/>
                <w:sz w:val="20"/>
              </w:rPr>
              <w:t xml:space="preserve"> </w:t>
            </w:r>
            <w:r w:rsidRPr="00AE7300">
              <w:rPr>
                <w:color w:val="000000"/>
                <w:sz w:val="20"/>
              </w:rPr>
              <w:t>payables</w:t>
            </w:r>
          </w:p>
        </w:tc>
        <w:tc>
          <w:tcPr>
            <w:tcW w:w="1099" w:type="dxa"/>
            <w:shd w:val="clear" w:color="auto" w:fill="auto"/>
            <w:noWrap/>
            <w:vAlign w:val="bottom"/>
          </w:tcPr>
          <w:p w14:paraId="6C0B500D" w14:textId="0CDE0D45" w:rsidR="009C5CD1" w:rsidRPr="009C5CD1" w:rsidRDefault="009C5CD1" w:rsidP="009C5CD1">
            <w:pPr>
              <w:pBdr>
                <w:bottom w:val="single" w:sz="4" w:space="1" w:color="auto"/>
              </w:pBdr>
              <w:spacing w:before="40"/>
              <w:jc w:val="right"/>
              <w:rPr>
                <w:rFonts w:asciiTheme="majorBidi" w:hAnsiTheme="majorBidi" w:cstheme="majorBidi"/>
                <w:b/>
                <w:bCs/>
                <w:sz w:val="16"/>
                <w:szCs w:val="16"/>
                <w:highlight w:val="yellow"/>
              </w:rPr>
            </w:pPr>
            <w:r w:rsidRPr="00E43187">
              <w:rPr>
                <w:sz w:val="16"/>
                <w:szCs w:val="16"/>
              </w:rPr>
              <w:t>(27,317)</w:t>
            </w:r>
          </w:p>
        </w:tc>
        <w:tc>
          <w:tcPr>
            <w:tcW w:w="822" w:type="dxa"/>
            <w:shd w:val="clear" w:color="auto" w:fill="auto"/>
            <w:noWrap/>
            <w:vAlign w:val="bottom"/>
          </w:tcPr>
          <w:p w14:paraId="090AF78B" w14:textId="3DAFD899" w:rsidR="009C5CD1" w:rsidRPr="009C5CD1" w:rsidRDefault="009C5CD1" w:rsidP="009C5CD1">
            <w:pPr>
              <w:pBdr>
                <w:bottom w:val="single" w:sz="4" w:space="1" w:color="auto"/>
              </w:pBdr>
              <w:spacing w:before="40"/>
              <w:jc w:val="right"/>
              <w:rPr>
                <w:rFonts w:asciiTheme="majorBidi" w:hAnsiTheme="majorBidi" w:cstheme="majorBidi"/>
                <w:b/>
                <w:bCs/>
                <w:sz w:val="16"/>
                <w:szCs w:val="16"/>
                <w:highlight w:val="yellow"/>
              </w:rPr>
            </w:pPr>
            <w:r w:rsidRPr="00E43187">
              <w:rPr>
                <w:sz w:val="16"/>
                <w:szCs w:val="16"/>
              </w:rPr>
              <w:t>(11,673)</w:t>
            </w:r>
          </w:p>
        </w:tc>
        <w:tc>
          <w:tcPr>
            <w:tcW w:w="823" w:type="dxa"/>
            <w:shd w:val="clear" w:color="auto" w:fill="auto"/>
            <w:noWrap/>
            <w:vAlign w:val="bottom"/>
          </w:tcPr>
          <w:p w14:paraId="04C73A6F" w14:textId="1E1538D4" w:rsidR="009C5CD1" w:rsidRPr="009C5CD1" w:rsidRDefault="009C5CD1" w:rsidP="009C5CD1">
            <w:pPr>
              <w:pBdr>
                <w:bottom w:val="single" w:sz="4" w:space="1" w:color="auto"/>
              </w:pBdr>
              <w:spacing w:before="40"/>
              <w:jc w:val="right"/>
              <w:rPr>
                <w:rFonts w:asciiTheme="majorBidi" w:hAnsiTheme="majorBidi" w:cstheme="majorBidi"/>
                <w:b/>
                <w:bCs/>
                <w:sz w:val="16"/>
                <w:szCs w:val="16"/>
                <w:highlight w:val="yellow"/>
              </w:rPr>
            </w:pPr>
            <w:r w:rsidRPr="00E43187">
              <w:rPr>
                <w:sz w:val="16"/>
                <w:szCs w:val="16"/>
              </w:rPr>
              <w:t>(22,200)</w:t>
            </w:r>
          </w:p>
        </w:tc>
        <w:tc>
          <w:tcPr>
            <w:tcW w:w="686" w:type="dxa"/>
            <w:shd w:val="clear" w:color="auto" w:fill="auto"/>
            <w:noWrap/>
            <w:vAlign w:val="bottom"/>
          </w:tcPr>
          <w:p w14:paraId="6A196ADF" w14:textId="2F31EF4A" w:rsidR="009C5CD1" w:rsidRPr="009C5CD1" w:rsidRDefault="009C5CD1" w:rsidP="009C5CD1">
            <w:pPr>
              <w:pBdr>
                <w:bottom w:val="single" w:sz="4" w:space="1" w:color="auto"/>
              </w:pBdr>
              <w:spacing w:before="40"/>
              <w:jc w:val="right"/>
              <w:rPr>
                <w:rFonts w:asciiTheme="majorBidi" w:hAnsiTheme="majorBidi" w:cstheme="majorBidi"/>
                <w:b/>
                <w:bCs/>
                <w:sz w:val="16"/>
                <w:szCs w:val="16"/>
                <w:highlight w:val="yellow"/>
              </w:rPr>
            </w:pPr>
            <w:r w:rsidRPr="00E43187">
              <w:rPr>
                <w:sz w:val="16"/>
                <w:szCs w:val="16"/>
              </w:rPr>
              <w:t>(598)</w:t>
            </w:r>
          </w:p>
        </w:tc>
        <w:tc>
          <w:tcPr>
            <w:tcW w:w="824" w:type="dxa"/>
            <w:shd w:val="clear" w:color="auto" w:fill="auto"/>
            <w:noWrap/>
            <w:vAlign w:val="bottom"/>
          </w:tcPr>
          <w:p w14:paraId="6C25CFD7" w14:textId="29B5AE4B" w:rsidR="009C5CD1" w:rsidRPr="009C5CD1" w:rsidRDefault="009C5CD1" w:rsidP="009C5CD1">
            <w:pPr>
              <w:pBdr>
                <w:bottom w:val="single" w:sz="4" w:space="1" w:color="auto"/>
              </w:pBdr>
              <w:spacing w:before="40"/>
              <w:jc w:val="right"/>
              <w:rPr>
                <w:rFonts w:asciiTheme="majorBidi" w:hAnsiTheme="majorBidi" w:cstheme="majorBidi"/>
                <w:b/>
                <w:bCs/>
                <w:sz w:val="16"/>
                <w:szCs w:val="16"/>
                <w:highlight w:val="yellow"/>
              </w:rPr>
            </w:pPr>
            <w:r w:rsidRPr="00E43187">
              <w:rPr>
                <w:sz w:val="16"/>
                <w:szCs w:val="16"/>
              </w:rPr>
              <w:t>(25,752)</w:t>
            </w:r>
          </w:p>
        </w:tc>
        <w:tc>
          <w:tcPr>
            <w:tcW w:w="823" w:type="dxa"/>
            <w:shd w:val="clear" w:color="auto" w:fill="auto"/>
            <w:noWrap/>
            <w:vAlign w:val="bottom"/>
          </w:tcPr>
          <w:p w14:paraId="01A35B5A" w14:textId="39EC46DE" w:rsidR="009C5CD1" w:rsidRPr="009C5CD1" w:rsidRDefault="009C5CD1" w:rsidP="009C5CD1">
            <w:pPr>
              <w:pBdr>
                <w:bottom w:val="single" w:sz="4" w:space="1" w:color="auto"/>
              </w:pBdr>
              <w:spacing w:before="40"/>
              <w:jc w:val="right"/>
              <w:rPr>
                <w:rFonts w:asciiTheme="majorBidi" w:hAnsiTheme="majorBidi" w:cstheme="majorBidi"/>
                <w:b/>
                <w:bCs/>
                <w:sz w:val="16"/>
                <w:szCs w:val="16"/>
                <w:highlight w:val="yellow"/>
              </w:rPr>
            </w:pPr>
            <w:r w:rsidRPr="00E43187">
              <w:rPr>
                <w:sz w:val="16"/>
                <w:szCs w:val="16"/>
              </w:rPr>
              <w:t>(15,759)</w:t>
            </w:r>
          </w:p>
        </w:tc>
        <w:tc>
          <w:tcPr>
            <w:tcW w:w="865" w:type="dxa"/>
            <w:shd w:val="clear" w:color="auto" w:fill="auto"/>
            <w:noWrap/>
            <w:vAlign w:val="bottom"/>
          </w:tcPr>
          <w:p w14:paraId="72F44311" w14:textId="75DBFC38" w:rsidR="009C5CD1" w:rsidRPr="009C5CD1" w:rsidRDefault="009C5CD1" w:rsidP="009C5CD1">
            <w:pPr>
              <w:pBdr>
                <w:bottom w:val="single" w:sz="4" w:space="1" w:color="auto"/>
              </w:pBdr>
              <w:spacing w:before="40"/>
              <w:jc w:val="right"/>
              <w:rPr>
                <w:rFonts w:asciiTheme="majorBidi" w:hAnsiTheme="majorBidi" w:cstheme="majorBidi"/>
                <w:b/>
                <w:bCs/>
                <w:sz w:val="16"/>
                <w:szCs w:val="16"/>
                <w:highlight w:val="yellow"/>
              </w:rPr>
            </w:pPr>
            <w:r w:rsidRPr="00E43187">
              <w:rPr>
                <w:sz w:val="16"/>
                <w:szCs w:val="16"/>
              </w:rPr>
              <w:t>-</w:t>
            </w:r>
          </w:p>
        </w:tc>
        <w:tc>
          <w:tcPr>
            <w:tcW w:w="1063" w:type="dxa"/>
            <w:shd w:val="clear" w:color="auto" w:fill="auto"/>
            <w:noWrap/>
            <w:vAlign w:val="bottom"/>
          </w:tcPr>
          <w:p w14:paraId="1FBDC5EF" w14:textId="1367EC34" w:rsidR="009C5CD1" w:rsidRPr="009C5CD1" w:rsidRDefault="009C5CD1" w:rsidP="009C5CD1">
            <w:pPr>
              <w:pBdr>
                <w:bottom w:val="single" w:sz="4" w:space="1" w:color="auto"/>
              </w:pBdr>
              <w:spacing w:before="40"/>
              <w:jc w:val="right"/>
              <w:rPr>
                <w:rFonts w:asciiTheme="majorBidi" w:hAnsiTheme="majorBidi" w:cstheme="majorBidi"/>
                <w:b/>
                <w:bCs/>
                <w:sz w:val="16"/>
                <w:szCs w:val="16"/>
                <w:highlight w:val="yellow"/>
              </w:rPr>
            </w:pPr>
            <w:r w:rsidRPr="00E43187">
              <w:rPr>
                <w:sz w:val="16"/>
                <w:szCs w:val="16"/>
              </w:rPr>
              <w:t>(103,299)</w:t>
            </w:r>
          </w:p>
        </w:tc>
        <w:tc>
          <w:tcPr>
            <w:tcW w:w="992" w:type="dxa"/>
            <w:shd w:val="clear" w:color="auto" w:fill="auto"/>
            <w:noWrap/>
            <w:vAlign w:val="bottom"/>
          </w:tcPr>
          <w:p w14:paraId="4E5F3046" w14:textId="5C6CB7EE" w:rsidR="009C5CD1" w:rsidRPr="0037401B" w:rsidRDefault="009C5CD1" w:rsidP="009C5CD1">
            <w:pPr>
              <w:pBdr>
                <w:bottom w:val="single" w:sz="4" w:space="1" w:color="auto"/>
              </w:pBdr>
              <w:spacing w:before="40"/>
              <w:jc w:val="right"/>
              <w:rPr>
                <w:color w:val="000000"/>
                <w:sz w:val="16"/>
                <w:szCs w:val="16"/>
              </w:rPr>
            </w:pPr>
            <w:r w:rsidRPr="007F589F">
              <w:rPr>
                <w:sz w:val="16"/>
                <w:szCs w:val="16"/>
              </w:rPr>
              <w:t>(73,833)</w:t>
            </w:r>
          </w:p>
        </w:tc>
        <w:tc>
          <w:tcPr>
            <w:tcW w:w="933" w:type="dxa"/>
            <w:shd w:val="clear" w:color="auto" w:fill="auto"/>
            <w:noWrap/>
            <w:vAlign w:val="bottom"/>
          </w:tcPr>
          <w:p w14:paraId="34CBCE17" w14:textId="0FA6DD8A" w:rsidR="009C5CD1" w:rsidRPr="0037401B" w:rsidRDefault="009C5CD1" w:rsidP="009C5CD1">
            <w:pPr>
              <w:pBdr>
                <w:bottom w:val="single" w:sz="4" w:space="1" w:color="auto"/>
              </w:pBdr>
              <w:spacing w:before="40"/>
              <w:jc w:val="right"/>
              <w:rPr>
                <w:color w:val="000000"/>
                <w:sz w:val="16"/>
                <w:szCs w:val="16"/>
              </w:rPr>
            </w:pPr>
            <w:r w:rsidRPr="007F589F">
              <w:rPr>
                <w:sz w:val="16"/>
                <w:szCs w:val="16"/>
              </w:rPr>
              <w:t>(16,701)</w:t>
            </w:r>
          </w:p>
        </w:tc>
        <w:tc>
          <w:tcPr>
            <w:tcW w:w="824" w:type="dxa"/>
            <w:shd w:val="clear" w:color="auto" w:fill="auto"/>
            <w:noWrap/>
            <w:vAlign w:val="bottom"/>
          </w:tcPr>
          <w:p w14:paraId="09AE07F9" w14:textId="4BA59403" w:rsidR="009C5CD1" w:rsidRPr="0037401B" w:rsidRDefault="009C5CD1" w:rsidP="009C5CD1">
            <w:pPr>
              <w:pBdr>
                <w:bottom w:val="single" w:sz="4" w:space="1" w:color="auto"/>
              </w:pBdr>
              <w:spacing w:before="40"/>
              <w:jc w:val="right"/>
              <w:rPr>
                <w:color w:val="000000"/>
                <w:sz w:val="16"/>
                <w:szCs w:val="16"/>
              </w:rPr>
            </w:pPr>
            <w:r w:rsidRPr="007F589F">
              <w:rPr>
                <w:sz w:val="16"/>
                <w:szCs w:val="16"/>
              </w:rPr>
              <w:t>(14,311)</w:t>
            </w:r>
          </w:p>
        </w:tc>
        <w:tc>
          <w:tcPr>
            <w:tcW w:w="687" w:type="dxa"/>
            <w:shd w:val="clear" w:color="auto" w:fill="auto"/>
            <w:noWrap/>
            <w:vAlign w:val="bottom"/>
          </w:tcPr>
          <w:p w14:paraId="74749719" w14:textId="7855C356" w:rsidR="009C5CD1" w:rsidRPr="0037401B" w:rsidRDefault="009C5CD1" w:rsidP="009C5CD1">
            <w:pPr>
              <w:pBdr>
                <w:bottom w:val="single" w:sz="4" w:space="1" w:color="auto"/>
              </w:pBdr>
              <w:spacing w:before="40"/>
              <w:jc w:val="right"/>
              <w:rPr>
                <w:color w:val="000000"/>
                <w:sz w:val="16"/>
                <w:szCs w:val="16"/>
              </w:rPr>
            </w:pPr>
            <w:r w:rsidRPr="007F589F">
              <w:rPr>
                <w:sz w:val="16"/>
                <w:szCs w:val="16"/>
              </w:rPr>
              <w:t>(270)</w:t>
            </w:r>
          </w:p>
        </w:tc>
        <w:tc>
          <w:tcPr>
            <w:tcW w:w="962" w:type="dxa"/>
            <w:shd w:val="clear" w:color="auto" w:fill="auto"/>
            <w:noWrap/>
            <w:vAlign w:val="bottom"/>
          </w:tcPr>
          <w:p w14:paraId="37D58A66" w14:textId="12B2CE1D" w:rsidR="009C5CD1" w:rsidRPr="0037401B" w:rsidRDefault="009C5CD1" w:rsidP="009C5CD1">
            <w:pPr>
              <w:pBdr>
                <w:bottom w:val="single" w:sz="4" w:space="1" w:color="auto"/>
              </w:pBdr>
              <w:spacing w:before="40"/>
              <w:jc w:val="right"/>
              <w:rPr>
                <w:color w:val="000000"/>
                <w:sz w:val="16"/>
                <w:szCs w:val="16"/>
              </w:rPr>
            </w:pPr>
            <w:r w:rsidRPr="007F589F">
              <w:rPr>
                <w:sz w:val="16"/>
                <w:szCs w:val="16"/>
              </w:rPr>
              <w:t>(20,643)</w:t>
            </w:r>
          </w:p>
        </w:tc>
        <w:tc>
          <w:tcPr>
            <w:tcW w:w="775" w:type="dxa"/>
            <w:shd w:val="clear" w:color="auto" w:fill="auto"/>
            <w:noWrap/>
            <w:vAlign w:val="bottom"/>
          </w:tcPr>
          <w:p w14:paraId="162B4FB0" w14:textId="5DCA98DE" w:rsidR="009C5CD1" w:rsidRPr="0037401B" w:rsidRDefault="009C5CD1" w:rsidP="009C5CD1">
            <w:pPr>
              <w:pBdr>
                <w:bottom w:val="single" w:sz="4" w:space="1" w:color="auto"/>
              </w:pBdr>
              <w:spacing w:before="40"/>
              <w:jc w:val="right"/>
              <w:rPr>
                <w:color w:val="000000"/>
                <w:sz w:val="16"/>
                <w:szCs w:val="16"/>
              </w:rPr>
            </w:pPr>
            <w:r w:rsidRPr="007F589F">
              <w:rPr>
                <w:sz w:val="16"/>
                <w:szCs w:val="16"/>
              </w:rPr>
              <w:t>(16,815)</w:t>
            </w:r>
          </w:p>
        </w:tc>
        <w:tc>
          <w:tcPr>
            <w:tcW w:w="857" w:type="dxa"/>
            <w:shd w:val="clear" w:color="auto" w:fill="auto"/>
            <w:noWrap/>
            <w:vAlign w:val="bottom"/>
          </w:tcPr>
          <w:p w14:paraId="169CC43E" w14:textId="7494A8F0" w:rsidR="009C5CD1" w:rsidRPr="0037401B" w:rsidRDefault="009C5CD1" w:rsidP="009C5CD1">
            <w:pPr>
              <w:pBdr>
                <w:bottom w:val="single" w:sz="4" w:space="1" w:color="auto"/>
              </w:pBdr>
              <w:spacing w:before="40"/>
              <w:jc w:val="right"/>
              <w:rPr>
                <w:sz w:val="16"/>
                <w:szCs w:val="16"/>
              </w:rPr>
            </w:pPr>
            <w:r w:rsidRPr="007F589F">
              <w:rPr>
                <w:sz w:val="16"/>
                <w:szCs w:val="16"/>
              </w:rPr>
              <w:t>(4)</w:t>
            </w:r>
          </w:p>
        </w:tc>
        <w:tc>
          <w:tcPr>
            <w:tcW w:w="1057" w:type="dxa"/>
            <w:shd w:val="clear" w:color="auto" w:fill="auto"/>
            <w:noWrap/>
            <w:vAlign w:val="bottom"/>
          </w:tcPr>
          <w:p w14:paraId="172145EF" w14:textId="5F2D49A5" w:rsidR="009C5CD1" w:rsidRPr="0037401B" w:rsidRDefault="009C5CD1" w:rsidP="009C5CD1">
            <w:pPr>
              <w:pBdr>
                <w:bottom w:val="single" w:sz="4" w:space="1" w:color="auto"/>
              </w:pBdr>
              <w:spacing w:before="40"/>
              <w:jc w:val="right"/>
              <w:rPr>
                <w:color w:val="000000"/>
                <w:sz w:val="16"/>
                <w:szCs w:val="16"/>
              </w:rPr>
            </w:pPr>
            <w:r w:rsidRPr="007F589F">
              <w:rPr>
                <w:sz w:val="16"/>
                <w:szCs w:val="16"/>
              </w:rPr>
              <w:t>(142,577)</w:t>
            </w:r>
          </w:p>
        </w:tc>
      </w:tr>
      <w:tr w:rsidR="009C5CD1" w:rsidRPr="00AE7300" w14:paraId="07E8F70C" w14:textId="77777777" w:rsidTr="005101BC">
        <w:trPr>
          <w:trHeight w:val="272"/>
        </w:trPr>
        <w:tc>
          <w:tcPr>
            <w:tcW w:w="1957" w:type="dxa"/>
            <w:shd w:val="clear" w:color="auto" w:fill="auto"/>
            <w:vAlign w:val="bottom"/>
            <w:hideMark/>
          </w:tcPr>
          <w:p w14:paraId="2F5262C3" w14:textId="77777777" w:rsidR="009C5CD1" w:rsidRPr="00AE7300" w:rsidRDefault="009C5CD1" w:rsidP="009C5CD1">
            <w:pPr>
              <w:spacing w:before="40"/>
              <w:rPr>
                <w:sz w:val="20"/>
              </w:rPr>
            </w:pPr>
            <w:r w:rsidRPr="00AE7300">
              <w:rPr>
                <w:color w:val="000000"/>
                <w:sz w:val="20"/>
              </w:rPr>
              <w:t>Balance exposure</w:t>
            </w:r>
          </w:p>
        </w:tc>
        <w:tc>
          <w:tcPr>
            <w:tcW w:w="1099" w:type="dxa"/>
            <w:shd w:val="clear" w:color="auto" w:fill="auto"/>
            <w:noWrap/>
            <w:vAlign w:val="bottom"/>
          </w:tcPr>
          <w:p w14:paraId="06A3AE8E" w14:textId="14DD441C" w:rsidR="009C5CD1" w:rsidRPr="009C5CD1" w:rsidRDefault="009C5CD1" w:rsidP="009C5CD1">
            <w:pPr>
              <w:pBdr>
                <w:bottom w:val="double" w:sz="4" w:space="0" w:color="000000"/>
              </w:pBdr>
              <w:spacing w:before="40"/>
              <w:jc w:val="right"/>
              <w:rPr>
                <w:rFonts w:asciiTheme="majorBidi" w:hAnsiTheme="majorBidi" w:cstheme="majorBidi"/>
                <w:b/>
                <w:bCs/>
                <w:sz w:val="16"/>
                <w:szCs w:val="16"/>
                <w:highlight w:val="yellow"/>
              </w:rPr>
            </w:pPr>
            <w:r w:rsidRPr="00E43187">
              <w:rPr>
                <w:sz w:val="16"/>
                <w:szCs w:val="16"/>
              </w:rPr>
              <w:t>(2,321,104)</w:t>
            </w:r>
          </w:p>
        </w:tc>
        <w:tc>
          <w:tcPr>
            <w:tcW w:w="822" w:type="dxa"/>
            <w:shd w:val="clear" w:color="auto" w:fill="auto"/>
            <w:noWrap/>
            <w:vAlign w:val="bottom"/>
          </w:tcPr>
          <w:p w14:paraId="506C3DA6" w14:textId="078AA903" w:rsidR="009C5CD1" w:rsidRPr="009C5CD1" w:rsidRDefault="009C5CD1" w:rsidP="009C5CD1">
            <w:pPr>
              <w:pBdr>
                <w:bottom w:val="double" w:sz="4" w:space="0" w:color="000000"/>
              </w:pBdr>
              <w:spacing w:before="40"/>
              <w:jc w:val="right"/>
              <w:rPr>
                <w:rFonts w:asciiTheme="majorBidi" w:hAnsiTheme="majorBidi" w:cstheme="majorBidi"/>
                <w:b/>
                <w:bCs/>
                <w:sz w:val="16"/>
                <w:szCs w:val="16"/>
                <w:highlight w:val="yellow"/>
              </w:rPr>
            </w:pPr>
            <w:r w:rsidRPr="00E43187">
              <w:rPr>
                <w:sz w:val="16"/>
                <w:szCs w:val="16"/>
              </w:rPr>
              <w:t>(13,425)</w:t>
            </w:r>
          </w:p>
        </w:tc>
        <w:tc>
          <w:tcPr>
            <w:tcW w:w="823" w:type="dxa"/>
            <w:shd w:val="clear" w:color="auto" w:fill="auto"/>
            <w:noWrap/>
            <w:vAlign w:val="bottom"/>
          </w:tcPr>
          <w:p w14:paraId="6385EEC1" w14:textId="445389CC" w:rsidR="009C5CD1" w:rsidRPr="009C5CD1" w:rsidRDefault="009C5CD1" w:rsidP="009C5CD1">
            <w:pPr>
              <w:pBdr>
                <w:bottom w:val="double" w:sz="4" w:space="0" w:color="000000"/>
              </w:pBdr>
              <w:spacing w:before="40"/>
              <w:jc w:val="right"/>
              <w:rPr>
                <w:rFonts w:asciiTheme="majorBidi" w:hAnsiTheme="majorBidi" w:cstheme="majorBidi"/>
                <w:b/>
                <w:bCs/>
                <w:sz w:val="16"/>
                <w:szCs w:val="16"/>
                <w:highlight w:val="yellow"/>
              </w:rPr>
            </w:pPr>
            <w:r w:rsidRPr="00E43187">
              <w:rPr>
                <w:sz w:val="16"/>
                <w:szCs w:val="16"/>
              </w:rPr>
              <w:t>16,277</w:t>
            </w:r>
          </w:p>
        </w:tc>
        <w:tc>
          <w:tcPr>
            <w:tcW w:w="686" w:type="dxa"/>
            <w:shd w:val="clear" w:color="auto" w:fill="auto"/>
            <w:noWrap/>
            <w:vAlign w:val="bottom"/>
          </w:tcPr>
          <w:p w14:paraId="24256012" w14:textId="72DFBF9B" w:rsidR="009C5CD1" w:rsidRPr="009C5CD1" w:rsidRDefault="009C5CD1" w:rsidP="009C5CD1">
            <w:pPr>
              <w:pBdr>
                <w:bottom w:val="double" w:sz="4" w:space="0" w:color="000000"/>
              </w:pBdr>
              <w:spacing w:before="40"/>
              <w:jc w:val="right"/>
              <w:rPr>
                <w:rFonts w:asciiTheme="majorBidi" w:hAnsiTheme="majorBidi" w:cstheme="majorBidi"/>
                <w:b/>
                <w:bCs/>
                <w:sz w:val="16"/>
                <w:szCs w:val="16"/>
                <w:highlight w:val="yellow"/>
              </w:rPr>
            </w:pPr>
            <w:r w:rsidRPr="00E43187">
              <w:rPr>
                <w:sz w:val="16"/>
                <w:szCs w:val="16"/>
              </w:rPr>
              <w:t>5,829</w:t>
            </w:r>
          </w:p>
        </w:tc>
        <w:tc>
          <w:tcPr>
            <w:tcW w:w="824" w:type="dxa"/>
            <w:shd w:val="clear" w:color="auto" w:fill="auto"/>
            <w:noWrap/>
            <w:vAlign w:val="bottom"/>
          </w:tcPr>
          <w:p w14:paraId="48E352FA" w14:textId="36A7699A" w:rsidR="009C5CD1" w:rsidRPr="009C5CD1" w:rsidRDefault="009C5CD1" w:rsidP="009C5CD1">
            <w:pPr>
              <w:pBdr>
                <w:bottom w:val="double" w:sz="4" w:space="0" w:color="000000"/>
              </w:pBdr>
              <w:spacing w:before="40"/>
              <w:jc w:val="right"/>
              <w:rPr>
                <w:rFonts w:asciiTheme="majorBidi" w:hAnsiTheme="majorBidi" w:cstheme="majorBidi"/>
                <w:b/>
                <w:bCs/>
                <w:sz w:val="16"/>
                <w:szCs w:val="16"/>
                <w:highlight w:val="yellow"/>
              </w:rPr>
            </w:pPr>
            <w:r w:rsidRPr="00E43187">
              <w:rPr>
                <w:sz w:val="16"/>
                <w:szCs w:val="16"/>
              </w:rPr>
              <w:t>38,193</w:t>
            </w:r>
          </w:p>
        </w:tc>
        <w:tc>
          <w:tcPr>
            <w:tcW w:w="823" w:type="dxa"/>
            <w:shd w:val="clear" w:color="auto" w:fill="auto"/>
            <w:noWrap/>
            <w:vAlign w:val="bottom"/>
          </w:tcPr>
          <w:p w14:paraId="53F322C0" w14:textId="4F8B09DE" w:rsidR="009C5CD1" w:rsidRPr="009C5CD1" w:rsidRDefault="009C5CD1" w:rsidP="009C5CD1">
            <w:pPr>
              <w:pBdr>
                <w:bottom w:val="double" w:sz="4" w:space="0" w:color="000000"/>
              </w:pBdr>
              <w:spacing w:before="40"/>
              <w:jc w:val="right"/>
              <w:rPr>
                <w:rFonts w:asciiTheme="majorBidi" w:hAnsiTheme="majorBidi" w:cstheme="majorBidi"/>
                <w:b/>
                <w:bCs/>
                <w:sz w:val="16"/>
                <w:szCs w:val="16"/>
                <w:highlight w:val="yellow"/>
              </w:rPr>
            </w:pPr>
            <w:r w:rsidRPr="00E43187">
              <w:rPr>
                <w:sz w:val="16"/>
                <w:szCs w:val="16"/>
              </w:rPr>
              <w:t>(4,221)</w:t>
            </w:r>
          </w:p>
        </w:tc>
        <w:tc>
          <w:tcPr>
            <w:tcW w:w="865" w:type="dxa"/>
            <w:shd w:val="clear" w:color="auto" w:fill="auto"/>
            <w:noWrap/>
            <w:vAlign w:val="bottom"/>
          </w:tcPr>
          <w:p w14:paraId="3189091A" w14:textId="24066A15" w:rsidR="009C5CD1" w:rsidRPr="009C5CD1" w:rsidRDefault="009C5CD1" w:rsidP="009C5CD1">
            <w:pPr>
              <w:pBdr>
                <w:bottom w:val="double" w:sz="4" w:space="0" w:color="000000"/>
              </w:pBdr>
              <w:spacing w:before="40"/>
              <w:jc w:val="right"/>
              <w:rPr>
                <w:rFonts w:asciiTheme="majorBidi" w:hAnsiTheme="majorBidi" w:cstheme="majorBidi"/>
                <w:b/>
                <w:bCs/>
                <w:sz w:val="16"/>
                <w:szCs w:val="16"/>
                <w:highlight w:val="yellow"/>
              </w:rPr>
            </w:pPr>
            <w:r w:rsidRPr="00E43187">
              <w:rPr>
                <w:sz w:val="16"/>
                <w:szCs w:val="16"/>
              </w:rPr>
              <w:t>(88,082)</w:t>
            </w:r>
          </w:p>
        </w:tc>
        <w:tc>
          <w:tcPr>
            <w:tcW w:w="1063" w:type="dxa"/>
            <w:shd w:val="clear" w:color="auto" w:fill="auto"/>
            <w:noWrap/>
            <w:vAlign w:val="bottom"/>
          </w:tcPr>
          <w:p w14:paraId="712EECC1" w14:textId="252078B4" w:rsidR="009C5CD1" w:rsidRPr="009C5CD1" w:rsidRDefault="009C5CD1" w:rsidP="009C5CD1">
            <w:pPr>
              <w:pBdr>
                <w:bottom w:val="double" w:sz="4" w:space="0" w:color="000000"/>
              </w:pBdr>
              <w:spacing w:before="40"/>
              <w:jc w:val="right"/>
              <w:rPr>
                <w:rFonts w:asciiTheme="majorBidi" w:hAnsiTheme="majorBidi" w:cstheme="majorBidi"/>
                <w:b/>
                <w:bCs/>
                <w:sz w:val="16"/>
                <w:szCs w:val="16"/>
                <w:highlight w:val="yellow"/>
              </w:rPr>
            </w:pPr>
            <w:r w:rsidRPr="00E43187">
              <w:rPr>
                <w:sz w:val="16"/>
                <w:szCs w:val="16"/>
              </w:rPr>
              <w:t>(2,366,533)</w:t>
            </w:r>
          </w:p>
        </w:tc>
        <w:tc>
          <w:tcPr>
            <w:tcW w:w="992" w:type="dxa"/>
            <w:shd w:val="clear" w:color="auto" w:fill="auto"/>
            <w:noWrap/>
            <w:vAlign w:val="bottom"/>
          </w:tcPr>
          <w:p w14:paraId="303D9ECD" w14:textId="2F6C3BEB" w:rsidR="009C5CD1" w:rsidRPr="0037401B" w:rsidRDefault="009C5CD1" w:rsidP="009C5CD1">
            <w:pPr>
              <w:pBdr>
                <w:bottom w:val="double" w:sz="4" w:space="0" w:color="000000"/>
              </w:pBdr>
              <w:spacing w:before="40"/>
              <w:jc w:val="right"/>
              <w:rPr>
                <w:sz w:val="16"/>
                <w:szCs w:val="16"/>
              </w:rPr>
            </w:pPr>
            <w:r w:rsidRPr="007F589F">
              <w:rPr>
                <w:sz w:val="16"/>
                <w:szCs w:val="16"/>
              </w:rPr>
              <w:t>(2,074,769)</w:t>
            </w:r>
          </w:p>
        </w:tc>
        <w:tc>
          <w:tcPr>
            <w:tcW w:w="933" w:type="dxa"/>
            <w:shd w:val="clear" w:color="auto" w:fill="auto"/>
            <w:noWrap/>
            <w:vAlign w:val="bottom"/>
          </w:tcPr>
          <w:p w14:paraId="4701ED86" w14:textId="471603BA" w:rsidR="009C5CD1" w:rsidRPr="0037401B" w:rsidRDefault="009C5CD1" w:rsidP="009C5CD1">
            <w:pPr>
              <w:pBdr>
                <w:bottom w:val="double" w:sz="4" w:space="0" w:color="000000"/>
              </w:pBdr>
              <w:spacing w:before="40"/>
              <w:jc w:val="right"/>
              <w:rPr>
                <w:sz w:val="16"/>
                <w:szCs w:val="16"/>
              </w:rPr>
            </w:pPr>
            <w:r w:rsidRPr="007F589F">
              <w:rPr>
                <w:sz w:val="16"/>
                <w:szCs w:val="16"/>
              </w:rPr>
              <w:t>(9,366)</w:t>
            </w:r>
          </w:p>
        </w:tc>
        <w:tc>
          <w:tcPr>
            <w:tcW w:w="824" w:type="dxa"/>
            <w:shd w:val="clear" w:color="auto" w:fill="auto"/>
            <w:noWrap/>
            <w:vAlign w:val="bottom"/>
          </w:tcPr>
          <w:p w14:paraId="3001F95C" w14:textId="53FC655F" w:rsidR="009C5CD1" w:rsidRPr="0037401B" w:rsidRDefault="009C5CD1" w:rsidP="009C5CD1">
            <w:pPr>
              <w:pBdr>
                <w:bottom w:val="double" w:sz="4" w:space="0" w:color="000000"/>
              </w:pBdr>
              <w:spacing w:before="40"/>
              <w:jc w:val="right"/>
              <w:rPr>
                <w:sz w:val="16"/>
                <w:szCs w:val="16"/>
              </w:rPr>
            </w:pPr>
            <w:r w:rsidRPr="007F589F">
              <w:rPr>
                <w:sz w:val="16"/>
                <w:szCs w:val="16"/>
              </w:rPr>
              <w:t xml:space="preserve">75,526 </w:t>
            </w:r>
          </w:p>
        </w:tc>
        <w:tc>
          <w:tcPr>
            <w:tcW w:w="687" w:type="dxa"/>
            <w:shd w:val="clear" w:color="auto" w:fill="auto"/>
            <w:noWrap/>
            <w:vAlign w:val="bottom"/>
          </w:tcPr>
          <w:p w14:paraId="56C8036E" w14:textId="1FE28BFA" w:rsidR="009C5CD1" w:rsidRPr="0037401B" w:rsidRDefault="009C5CD1" w:rsidP="009C5CD1">
            <w:pPr>
              <w:pBdr>
                <w:bottom w:val="double" w:sz="4" w:space="0" w:color="000000"/>
              </w:pBdr>
              <w:spacing w:before="40"/>
              <w:jc w:val="right"/>
              <w:rPr>
                <w:sz w:val="16"/>
                <w:szCs w:val="16"/>
              </w:rPr>
            </w:pPr>
            <w:r w:rsidRPr="007F589F">
              <w:rPr>
                <w:sz w:val="16"/>
                <w:szCs w:val="16"/>
              </w:rPr>
              <w:t xml:space="preserve">15,151 </w:t>
            </w:r>
          </w:p>
        </w:tc>
        <w:tc>
          <w:tcPr>
            <w:tcW w:w="962" w:type="dxa"/>
            <w:shd w:val="clear" w:color="auto" w:fill="auto"/>
            <w:noWrap/>
            <w:vAlign w:val="bottom"/>
          </w:tcPr>
          <w:p w14:paraId="523877F7" w14:textId="6EAC6787" w:rsidR="009C5CD1" w:rsidRPr="0037401B" w:rsidRDefault="009C5CD1" w:rsidP="009C5CD1">
            <w:pPr>
              <w:pBdr>
                <w:bottom w:val="double" w:sz="4" w:space="0" w:color="000000"/>
              </w:pBdr>
              <w:spacing w:before="40"/>
              <w:jc w:val="right"/>
              <w:rPr>
                <w:sz w:val="16"/>
                <w:szCs w:val="16"/>
              </w:rPr>
            </w:pPr>
            <w:r w:rsidRPr="007F589F">
              <w:rPr>
                <w:sz w:val="16"/>
                <w:szCs w:val="16"/>
              </w:rPr>
              <w:t xml:space="preserve">35,591 </w:t>
            </w:r>
          </w:p>
        </w:tc>
        <w:tc>
          <w:tcPr>
            <w:tcW w:w="775" w:type="dxa"/>
            <w:shd w:val="clear" w:color="auto" w:fill="auto"/>
            <w:noWrap/>
            <w:vAlign w:val="bottom"/>
          </w:tcPr>
          <w:p w14:paraId="5B5F12E0" w14:textId="67F157A2" w:rsidR="009C5CD1" w:rsidRPr="0037401B" w:rsidRDefault="009C5CD1" w:rsidP="009C5CD1">
            <w:pPr>
              <w:pBdr>
                <w:bottom w:val="double" w:sz="4" w:space="0" w:color="000000"/>
              </w:pBdr>
              <w:spacing w:before="40"/>
              <w:jc w:val="right"/>
              <w:rPr>
                <w:sz w:val="16"/>
                <w:szCs w:val="16"/>
              </w:rPr>
            </w:pPr>
            <w:r w:rsidRPr="007F589F">
              <w:rPr>
                <w:sz w:val="16"/>
                <w:szCs w:val="16"/>
              </w:rPr>
              <w:t xml:space="preserve">464 </w:t>
            </w:r>
          </w:p>
        </w:tc>
        <w:tc>
          <w:tcPr>
            <w:tcW w:w="857" w:type="dxa"/>
            <w:shd w:val="clear" w:color="auto" w:fill="auto"/>
            <w:noWrap/>
            <w:vAlign w:val="bottom"/>
          </w:tcPr>
          <w:p w14:paraId="6963F48A" w14:textId="310D3995" w:rsidR="009C5CD1" w:rsidRPr="0037401B" w:rsidRDefault="009C5CD1" w:rsidP="009C5CD1">
            <w:pPr>
              <w:pBdr>
                <w:bottom w:val="double" w:sz="4" w:space="0" w:color="000000"/>
              </w:pBdr>
              <w:spacing w:before="40"/>
              <w:jc w:val="right"/>
              <w:rPr>
                <w:sz w:val="16"/>
                <w:szCs w:val="16"/>
              </w:rPr>
            </w:pPr>
            <w:r w:rsidRPr="007F589F">
              <w:rPr>
                <w:sz w:val="16"/>
                <w:szCs w:val="16"/>
              </w:rPr>
              <w:t>(92,357)</w:t>
            </w:r>
          </w:p>
        </w:tc>
        <w:tc>
          <w:tcPr>
            <w:tcW w:w="1057" w:type="dxa"/>
            <w:shd w:val="clear" w:color="auto" w:fill="auto"/>
            <w:noWrap/>
            <w:vAlign w:val="bottom"/>
          </w:tcPr>
          <w:p w14:paraId="3AA931D1" w14:textId="78FF253A" w:rsidR="009C5CD1" w:rsidRPr="0037401B" w:rsidRDefault="009C5CD1" w:rsidP="009C5CD1">
            <w:pPr>
              <w:pBdr>
                <w:bottom w:val="double" w:sz="4" w:space="0" w:color="000000"/>
              </w:pBdr>
              <w:spacing w:before="40"/>
              <w:jc w:val="right"/>
              <w:rPr>
                <w:sz w:val="16"/>
                <w:szCs w:val="16"/>
              </w:rPr>
            </w:pPr>
            <w:r w:rsidRPr="007F589F">
              <w:rPr>
                <w:sz w:val="16"/>
                <w:szCs w:val="16"/>
              </w:rPr>
              <w:t>(2,049,760)</w:t>
            </w:r>
          </w:p>
        </w:tc>
      </w:tr>
    </w:tbl>
    <w:p w14:paraId="0F5A2BDA" w14:textId="77777777" w:rsidR="00C35D07" w:rsidRPr="00F02921" w:rsidRDefault="00C35D07" w:rsidP="004A3C21">
      <w:pPr>
        <w:jc w:val="both"/>
        <w:rPr>
          <w:sz w:val="18"/>
          <w:szCs w:val="18"/>
        </w:rPr>
      </w:pPr>
    </w:p>
    <w:p w14:paraId="11510F48" w14:textId="4154DBFC" w:rsidR="00CE06C8" w:rsidRDefault="00CE06C8" w:rsidP="00CE06C8">
      <w:pPr>
        <w:jc w:val="both"/>
        <w:rPr>
          <w:sz w:val="22"/>
          <w:szCs w:val="22"/>
        </w:rPr>
      </w:pPr>
      <w:r w:rsidRPr="00F02921">
        <w:rPr>
          <w:sz w:val="22"/>
          <w:szCs w:val="22"/>
        </w:rPr>
        <w:t xml:space="preserve">The exchange rates as per period end </w:t>
      </w:r>
      <w:proofErr w:type="gramStart"/>
      <w:r w:rsidRPr="00F02921">
        <w:rPr>
          <w:sz w:val="22"/>
          <w:szCs w:val="22"/>
        </w:rPr>
        <w:t>are</w:t>
      </w:r>
      <w:proofErr w:type="gramEnd"/>
      <w:r w:rsidRPr="00F02921">
        <w:rPr>
          <w:sz w:val="22"/>
          <w:szCs w:val="22"/>
        </w:rPr>
        <w:t xml:space="preserve"> presented in the following table:</w:t>
      </w:r>
      <w:r w:rsidR="005E1E29">
        <w:rPr>
          <w:sz w:val="22"/>
          <w:szCs w:val="22"/>
        </w:rPr>
        <w:t xml:space="preserve"> </w:t>
      </w:r>
    </w:p>
    <w:tbl>
      <w:tblPr>
        <w:tblW w:w="0" w:type="auto"/>
        <w:tblInd w:w="720" w:type="dxa"/>
        <w:tblLook w:val="06A0" w:firstRow="1" w:lastRow="0" w:firstColumn="1" w:lastColumn="0" w:noHBand="1" w:noVBand="1"/>
        <w:tblCaption w:val="AHR02"/>
        <w:tblDescription w:val="The exchange rates as per period end "/>
      </w:tblPr>
      <w:tblGrid>
        <w:gridCol w:w="2480"/>
        <w:gridCol w:w="1280"/>
        <w:gridCol w:w="1280"/>
        <w:gridCol w:w="1280"/>
        <w:gridCol w:w="1280"/>
      </w:tblGrid>
      <w:tr w:rsidR="00E927D7" w:rsidRPr="00B76F39" w14:paraId="6C688840" w14:textId="77777777" w:rsidTr="005101BC">
        <w:trPr>
          <w:cantSplit/>
          <w:trHeight w:val="566"/>
          <w:tblHeader/>
        </w:trPr>
        <w:tc>
          <w:tcPr>
            <w:tcW w:w="2480" w:type="dxa"/>
            <w:shd w:val="clear" w:color="auto" w:fill="auto"/>
            <w:noWrap/>
            <w:vAlign w:val="bottom"/>
            <w:hideMark/>
          </w:tcPr>
          <w:p w14:paraId="13AAE93B" w14:textId="77777777" w:rsidR="00E927D7" w:rsidRPr="00B76F39" w:rsidRDefault="00E927D7" w:rsidP="00CE06C8">
            <w:pPr>
              <w:spacing w:before="40"/>
              <w:rPr>
                <w:rFonts w:ascii="Arial" w:eastAsia="Arial" w:hAnsi="Arial" w:cs="Arial"/>
                <w:sz w:val="20"/>
              </w:rPr>
            </w:pPr>
            <w:bookmarkStart w:id="202" w:name="Title_55" w:colFirst="0" w:colLast="0"/>
          </w:p>
        </w:tc>
        <w:tc>
          <w:tcPr>
            <w:tcW w:w="2560" w:type="dxa"/>
            <w:gridSpan w:val="2"/>
            <w:shd w:val="clear" w:color="auto" w:fill="auto"/>
            <w:noWrap/>
            <w:vAlign w:val="bottom"/>
            <w:hideMark/>
          </w:tcPr>
          <w:p w14:paraId="3E05FA22" w14:textId="77777777" w:rsidR="00E927D7" w:rsidRPr="006806D5" w:rsidRDefault="00E927D7" w:rsidP="006806D5">
            <w:pPr>
              <w:pBdr>
                <w:bottom w:val="single" w:sz="4" w:space="0" w:color="000000"/>
              </w:pBdr>
              <w:spacing w:before="40"/>
              <w:jc w:val="center"/>
              <w:rPr>
                <w:b/>
                <w:bCs/>
                <w:color w:val="000000"/>
                <w:sz w:val="20"/>
              </w:rPr>
            </w:pPr>
            <w:r w:rsidRPr="006806D5">
              <w:rPr>
                <w:b/>
                <w:bCs/>
                <w:color w:val="000000"/>
                <w:sz w:val="20"/>
              </w:rPr>
              <w:t>Average rate</w:t>
            </w:r>
          </w:p>
          <w:p w14:paraId="1EC22F9D" w14:textId="0659BC41" w:rsidR="00E927D7" w:rsidRPr="006806D5" w:rsidRDefault="00E927D7" w:rsidP="006806D5">
            <w:pPr>
              <w:pBdr>
                <w:bottom w:val="single" w:sz="4" w:space="1" w:color="auto"/>
              </w:pBdr>
              <w:spacing w:before="40"/>
              <w:jc w:val="center"/>
              <w:rPr>
                <w:b/>
                <w:bCs/>
                <w:color w:val="000000"/>
                <w:sz w:val="20"/>
              </w:rPr>
            </w:pPr>
            <w:r w:rsidRPr="006806D5">
              <w:rPr>
                <w:b/>
                <w:bCs/>
                <w:color w:val="000000"/>
                <w:sz w:val="20"/>
              </w:rPr>
              <w:t>For the year ended</w:t>
            </w:r>
          </w:p>
        </w:tc>
        <w:tc>
          <w:tcPr>
            <w:tcW w:w="2560" w:type="dxa"/>
            <w:gridSpan w:val="2"/>
            <w:shd w:val="clear" w:color="auto" w:fill="auto"/>
            <w:noWrap/>
            <w:vAlign w:val="bottom"/>
            <w:hideMark/>
          </w:tcPr>
          <w:p w14:paraId="4B136EC8" w14:textId="21B4B4AE" w:rsidR="00E927D7" w:rsidRPr="006806D5" w:rsidRDefault="00E927D7" w:rsidP="006806D5">
            <w:pPr>
              <w:pBdr>
                <w:bottom w:val="single" w:sz="4" w:space="0" w:color="000000"/>
              </w:pBdr>
              <w:spacing w:before="40"/>
              <w:jc w:val="center"/>
              <w:rPr>
                <w:b/>
                <w:bCs/>
                <w:color w:val="000000"/>
                <w:sz w:val="20"/>
              </w:rPr>
            </w:pPr>
            <w:r w:rsidRPr="006806D5">
              <w:rPr>
                <w:b/>
                <w:bCs/>
                <w:noProof/>
                <w:color w:val="000000"/>
                <w:sz w:val="20"/>
              </w:rPr>
              <mc:AlternateContent>
                <mc:Choice Requires="wps">
                  <w:drawing>
                    <wp:anchor distT="0" distB="0" distL="114300" distR="114300" simplePos="0" relativeHeight="251651072" behindDoc="0" locked="0" layoutInCell="1" allowOverlap="1" wp14:anchorId="2C844729" wp14:editId="22CF2E19">
                      <wp:simplePos x="0" y="0"/>
                      <wp:positionH relativeFrom="column">
                        <wp:posOffset>-12065</wp:posOffset>
                      </wp:positionH>
                      <wp:positionV relativeFrom="paragraph">
                        <wp:posOffset>156210</wp:posOffset>
                      </wp:positionV>
                      <wp:extent cx="1472565" cy="0"/>
                      <wp:effectExtent l="0" t="0" r="0" b="0"/>
                      <wp:wrapNone/>
                      <wp:docPr id="3" name="Shape-1-0" descr="Decorative"/>
                      <wp:cNvGraphicFramePr/>
                      <a:graphic xmlns:a="http://schemas.openxmlformats.org/drawingml/2006/main">
                        <a:graphicData uri="http://schemas.microsoft.com/office/word/2010/wordprocessingShape">
                          <wps:wsp>
                            <wps:cNvCnPr/>
                            <wps:spPr>
                              <a:xfrm flipV="1">
                                <a:off x="0" y="0"/>
                                <a:ext cx="1472565" cy="0"/>
                              </a:xfrm>
                              <a:prstGeom prst="line">
                                <a:avLst/>
                              </a:prstGeom>
                              <a:ln w="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1DEB55" id="Shape-1-0" o:spid="_x0000_s1026" alt="Decorative" style="position:absolute;left:0;text-align:lef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12.3pt" to="11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" strokecolor="black [3213]" strokeweight="0"/>
                  </w:pict>
                </mc:Fallback>
              </mc:AlternateContent>
            </w:r>
            <w:r w:rsidRPr="006806D5">
              <w:rPr>
                <w:b/>
                <w:bCs/>
                <w:color w:val="000000"/>
                <w:sz w:val="20"/>
              </w:rPr>
              <w:t>Spot rate</w:t>
            </w:r>
          </w:p>
          <w:p w14:paraId="1AA94FD6" w14:textId="438DD42F" w:rsidR="00E927D7" w:rsidRPr="006806D5" w:rsidRDefault="00E927D7" w:rsidP="006806D5">
            <w:pPr>
              <w:pBdr>
                <w:bottom w:val="single" w:sz="4" w:space="0" w:color="000000"/>
              </w:pBdr>
              <w:spacing w:before="40"/>
              <w:jc w:val="center"/>
              <w:rPr>
                <w:b/>
                <w:bCs/>
                <w:color w:val="000000"/>
                <w:sz w:val="20"/>
              </w:rPr>
            </w:pPr>
            <w:r w:rsidRPr="006806D5">
              <w:rPr>
                <w:b/>
                <w:bCs/>
                <w:color w:val="000000"/>
                <w:sz w:val="20"/>
              </w:rPr>
              <w:t xml:space="preserve">As </w:t>
            </w:r>
            <w:proofErr w:type="gramStart"/>
            <w:r w:rsidRPr="006806D5">
              <w:rPr>
                <w:b/>
                <w:bCs/>
                <w:color w:val="000000"/>
                <w:sz w:val="20"/>
              </w:rPr>
              <w:t>at</w:t>
            </w:r>
            <w:proofErr w:type="gramEnd"/>
            <w:r w:rsidRPr="006806D5">
              <w:rPr>
                <w:b/>
                <w:bCs/>
                <w:color w:val="000000"/>
                <w:sz w:val="20"/>
              </w:rPr>
              <w:t xml:space="preserve"> December 31,</w:t>
            </w:r>
          </w:p>
        </w:tc>
      </w:tr>
      <w:bookmarkEnd w:id="202"/>
      <w:tr w:rsidR="008E7EEC" w:rsidRPr="00B76F39" w14:paraId="3A5D88EE" w14:textId="77777777" w:rsidTr="005101BC">
        <w:trPr>
          <w:cantSplit/>
          <w:trHeight w:val="283"/>
          <w:tblHeader/>
        </w:trPr>
        <w:tc>
          <w:tcPr>
            <w:tcW w:w="2480" w:type="dxa"/>
            <w:shd w:val="clear" w:color="auto" w:fill="auto"/>
            <w:noWrap/>
            <w:vAlign w:val="bottom"/>
            <w:hideMark/>
          </w:tcPr>
          <w:p w14:paraId="67A18AF9" w14:textId="77777777" w:rsidR="008E7EEC" w:rsidRPr="00B76F39" w:rsidRDefault="008E7EEC" w:rsidP="008E7EEC">
            <w:pPr>
              <w:spacing w:before="40"/>
              <w:rPr>
                <w:rFonts w:ascii="Arial" w:eastAsia="Arial" w:hAnsi="Arial" w:cs="Arial"/>
                <w:sz w:val="20"/>
              </w:rPr>
            </w:pPr>
          </w:p>
        </w:tc>
        <w:tc>
          <w:tcPr>
            <w:tcW w:w="1280" w:type="dxa"/>
            <w:shd w:val="clear" w:color="auto" w:fill="auto"/>
            <w:noWrap/>
            <w:vAlign w:val="bottom"/>
            <w:hideMark/>
          </w:tcPr>
          <w:p w14:paraId="3B5D64FC" w14:textId="47166290" w:rsidR="008E7EEC" w:rsidRPr="006806D5" w:rsidRDefault="00AD1E41" w:rsidP="006806D5">
            <w:pPr>
              <w:pBdr>
                <w:bottom w:val="single" w:sz="4" w:space="0" w:color="000000"/>
              </w:pBdr>
              <w:bidi/>
              <w:spacing w:before="40"/>
              <w:ind w:left="57"/>
              <w:jc w:val="center"/>
              <w:rPr>
                <w:b/>
                <w:bCs/>
                <w:sz w:val="20"/>
                <w:lang w:bidi="he-IL"/>
              </w:rPr>
            </w:pPr>
            <w:r w:rsidRPr="006806D5">
              <w:rPr>
                <w:b/>
                <w:bCs/>
                <w:color w:val="000000"/>
                <w:sz w:val="20"/>
              </w:rPr>
              <w:t>20</w:t>
            </w:r>
            <w:r w:rsidR="007958E3">
              <w:rPr>
                <w:b/>
                <w:bCs/>
                <w:color w:val="000000"/>
                <w:sz w:val="20"/>
              </w:rPr>
              <w:t>24</w:t>
            </w:r>
          </w:p>
        </w:tc>
        <w:tc>
          <w:tcPr>
            <w:tcW w:w="1280" w:type="dxa"/>
            <w:shd w:val="clear" w:color="auto" w:fill="auto"/>
            <w:noWrap/>
            <w:vAlign w:val="bottom"/>
            <w:hideMark/>
          </w:tcPr>
          <w:p w14:paraId="08F7F6B6" w14:textId="06404414" w:rsidR="008E7EEC" w:rsidRPr="006806D5" w:rsidRDefault="00AD1E41" w:rsidP="006806D5">
            <w:pPr>
              <w:pBdr>
                <w:bottom w:val="single" w:sz="4" w:space="0" w:color="000000"/>
              </w:pBdr>
              <w:bidi/>
              <w:spacing w:before="40"/>
              <w:ind w:left="57"/>
              <w:jc w:val="center"/>
              <w:rPr>
                <w:b/>
                <w:bCs/>
                <w:sz w:val="20"/>
              </w:rPr>
            </w:pPr>
            <w:r w:rsidRPr="006806D5">
              <w:rPr>
                <w:b/>
                <w:bCs/>
                <w:color w:val="000000"/>
                <w:sz w:val="20"/>
              </w:rPr>
              <w:t>202</w:t>
            </w:r>
            <w:r w:rsidR="007958E3">
              <w:rPr>
                <w:b/>
                <w:bCs/>
                <w:sz w:val="20"/>
              </w:rPr>
              <w:t>3</w:t>
            </w:r>
          </w:p>
        </w:tc>
        <w:tc>
          <w:tcPr>
            <w:tcW w:w="1280" w:type="dxa"/>
            <w:shd w:val="clear" w:color="auto" w:fill="auto"/>
            <w:noWrap/>
            <w:vAlign w:val="bottom"/>
            <w:hideMark/>
          </w:tcPr>
          <w:p w14:paraId="2BC04B75" w14:textId="5BB8AFC5" w:rsidR="008E7EEC" w:rsidRPr="006806D5" w:rsidRDefault="00AD1E41" w:rsidP="006806D5">
            <w:pPr>
              <w:pBdr>
                <w:bottom w:val="single" w:sz="4" w:space="0" w:color="000000"/>
              </w:pBdr>
              <w:bidi/>
              <w:spacing w:before="40"/>
              <w:ind w:left="57"/>
              <w:jc w:val="center"/>
              <w:rPr>
                <w:b/>
                <w:bCs/>
                <w:sz w:val="20"/>
                <w:lang w:bidi="he-IL"/>
              </w:rPr>
            </w:pPr>
            <w:r w:rsidRPr="006806D5">
              <w:rPr>
                <w:b/>
                <w:bCs/>
                <w:color w:val="000000"/>
                <w:sz w:val="20"/>
              </w:rPr>
              <w:t>202</w:t>
            </w:r>
            <w:r w:rsidR="007958E3">
              <w:rPr>
                <w:b/>
                <w:bCs/>
                <w:sz w:val="20"/>
                <w:lang w:bidi="he-IL"/>
              </w:rPr>
              <w:t>4</w:t>
            </w:r>
          </w:p>
        </w:tc>
        <w:tc>
          <w:tcPr>
            <w:tcW w:w="1280" w:type="dxa"/>
            <w:shd w:val="clear" w:color="auto" w:fill="auto"/>
            <w:noWrap/>
            <w:vAlign w:val="bottom"/>
            <w:hideMark/>
          </w:tcPr>
          <w:p w14:paraId="0B1B88D8" w14:textId="351F4B4E" w:rsidR="008E7EEC" w:rsidRPr="006806D5" w:rsidRDefault="00AD1E41" w:rsidP="006806D5">
            <w:pPr>
              <w:pBdr>
                <w:bottom w:val="single" w:sz="4" w:space="0" w:color="000000"/>
              </w:pBdr>
              <w:bidi/>
              <w:spacing w:before="40"/>
              <w:ind w:left="57"/>
              <w:jc w:val="center"/>
              <w:rPr>
                <w:b/>
                <w:bCs/>
                <w:sz w:val="20"/>
              </w:rPr>
            </w:pPr>
            <w:r w:rsidRPr="006806D5">
              <w:rPr>
                <w:b/>
                <w:bCs/>
                <w:color w:val="000000"/>
                <w:sz w:val="20"/>
              </w:rPr>
              <w:t>202</w:t>
            </w:r>
            <w:r w:rsidR="007958E3">
              <w:rPr>
                <w:b/>
                <w:bCs/>
                <w:sz w:val="20"/>
              </w:rPr>
              <w:t>3</w:t>
            </w:r>
          </w:p>
        </w:tc>
      </w:tr>
      <w:tr w:rsidR="008B1011" w:rsidRPr="00B76F39" w14:paraId="2CFB8FB8" w14:textId="77777777" w:rsidTr="005101BC">
        <w:trPr>
          <w:trHeight w:val="283"/>
        </w:trPr>
        <w:tc>
          <w:tcPr>
            <w:tcW w:w="2480" w:type="dxa"/>
            <w:shd w:val="clear" w:color="auto" w:fill="auto"/>
            <w:noWrap/>
            <w:vAlign w:val="bottom"/>
            <w:hideMark/>
          </w:tcPr>
          <w:p w14:paraId="315AF0B9" w14:textId="77777777" w:rsidR="008B1011" w:rsidRPr="006806D5" w:rsidRDefault="008B1011" w:rsidP="008B1011">
            <w:pPr>
              <w:spacing w:before="40"/>
              <w:rPr>
                <w:sz w:val="22"/>
                <w:szCs w:val="22"/>
              </w:rPr>
            </w:pPr>
            <w:r w:rsidRPr="006806D5">
              <w:rPr>
                <w:color w:val="000000"/>
                <w:sz w:val="22"/>
                <w:szCs w:val="22"/>
              </w:rPr>
              <w:t>CZK (in Euros)</w:t>
            </w:r>
          </w:p>
        </w:tc>
        <w:tc>
          <w:tcPr>
            <w:tcW w:w="1280" w:type="dxa"/>
            <w:shd w:val="clear" w:color="auto" w:fill="auto"/>
            <w:noWrap/>
          </w:tcPr>
          <w:p w14:paraId="08D1B005" w14:textId="0970ABB3" w:rsidR="008B1011" w:rsidRPr="008B1011" w:rsidRDefault="008B1011" w:rsidP="008B1011">
            <w:pPr>
              <w:spacing w:before="40"/>
              <w:jc w:val="right"/>
              <w:rPr>
                <w:color w:val="000000"/>
                <w:sz w:val="22"/>
                <w:szCs w:val="22"/>
              </w:rPr>
            </w:pPr>
            <w:r w:rsidRPr="008B1011">
              <w:rPr>
                <w:sz w:val="22"/>
                <w:szCs w:val="22"/>
              </w:rPr>
              <w:t xml:space="preserve">25.1 </w:t>
            </w:r>
          </w:p>
        </w:tc>
        <w:tc>
          <w:tcPr>
            <w:tcW w:w="1280" w:type="dxa"/>
            <w:shd w:val="clear" w:color="auto" w:fill="auto"/>
            <w:noWrap/>
            <w:vAlign w:val="bottom"/>
          </w:tcPr>
          <w:p w14:paraId="6F5A55E1" w14:textId="083F9694" w:rsidR="008B1011" w:rsidRPr="008B1011" w:rsidRDefault="008B1011" w:rsidP="008B1011">
            <w:pPr>
              <w:spacing w:before="40"/>
              <w:jc w:val="right"/>
              <w:rPr>
                <w:sz w:val="22"/>
                <w:szCs w:val="22"/>
              </w:rPr>
            </w:pPr>
            <w:r w:rsidRPr="008B1011">
              <w:rPr>
                <w:color w:val="000000"/>
                <w:sz w:val="22"/>
                <w:szCs w:val="22"/>
                <w:rtl/>
              </w:rPr>
              <w:t>24.0</w:t>
            </w:r>
          </w:p>
        </w:tc>
        <w:tc>
          <w:tcPr>
            <w:tcW w:w="1280" w:type="dxa"/>
            <w:shd w:val="clear" w:color="auto" w:fill="auto"/>
            <w:noWrap/>
          </w:tcPr>
          <w:p w14:paraId="779D7D10" w14:textId="71A3CC09" w:rsidR="008B1011" w:rsidRPr="008B1011" w:rsidRDefault="008B1011" w:rsidP="008B1011">
            <w:pPr>
              <w:spacing w:before="40"/>
              <w:jc w:val="right"/>
              <w:rPr>
                <w:color w:val="000000"/>
                <w:sz w:val="22"/>
                <w:szCs w:val="22"/>
              </w:rPr>
            </w:pPr>
            <w:r w:rsidRPr="008B1011">
              <w:rPr>
                <w:sz w:val="22"/>
                <w:szCs w:val="22"/>
              </w:rPr>
              <w:t xml:space="preserve">25.2 </w:t>
            </w:r>
          </w:p>
        </w:tc>
        <w:tc>
          <w:tcPr>
            <w:tcW w:w="1280" w:type="dxa"/>
            <w:shd w:val="clear" w:color="auto" w:fill="auto"/>
            <w:noWrap/>
            <w:vAlign w:val="bottom"/>
          </w:tcPr>
          <w:p w14:paraId="6FD3D767" w14:textId="00ABD393" w:rsidR="008B1011" w:rsidRPr="008B1011" w:rsidRDefault="008B1011" w:rsidP="008B1011">
            <w:pPr>
              <w:spacing w:before="40"/>
              <w:jc w:val="right"/>
              <w:rPr>
                <w:sz w:val="22"/>
                <w:szCs w:val="22"/>
              </w:rPr>
            </w:pPr>
            <w:r w:rsidRPr="008B1011">
              <w:rPr>
                <w:color w:val="000000"/>
                <w:sz w:val="22"/>
                <w:szCs w:val="22"/>
                <w:rtl/>
              </w:rPr>
              <w:t xml:space="preserve">24.7 </w:t>
            </w:r>
          </w:p>
        </w:tc>
      </w:tr>
      <w:tr w:rsidR="008B1011" w:rsidRPr="00B76F39" w14:paraId="23890F2F" w14:textId="77777777" w:rsidTr="005101BC">
        <w:trPr>
          <w:trHeight w:val="283"/>
        </w:trPr>
        <w:tc>
          <w:tcPr>
            <w:tcW w:w="2480" w:type="dxa"/>
            <w:shd w:val="clear" w:color="auto" w:fill="auto"/>
            <w:noWrap/>
            <w:vAlign w:val="bottom"/>
            <w:hideMark/>
          </w:tcPr>
          <w:p w14:paraId="49C53EB7" w14:textId="77777777" w:rsidR="008B1011" w:rsidRPr="006806D5" w:rsidRDefault="008B1011" w:rsidP="008B1011">
            <w:pPr>
              <w:spacing w:before="40"/>
              <w:rPr>
                <w:sz w:val="22"/>
                <w:szCs w:val="22"/>
              </w:rPr>
            </w:pPr>
            <w:r w:rsidRPr="006806D5">
              <w:rPr>
                <w:color w:val="000000"/>
                <w:sz w:val="22"/>
                <w:szCs w:val="22"/>
              </w:rPr>
              <w:t>BGN (in Euros)</w:t>
            </w:r>
          </w:p>
        </w:tc>
        <w:tc>
          <w:tcPr>
            <w:tcW w:w="1280" w:type="dxa"/>
            <w:shd w:val="clear" w:color="auto" w:fill="auto"/>
            <w:noWrap/>
          </w:tcPr>
          <w:p w14:paraId="2F03C727" w14:textId="42779804" w:rsidR="008B1011" w:rsidRPr="008B1011" w:rsidRDefault="008B1011" w:rsidP="008B1011">
            <w:pPr>
              <w:spacing w:before="40"/>
              <w:jc w:val="right"/>
              <w:rPr>
                <w:color w:val="000000"/>
                <w:sz w:val="22"/>
                <w:szCs w:val="22"/>
              </w:rPr>
            </w:pPr>
            <w:r w:rsidRPr="008B1011">
              <w:rPr>
                <w:sz w:val="22"/>
                <w:szCs w:val="22"/>
              </w:rPr>
              <w:t xml:space="preserve">2.0 </w:t>
            </w:r>
          </w:p>
        </w:tc>
        <w:tc>
          <w:tcPr>
            <w:tcW w:w="1280" w:type="dxa"/>
            <w:shd w:val="clear" w:color="auto" w:fill="auto"/>
            <w:noWrap/>
            <w:vAlign w:val="bottom"/>
          </w:tcPr>
          <w:p w14:paraId="3EFBE063" w14:textId="5AE059C9" w:rsidR="008B1011" w:rsidRPr="008B1011" w:rsidRDefault="008B1011" w:rsidP="008B1011">
            <w:pPr>
              <w:spacing w:before="40"/>
              <w:jc w:val="right"/>
              <w:rPr>
                <w:sz w:val="22"/>
                <w:szCs w:val="22"/>
              </w:rPr>
            </w:pPr>
            <w:r w:rsidRPr="008B1011">
              <w:rPr>
                <w:color w:val="000000"/>
                <w:sz w:val="22"/>
                <w:szCs w:val="22"/>
                <w:rtl/>
              </w:rPr>
              <w:t xml:space="preserve">2.0 </w:t>
            </w:r>
          </w:p>
        </w:tc>
        <w:tc>
          <w:tcPr>
            <w:tcW w:w="1280" w:type="dxa"/>
            <w:shd w:val="clear" w:color="auto" w:fill="auto"/>
            <w:noWrap/>
          </w:tcPr>
          <w:p w14:paraId="5FDBF8CD" w14:textId="33D75F38" w:rsidR="008B1011" w:rsidRPr="008B1011" w:rsidRDefault="008B1011" w:rsidP="008B1011">
            <w:pPr>
              <w:spacing w:before="40"/>
              <w:jc w:val="right"/>
              <w:rPr>
                <w:color w:val="000000"/>
                <w:sz w:val="22"/>
                <w:szCs w:val="22"/>
              </w:rPr>
            </w:pPr>
            <w:r w:rsidRPr="008B1011">
              <w:rPr>
                <w:sz w:val="22"/>
                <w:szCs w:val="22"/>
              </w:rPr>
              <w:t xml:space="preserve">2.0 </w:t>
            </w:r>
          </w:p>
        </w:tc>
        <w:tc>
          <w:tcPr>
            <w:tcW w:w="1280" w:type="dxa"/>
            <w:shd w:val="clear" w:color="auto" w:fill="auto"/>
            <w:noWrap/>
            <w:vAlign w:val="bottom"/>
          </w:tcPr>
          <w:p w14:paraId="14E4AB37" w14:textId="3EFFE376" w:rsidR="008B1011" w:rsidRPr="008B1011" w:rsidRDefault="008B1011" w:rsidP="008B1011">
            <w:pPr>
              <w:spacing w:before="40"/>
              <w:jc w:val="right"/>
              <w:rPr>
                <w:sz w:val="22"/>
                <w:szCs w:val="22"/>
              </w:rPr>
            </w:pPr>
            <w:r w:rsidRPr="008B1011">
              <w:rPr>
                <w:color w:val="000000"/>
                <w:sz w:val="22"/>
                <w:szCs w:val="22"/>
                <w:rtl/>
              </w:rPr>
              <w:t xml:space="preserve">2.0 </w:t>
            </w:r>
          </w:p>
        </w:tc>
      </w:tr>
      <w:tr w:rsidR="008B1011" w:rsidRPr="00B76F39" w14:paraId="1E02B0CA" w14:textId="77777777" w:rsidTr="005101BC">
        <w:trPr>
          <w:trHeight w:val="283"/>
        </w:trPr>
        <w:tc>
          <w:tcPr>
            <w:tcW w:w="2480" w:type="dxa"/>
            <w:shd w:val="clear" w:color="auto" w:fill="auto"/>
            <w:noWrap/>
            <w:vAlign w:val="bottom"/>
            <w:hideMark/>
          </w:tcPr>
          <w:p w14:paraId="5C184C5F" w14:textId="77777777" w:rsidR="008B1011" w:rsidRPr="006806D5" w:rsidRDefault="008B1011" w:rsidP="008B1011">
            <w:pPr>
              <w:spacing w:before="40"/>
              <w:rPr>
                <w:sz w:val="22"/>
                <w:szCs w:val="22"/>
              </w:rPr>
            </w:pPr>
            <w:r w:rsidRPr="006806D5">
              <w:rPr>
                <w:color w:val="000000"/>
                <w:sz w:val="22"/>
                <w:szCs w:val="22"/>
              </w:rPr>
              <w:t>RON (in Euros)</w:t>
            </w:r>
          </w:p>
        </w:tc>
        <w:tc>
          <w:tcPr>
            <w:tcW w:w="1280" w:type="dxa"/>
            <w:shd w:val="clear" w:color="auto" w:fill="auto"/>
            <w:noWrap/>
          </w:tcPr>
          <w:p w14:paraId="2B36D199" w14:textId="010FAED1" w:rsidR="008B1011" w:rsidRPr="008B1011" w:rsidRDefault="008B1011" w:rsidP="008B1011">
            <w:pPr>
              <w:spacing w:before="40"/>
              <w:jc w:val="right"/>
              <w:rPr>
                <w:color w:val="000000"/>
                <w:sz w:val="22"/>
                <w:szCs w:val="22"/>
              </w:rPr>
            </w:pPr>
            <w:r w:rsidRPr="008B1011">
              <w:rPr>
                <w:sz w:val="22"/>
                <w:szCs w:val="22"/>
              </w:rPr>
              <w:t xml:space="preserve">5.0 </w:t>
            </w:r>
          </w:p>
        </w:tc>
        <w:tc>
          <w:tcPr>
            <w:tcW w:w="1280" w:type="dxa"/>
            <w:shd w:val="clear" w:color="auto" w:fill="auto"/>
            <w:noWrap/>
            <w:vAlign w:val="bottom"/>
          </w:tcPr>
          <w:p w14:paraId="7113A270" w14:textId="79C5EB8C" w:rsidR="008B1011" w:rsidRPr="008B1011" w:rsidRDefault="008B1011" w:rsidP="008B1011">
            <w:pPr>
              <w:spacing w:before="40"/>
              <w:jc w:val="right"/>
              <w:rPr>
                <w:sz w:val="22"/>
                <w:szCs w:val="22"/>
              </w:rPr>
            </w:pPr>
            <w:r w:rsidRPr="008B1011">
              <w:rPr>
                <w:color w:val="000000"/>
                <w:sz w:val="22"/>
                <w:szCs w:val="22"/>
                <w:rtl/>
              </w:rPr>
              <w:t xml:space="preserve">4.9 </w:t>
            </w:r>
          </w:p>
        </w:tc>
        <w:tc>
          <w:tcPr>
            <w:tcW w:w="1280" w:type="dxa"/>
            <w:shd w:val="clear" w:color="auto" w:fill="auto"/>
            <w:noWrap/>
          </w:tcPr>
          <w:p w14:paraId="194B83F2" w14:textId="686CBB30" w:rsidR="008B1011" w:rsidRPr="008B1011" w:rsidRDefault="008B1011" w:rsidP="008B1011">
            <w:pPr>
              <w:spacing w:before="40"/>
              <w:jc w:val="right"/>
              <w:rPr>
                <w:color w:val="000000"/>
                <w:sz w:val="22"/>
                <w:szCs w:val="22"/>
              </w:rPr>
            </w:pPr>
            <w:r w:rsidRPr="008B1011">
              <w:rPr>
                <w:sz w:val="22"/>
                <w:szCs w:val="22"/>
              </w:rPr>
              <w:t xml:space="preserve">5.0 </w:t>
            </w:r>
          </w:p>
        </w:tc>
        <w:tc>
          <w:tcPr>
            <w:tcW w:w="1280" w:type="dxa"/>
            <w:shd w:val="clear" w:color="auto" w:fill="auto"/>
            <w:noWrap/>
            <w:vAlign w:val="bottom"/>
          </w:tcPr>
          <w:p w14:paraId="0111AC11" w14:textId="2DD23B77" w:rsidR="008B1011" w:rsidRPr="008B1011" w:rsidRDefault="008B1011" w:rsidP="008B1011">
            <w:pPr>
              <w:spacing w:before="40"/>
              <w:jc w:val="right"/>
              <w:rPr>
                <w:sz w:val="22"/>
                <w:szCs w:val="22"/>
              </w:rPr>
            </w:pPr>
            <w:r w:rsidRPr="008B1011">
              <w:rPr>
                <w:color w:val="000000"/>
                <w:sz w:val="22"/>
                <w:szCs w:val="22"/>
                <w:rtl/>
              </w:rPr>
              <w:t xml:space="preserve">5.0 </w:t>
            </w:r>
          </w:p>
        </w:tc>
      </w:tr>
      <w:tr w:rsidR="008B1011" w:rsidRPr="00B76F39" w14:paraId="655C3032" w14:textId="77777777" w:rsidTr="005101BC">
        <w:trPr>
          <w:trHeight w:val="283"/>
        </w:trPr>
        <w:tc>
          <w:tcPr>
            <w:tcW w:w="2480" w:type="dxa"/>
            <w:shd w:val="clear" w:color="auto" w:fill="auto"/>
            <w:noWrap/>
            <w:vAlign w:val="bottom"/>
            <w:hideMark/>
          </w:tcPr>
          <w:p w14:paraId="6844FA17" w14:textId="77777777" w:rsidR="008B1011" w:rsidRPr="006806D5" w:rsidRDefault="008B1011" w:rsidP="008B1011">
            <w:pPr>
              <w:spacing w:before="40"/>
              <w:rPr>
                <w:sz w:val="22"/>
                <w:szCs w:val="22"/>
              </w:rPr>
            </w:pPr>
            <w:r w:rsidRPr="006806D5">
              <w:rPr>
                <w:color w:val="000000"/>
                <w:sz w:val="22"/>
                <w:szCs w:val="22"/>
              </w:rPr>
              <w:t>PLN (in Euros)</w:t>
            </w:r>
          </w:p>
        </w:tc>
        <w:tc>
          <w:tcPr>
            <w:tcW w:w="1280" w:type="dxa"/>
            <w:shd w:val="clear" w:color="auto" w:fill="auto"/>
            <w:noWrap/>
          </w:tcPr>
          <w:p w14:paraId="393B3F5A" w14:textId="51B247D7" w:rsidR="008B1011" w:rsidRPr="008B1011" w:rsidRDefault="008B1011" w:rsidP="008B1011">
            <w:pPr>
              <w:spacing w:before="40"/>
              <w:jc w:val="right"/>
              <w:rPr>
                <w:color w:val="000000"/>
                <w:sz w:val="22"/>
                <w:szCs w:val="22"/>
              </w:rPr>
            </w:pPr>
            <w:r w:rsidRPr="008B1011">
              <w:rPr>
                <w:sz w:val="22"/>
                <w:szCs w:val="22"/>
              </w:rPr>
              <w:t xml:space="preserve">4.3 </w:t>
            </w:r>
          </w:p>
        </w:tc>
        <w:tc>
          <w:tcPr>
            <w:tcW w:w="1280" w:type="dxa"/>
            <w:shd w:val="clear" w:color="auto" w:fill="auto"/>
            <w:noWrap/>
            <w:vAlign w:val="bottom"/>
          </w:tcPr>
          <w:p w14:paraId="30FA2C93" w14:textId="75400018" w:rsidR="008B1011" w:rsidRPr="008B1011" w:rsidRDefault="008B1011" w:rsidP="008B1011">
            <w:pPr>
              <w:spacing w:before="40"/>
              <w:jc w:val="right"/>
              <w:rPr>
                <w:sz w:val="22"/>
                <w:szCs w:val="22"/>
              </w:rPr>
            </w:pPr>
            <w:r w:rsidRPr="008B1011">
              <w:rPr>
                <w:color w:val="000000"/>
                <w:sz w:val="22"/>
                <w:szCs w:val="22"/>
                <w:rtl/>
              </w:rPr>
              <w:t xml:space="preserve">4.5 </w:t>
            </w:r>
          </w:p>
        </w:tc>
        <w:tc>
          <w:tcPr>
            <w:tcW w:w="1280" w:type="dxa"/>
            <w:shd w:val="clear" w:color="auto" w:fill="auto"/>
            <w:noWrap/>
          </w:tcPr>
          <w:p w14:paraId="088CC4D2" w14:textId="2E560418" w:rsidR="008B1011" w:rsidRPr="008B1011" w:rsidRDefault="008B1011" w:rsidP="008B1011">
            <w:pPr>
              <w:spacing w:before="40"/>
              <w:jc w:val="right"/>
              <w:rPr>
                <w:color w:val="000000"/>
                <w:sz w:val="22"/>
                <w:szCs w:val="22"/>
              </w:rPr>
            </w:pPr>
            <w:r w:rsidRPr="008B1011">
              <w:rPr>
                <w:sz w:val="22"/>
                <w:szCs w:val="22"/>
              </w:rPr>
              <w:t xml:space="preserve">4.3 </w:t>
            </w:r>
          </w:p>
        </w:tc>
        <w:tc>
          <w:tcPr>
            <w:tcW w:w="1280" w:type="dxa"/>
            <w:shd w:val="clear" w:color="auto" w:fill="auto"/>
            <w:noWrap/>
            <w:vAlign w:val="bottom"/>
          </w:tcPr>
          <w:p w14:paraId="1B674F5C" w14:textId="318A5096" w:rsidR="008B1011" w:rsidRPr="008B1011" w:rsidRDefault="008B1011" w:rsidP="008B1011">
            <w:pPr>
              <w:spacing w:before="40"/>
              <w:jc w:val="right"/>
              <w:rPr>
                <w:sz w:val="22"/>
                <w:szCs w:val="22"/>
              </w:rPr>
            </w:pPr>
            <w:r w:rsidRPr="008B1011">
              <w:rPr>
                <w:color w:val="000000"/>
                <w:sz w:val="22"/>
                <w:szCs w:val="22"/>
                <w:rtl/>
              </w:rPr>
              <w:t xml:space="preserve">4.3 </w:t>
            </w:r>
          </w:p>
        </w:tc>
      </w:tr>
      <w:tr w:rsidR="008B1011" w:rsidRPr="00B76F39" w14:paraId="0F8F9654" w14:textId="77777777" w:rsidTr="005101BC">
        <w:trPr>
          <w:trHeight w:val="283"/>
        </w:trPr>
        <w:tc>
          <w:tcPr>
            <w:tcW w:w="2480" w:type="dxa"/>
            <w:shd w:val="clear" w:color="auto" w:fill="auto"/>
            <w:noWrap/>
            <w:vAlign w:val="bottom"/>
            <w:hideMark/>
          </w:tcPr>
          <w:p w14:paraId="1CB1DBB6" w14:textId="77777777" w:rsidR="008B1011" w:rsidRPr="006806D5" w:rsidRDefault="008B1011" w:rsidP="008B1011">
            <w:pPr>
              <w:spacing w:before="40"/>
              <w:rPr>
                <w:sz w:val="22"/>
                <w:szCs w:val="22"/>
              </w:rPr>
            </w:pPr>
            <w:r w:rsidRPr="006806D5">
              <w:rPr>
                <w:color w:val="000000"/>
                <w:sz w:val="22"/>
                <w:szCs w:val="22"/>
              </w:rPr>
              <w:t>CSD (in Euros)</w:t>
            </w:r>
          </w:p>
        </w:tc>
        <w:tc>
          <w:tcPr>
            <w:tcW w:w="1280" w:type="dxa"/>
            <w:shd w:val="clear" w:color="auto" w:fill="auto"/>
            <w:noWrap/>
          </w:tcPr>
          <w:p w14:paraId="6E469E05" w14:textId="3F7ADAA0" w:rsidR="008B1011" w:rsidRPr="008B1011" w:rsidRDefault="008B1011" w:rsidP="008B1011">
            <w:pPr>
              <w:spacing w:before="40"/>
              <w:jc w:val="right"/>
              <w:rPr>
                <w:color w:val="000000"/>
                <w:sz w:val="22"/>
                <w:szCs w:val="22"/>
              </w:rPr>
            </w:pPr>
            <w:r w:rsidRPr="008B1011">
              <w:rPr>
                <w:sz w:val="22"/>
                <w:szCs w:val="22"/>
              </w:rPr>
              <w:t xml:space="preserve">117.1 </w:t>
            </w:r>
          </w:p>
        </w:tc>
        <w:tc>
          <w:tcPr>
            <w:tcW w:w="1280" w:type="dxa"/>
            <w:shd w:val="clear" w:color="auto" w:fill="auto"/>
            <w:noWrap/>
            <w:vAlign w:val="bottom"/>
          </w:tcPr>
          <w:p w14:paraId="26291BE8" w14:textId="22426994" w:rsidR="008B1011" w:rsidRPr="008B1011" w:rsidRDefault="008B1011" w:rsidP="008B1011">
            <w:pPr>
              <w:spacing w:before="40"/>
              <w:jc w:val="right"/>
              <w:rPr>
                <w:sz w:val="22"/>
                <w:szCs w:val="22"/>
              </w:rPr>
            </w:pPr>
            <w:r w:rsidRPr="008B1011">
              <w:rPr>
                <w:color w:val="000000"/>
                <w:sz w:val="22"/>
                <w:szCs w:val="22"/>
                <w:rtl/>
              </w:rPr>
              <w:t xml:space="preserve">117.3 </w:t>
            </w:r>
          </w:p>
        </w:tc>
        <w:tc>
          <w:tcPr>
            <w:tcW w:w="1280" w:type="dxa"/>
            <w:shd w:val="clear" w:color="auto" w:fill="auto"/>
            <w:noWrap/>
          </w:tcPr>
          <w:p w14:paraId="122050F3" w14:textId="34E7D686" w:rsidR="008B1011" w:rsidRPr="008B1011" w:rsidRDefault="008B1011" w:rsidP="008B1011">
            <w:pPr>
              <w:spacing w:before="40"/>
              <w:jc w:val="right"/>
              <w:rPr>
                <w:color w:val="000000"/>
                <w:sz w:val="22"/>
                <w:szCs w:val="22"/>
              </w:rPr>
            </w:pPr>
            <w:r w:rsidRPr="008B1011">
              <w:rPr>
                <w:sz w:val="22"/>
                <w:szCs w:val="22"/>
              </w:rPr>
              <w:t xml:space="preserve">117.0 </w:t>
            </w:r>
          </w:p>
        </w:tc>
        <w:tc>
          <w:tcPr>
            <w:tcW w:w="1280" w:type="dxa"/>
            <w:shd w:val="clear" w:color="auto" w:fill="auto"/>
            <w:noWrap/>
            <w:vAlign w:val="bottom"/>
          </w:tcPr>
          <w:p w14:paraId="7CCE408F" w14:textId="74C88773" w:rsidR="008B1011" w:rsidRPr="008B1011" w:rsidRDefault="008B1011" w:rsidP="008B1011">
            <w:pPr>
              <w:spacing w:before="40"/>
              <w:jc w:val="right"/>
              <w:rPr>
                <w:sz w:val="22"/>
                <w:szCs w:val="22"/>
              </w:rPr>
            </w:pPr>
            <w:r w:rsidRPr="008B1011">
              <w:rPr>
                <w:color w:val="000000"/>
                <w:sz w:val="22"/>
                <w:szCs w:val="22"/>
                <w:rtl/>
              </w:rPr>
              <w:t xml:space="preserve">117.2 </w:t>
            </w:r>
          </w:p>
        </w:tc>
      </w:tr>
    </w:tbl>
    <w:p w14:paraId="57DB6B22" w14:textId="77777777" w:rsidR="00CE06C8" w:rsidRPr="00F02921" w:rsidRDefault="00CE06C8" w:rsidP="00166958">
      <w:pPr>
        <w:rPr>
          <w:sz w:val="22"/>
          <w:szCs w:val="22"/>
        </w:rPr>
        <w:sectPr w:rsidR="00CE06C8" w:rsidRPr="00F02921" w:rsidSect="00593E8F">
          <w:headerReference w:type="even" r:id="rId29"/>
          <w:headerReference w:type="default" r:id="rId30"/>
          <w:headerReference w:type="first" r:id="rId31"/>
          <w:endnotePr>
            <w:numFmt w:val="lowerLetter"/>
          </w:endnotePr>
          <w:type w:val="nextColumn"/>
          <w:pgSz w:w="16838" w:h="11906" w:orient="landscape"/>
          <w:pgMar w:top="1134" w:right="1134" w:bottom="1134" w:left="1134" w:header="567" w:footer="567" w:gutter="0"/>
          <w:paperSrc w:first="15" w:other="15"/>
          <w:cols w:space="720"/>
          <w:bidi/>
          <w:docGrid w:linePitch="326"/>
        </w:sectPr>
      </w:pPr>
    </w:p>
    <w:p w14:paraId="560D218F" w14:textId="77777777" w:rsidR="006806D5" w:rsidRDefault="006806D5" w:rsidP="00BF2911">
      <w:pPr>
        <w:jc w:val="both"/>
        <w:rPr>
          <w:b/>
          <w:bCs/>
          <w:sz w:val="26"/>
          <w:szCs w:val="26"/>
        </w:rPr>
      </w:pPr>
    </w:p>
    <w:p w14:paraId="17A9E3C7" w14:textId="43E8D3AB" w:rsidR="00C35D07" w:rsidRPr="006806D5" w:rsidRDefault="00C35D07" w:rsidP="00BF2911">
      <w:pPr>
        <w:jc w:val="both"/>
        <w:rPr>
          <w:b/>
          <w:bCs/>
          <w:sz w:val="22"/>
          <w:szCs w:val="22"/>
        </w:rPr>
      </w:pPr>
      <w:r w:rsidRPr="006806D5">
        <w:rPr>
          <w:b/>
          <w:bCs/>
          <w:sz w:val="22"/>
          <w:szCs w:val="22"/>
        </w:rPr>
        <w:t xml:space="preserve">Note </w:t>
      </w:r>
      <w:r w:rsidR="00776020" w:rsidRPr="006806D5">
        <w:rPr>
          <w:b/>
          <w:bCs/>
          <w:sz w:val="22"/>
          <w:szCs w:val="22"/>
        </w:rPr>
        <w:t xml:space="preserve">21 </w:t>
      </w:r>
      <w:r w:rsidRPr="006806D5">
        <w:rPr>
          <w:b/>
          <w:bCs/>
          <w:sz w:val="22"/>
          <w:szCs w:val="22"/>
        </w:rPr>
        <w:t>- Financial Instruments (cont’d)</w:t>
      </w:r>
    </w:p>
    <w:p w14:paraId="6B93F666" w14:textId="77777777" w:rsidR="00C35D07" w:rsidRPr="006806D5" w:rsidRDefault="00C35D07" w:rsidP="004A3C21">
      <w:pPr>
        <w:jc w:val="both"/>
        <w:rPr>
          <w:sz w:val="22"/>
          <w:szCs w:val="22"/>
        </w:rPr>
      </w:pPr>
    </w:p>
    <w:p w14:paraId="26608E3C" w14:textId="77777777" w:rsidR="00C35D07" w:rsidRPr="006806D5" w:rsidRDefault="006846D9" w:rsidP="006846D9">
      <w:pPr>
        <w:ind w:left="567" w:hanging="567"/>
        <w:jc w:val="both"/>
        <w:rPr>
          <w:b/>
          <w:bCs/>
          <w:sz w:val="22"/>
          <w:szCs w:val="22"/>
        </w:rPr>
      </w:pPr>
      <w:r w:rsidRPr="006806D5">
        <w:rPr>
          <w:b/>
          <w:bCs/>
          <w:sz w:val="22"/>
          <w:szCs w:val="22"/>
        </w:rPr>
        <w:t>C.</w:t>
      </w:r>
      <w:r w:rsidRPr="006806D5">
        <w:rPr>
          <w:b/>
          <w:bCs/>
          <w:sz w:val="22"/>
          <w:szCs w:val="22"/>
        </w:rPr>
        <w:tab/>
        <w:t>Currency risk (cont’d)</w:t>
      </w:r>
    </w:p>
    <w:p w14:paraId="613D4BEB" w14:textId="77777777" w:rsidR="006846D9" w:rsidRPr="006846D9" w:rsidRDefault="006846D9" w:rsidP="006846D9">
      <w:pPr>
        <w:ind w:left="567" w:hanging="567"/>
        <w:jc w:val="both"/>
        <w:rPr>
          <w:b/>
          <w:bCs/>
          <w:sz w:val="22"/>
          <w:szCs w:val="22"/>
        </w:rPr>
      </w:pPr>
    </w:p>
    <w:p w14:paraId="07965216" w14:textId="77777777" w:rsidR="006846D9" w:rsidRPr="005C7D15" w:rsidRDefault="006846D9" w:rsidP="00C01E5D">
      <w:pPr>
        <w:ind w:left="720"/>
        <w:jc w:val="both"/>
        <w:outlineLvl w:val="4"/>
        <w:rPr>
          <w:sz w:val="22"/>
          <w:szCs w:val="22"/>
        </w:rPr>
      </w:pPr>
      <w:bookmarkStart w:id="203" w:name="H5_Sensitivity_analysis"/>
      <w:r w:rsidRPr="007D0938">
        <w:rPr>
          <w:sz w:val="22"/>
          <w:szCs w:val="22"/>
          <w:u w:val="single"/>
        </w:rPr>
        <w:t xml:space="preserve">Sensitivity </w:t>
      </w:r>
      <w:r w:rsidRPr="005C7D15">
        <w:rPr>
          <w:sz w:val="22"/>
          <w:szCs w:val="22"/>
          <w:u w:val="single"/>
        </w:rPr>
        <w:t>analysis</w:t>
      </w:r>
    </w:p>
    <w:bookmarkEnd w:id="203"/>
    <w:p w14:paraId="2CD7D60F" w14:textId="5EB31B4F" w:rsidR="00C35D07" w:rsidRPr="00F02921" w:rsidRDefault="00C35D07" w:rsidP="001439EB">
      <w:pPr>
        <w:ind w:left="720"/>
        <w:jc w:val="both"/>
        <w:rPr>
          <w:sz w:val="22"/>
          <w:szCs w:val="22"/>
        </w:rPr>
      </w:pPr>
      <w:r w:rsidRPr="005C7D15">
        <w:rPr>
          <w:sz w:val="22"/>
          <w:szCs w:val="22"/>
        </w:rPr>
        <w:t xml:space="preserve">An increase as </w:t>
      </w:r>
      <w:r w:rsidR="00543E25" w:rsidRPr="005C7D15">
        <w:rPr>
          <w:sz w:val="22"/>
          <w:szCs w:val="22"/>
        </w:rPr>
        <w:t>of</w:t>
      </w:r>
      <w:r w:rsidRPr="005C7D15">
        <w:rPr>
          <w:sz w:val="22"/>
          <w:szCs w:val="22"/>
        </w:rPr>
        <w:t xml:space="preserve"> December 31, </w:t>
      </w:r>
      <w:proofErr w:type="gramStart"/>
      <w:r w:rsidR="004D5212">
        <w:rPr>
          <w:sz w:val="22"/>
          <w:szCs w:val="22"/>
        </w:rPr>
        <w:t>2024</w:t>
      </w:r>
      <w:proofErr w:type="gramEnd"/>
      <w:r w:rsidR="00173EDF" w:rsidRPr="005C7D15">
        <w:rPr>
          <w:sz w:val="22"/>
          <w:szCs w:val="22"/>
        </w:rPr>
        <w:t xml:space="preserve"> </w:t>
      </w:r>
      <w:r w:rsidRPr="00CE2DDA">
        <w:rPr>
          <w:sz w:val="22"/>
          <w:szCs w:val="22"/>
        </w:rPr>
        <w:t>of 10% in the exchange</w:t>
      </w:r>
      <w:r w:rsidRPr="005C7D15">
        <w:rPr>
          <w:sz w:val="22"/>
          <w:szCs w:val="22"/>
        </w:rPr>
        <w:t xml:space="preserve"> rate of the following currencies against the Euro would increase (decrease) the shareholders’ equity and the net profit (loss) by the amounts presented below. This analysis was made based on the assumption that all the other variables, particularly the interest rates, remain fixed. The analyses for </w:t>
      </w:r>
      <w:r w:rsidR="004D5212">
        <w:rPr>
          <w:sz w:val="22"/>
          <w:szCs w:val="22"/>
        </w:rPr>
        <w:t>2023</w:t>
      </w:r>
      <w:r w:rsidR="00CE2DDA" w:rsidRPr="005C7D15">
        <w:rPr>
          <w:sz w:val="22"/>
          <w:szCs w:val="22"/>
        </w:rPr>
        <w:t xml:space="preserve"> </w:t>
      </w:r>
      <w:r w:rsidRPr="005C7D15">
        <w:rPr>
          <w:sz w:val="22"/>
          <w:szCs w:val="22"/>
        </w:rPr>
        <w:t>were made based on the same assumptions.</w:t>
      </w:r>
    </w:p>
    <w:p w14:paraId="6F3BBC89" w14:textId="77777777" w:rsidR="00C35D07" w:rsidRPr="00F02921" w:rsidRDefault="00C35D07" w:rsidP="004A3C21">
      <w:pPr>
        <w:ind w:left="720"/>
        <w:jc w:val="both"/>
        <w:rPr>
          <w:sz w:val="22"/>
          <w:szCs w:val="22"/>
        </w:rPr>
      </w:pPr>
    </w:p>
    <w:p w14:paraId="61BCD1B9" w14:textId="77777777" w:rsidR="00C35D07" w:rsidRPr="00F02921" w:rsidRDefault="00C35D07" w:rsidP="004A3C21">
      <w:pPr>
        <w:ind w:left="720"/>
        <w:jc w:val="both"/>
        <w:rPr>
          <w:rStyle w:val="Koteret"/>
          <w:b w:val="0"/>
          <w:bCs/>
          <w:i/>
          <w:iCs/>
          <w:rtl/>
          <w:lang w:bidi="he-IL"/>
        </w:rPr>
      </w:pPr>
      <w:r w:rsidRPr="00F02921">
        <w:rPr>
          <w:rStyle w:val="Koteret"/>
          <w:b w:val="0"/>
          <w:bCs/>
          <w:i/>
          <w:iCs/>
        </w:rPr>
        <w:t>In thousands of Euros</w:t>
      </w:r>
    </w:p>
    <w:tbl>
      <w:tblPr>
        <w:tblW w:w="0" w:type="auto"/>
        <w:tblInd w:w="720" w:type="dxa"/>
        <w:tblLook w:val="06A0" w:firstRow="1" w:lastRow="0" w:firstColumn="1" w:lastColumn="0" w:noHBand="1" w:noVBand="1"/>
        <w:tblCaption w:val="AHR01"/>
        <w:tblDescription w:val="Sensitivity analysis"/>
      </w:tblPr>
      <w:tblGrid>
        <w:gridCol w:w="4461"/>
        <w:gridCol w:w="1448"/>
        <w:gridCol w:w="1486"/>
        <w:gridCol w:w="1523"/>
      </w:tblGrid>
      <w:tr w:rsidR="001141B2" w14:paraId="5BBA0EB3" w14:textId="77777777" w:rsidTr="005101BC">
        <w:trPr>
          <w:cantSplit/>
          <w:trHeight w:val="240"/>
          <w:tblHeader/>
        </w:trPr>
        <w:tc>
          <w:tcPr>
            <w:tcW w:w="4461" w:type="dxa"/>
            <w:shd w:val="clear" w:color="auto" w:fill="auto"/>
            <w:noWrap/>
            <w:vAlign w:val="bottom"/>
            <w:hideMark/>
          </w:tcPr>
          <w:p w14:paraId="23C68D16" w14:textId="77777777" w:rsidR="001141B2" w:rsidRPr="00960BE4" w:rsidRDefault="001141B2">
            <w:pPr>
              <w:spacing w:before="40"/>
              <w:rPr>
                <w:rFonts w:ascii="Arial" w:eastAsia="Arial" w:hAnsi="Arial" w:cs="Arial"/>
                <w:sz w:val="22"/>
                <w:szCs w:val="22"/>
              </w:rPr>
            </w:pPr>
            <w:bookmarkStart w:id="204" w:name="Title_56" w:colFirst="0" w:colLast="0"/>
          </w:p>
        </w:tc>
        <w:tc>
          <w:tcPr>
            <w:tcW w:w="1448" w:type="dxa"/>
            <w:shd w:val="clear" w:color="auto" w:fill="auto"/>
            <w:noWrap/>
            <w:vAlign w:val="bottom"/>
            <w:hideMark/>
          </w:tcPr>
          <w:p w14:paraId="131F4788" w14:textId="77777777" w:rsidR="001141B2" w:rsidRPr="00960BE4" w:rsidRDefault="001141B2">
            <w:pPr>
              <w:spacing w:before="40"/>
              <w:rPr>
                <w:rFonts w:ascii="Arial" w:eastAsia="Arial" w:hAnsi="Arial" w:cs="Arial"/>
                <w:sz w:val="22"/>
                <w:szCs w:val="22"/>
              </w:rPr>
            </w:pPr>
          </w:p>
        </w:tc>
        <w:tc>
          <w:tcPr>
            <w:tcW w:w="1486" w:type="dxa"/>
            <w:shd w:val="clear" w:color="auto" w:fill="auto"/>
            <w:vAlign w:val="bottom"/>
            <w:hideMark/>
          </w:tcPr>
          <w:p w14:paraId="3207EB46" w14:textId="77777777" w:rsidR="001141B2" w:rsidRPr="006806D5" w:rsidRDefault="005F2ABB" w:rsidP="006806D5">
            <w:pPr>
              <w:pBdr>
                <w:bottom w:val="single" w:sz="4" w:space="0" w:color="000000"/>
              </w:pBdr>
              <w:spacing w:before="40"/>
              <w:jc w:val="center"/>
              <w:rPr>
                <w:b/>
                <w:bCs/>
                <w:sz w:val="20"/>
              </w:rPr>
            </w:pPr>
            <w:r w:rsidRPr="006806D5">
              <w:rPr>
                <w:b/>
                <w:bCs/>
                <w:color w:val="000000"/>
                <w:sz w:val="20"/>
              </w:rPr>
              <w:t>Equity</w:t>
            </w:r>
          </w:p>
        </w:tc>
        <w:tc>
          <w:tcPr>
            <w:tcW w:w="1523" w:type="dxa"/>
            <w:shd w:val="clear" w:color="auto" w:fill="auto"/>
            <w:vAlign w:val="bottom"/>
            <w:hideMark/>
          </w:tcPr>
          <w:p w14:paraId="74D99F1D" w14:textId="77777777" w:rsidR="001141B2" w:rsidRPr="006806D5" w:rsidRDefault="005F2ABB" w:rsidP="006806D5">
            <w:pPr>
              <w:pBdr>
                <w:bottom w:val="single" w:sz="4" w:space="0" w:color="000000"/>
              </w:pBdr>
              <w:spacing w:before="40"/>
              <w:jc w:val="center"/>
              <w:rPr>
                <w:b/>
                <w:bCs/>
                <w:sz w:val="20"/>
              </w:rPr>
            </w:pPr>
            <w:r w:rsidRPr="006806D5">
              <w:rPr>
                <w:b/>
                <w:bCs/>
                <w:color w:val="000000"/>
                <w:sz w:val="20"/>
              </w:rPr>
              <w:t>Profit or loss</w:t>
            </w:r>
          </w:p>
        </w:tc>
      </w:tr>
      <w:bookmarkEnd w:id="204"/>
      <w:tr w:rsidR="00EC59FE" w14:paraId="2A7490BA" w14:textId="77777777" w:rsidTr="005101BC">
        <w:trPr>
          <w:trHeight w:val="220"/>
        </w:trPr>
        <w:tc>
          <w:tcPr>
            <w:tcW w:w="4461" w:type="dxa"/>
            <w:shd w:val="clear" w:color="auto" w:fill="auto"/>
            <w:noWrap/>
            <w:vAlign w:val="bottom"/>
            <w:hideMark/>
          </w:tcPr>
          <w:p w14:paraId="7D0BB58C" w14:textId="733FCF5E" w:rsidR="00EC59FE" w:rsidRPr="00E43187" w:rsidRDefault="00EC59FE" w:rsidP="00EC59FE">
            <w:pPr>
              <w:spacing w:before="40"/>
              <w:rPr>
                <w:rFonts w:ascii="Arial" w:eastAsia="Arial" w:hAnsi="Arial" w:cs="Arial"/>
                <w:sz w:val="22"/>
                <w:szCs w:val="22"/>
              </w:rPr>
            </w:pPr>
            <w:r w:rsidRPr="00E43187">
              <w:rPr>
                <w:color w:val="000000"/>
                <w:sz w:val="22"/>
                <w:szCs w:val="22"/>
              </w:rPr>
              <w:t>December 31, 2024</w:t>
            </w:r>
          </w:p>
        </w:tc>
        <w:tc>
          <w:tcPr>
            <w:tcW w:w="1448" w:type="dxa"/>
            <w:shd w:val="clear" w:color="auto" w:fill="auto"/>
            <w:noWrap/>
            <w:vAlign w:val="bottom"/>
            <w:hideMark/>
          </w:tcPr>
          <w:p w14:paraId="4540B219" w14:textId="77777777" w:rsidR="00EC59FE" w:rsidRPr="00E43187" w:rsidRDefault="00EC59FE" w:rsidP="00EC59FE">
            <w:pPr>
              <w:spacing w:before="40"/>
              <w:jc w:val="right"/>
              <w:rPr>
                <w:sz w:val="22"/>
                <w:szCs w:val="22"/>
              </w:rPr>
            </w:pPr>
            <w:r w:rsidRPr="00E43187">
              <w:rPr>
                <w:color w:val="000000"/>
                <w:sz w:val="22"/>
                <w:szCs w:val="22"/>
              </w:rPr>
              <w:t>CZK</w:t>
            </w:r>
          </w:p>
        </w:tc>
        <w:tc>
          <w:tcPr>
            <w:tcW w:w="1486" w:type="dxa"/>
            <w:shd w:val="clear" w:color="auto" w:fill="auto"/>
            <w:noWrap/>
          </w:tcPr>
          <w:p w14:paraId="5DFD34D5" w14:textId="10166BDC" w:rsidR="00EC59FE" w:rsidRPr="00C46251" w:rsidRDefault="00EC59FE" w:rsidP="00EC59FE">
            <w:pPr>
              <w:spacing w:before="40"/>
              <w:jc w:val="right"/>
              <w:rPr>
                <w:b/>
                <w:bCs/>
                <w:sz w:val="22"/>
                <w:szCs w:val="22"/>
                <w:highlight w:val="yellow"/>
              </w:rPr>
            </w:pPr>
            <w:r w:rsidRPr="004C0B6B">
              <w:t xml:space="preserve"> 2,778 </w:t>
            </w:r>
          </w:p>
        </w:tc>
        <w:tc>
          <w:tcPr>
            <w:tcW w:w="1523" w:type="dxa"/>
            <w:shd w:val="clear" w:color="auto" w:fill="auto"/>
            <w:noWrap/>
          </w:tcPr>
          <w:p w14:paraId="55E0C1B8" w14:textId="47348381" w:rsidR="00EC59FE" w:rsidRPr="00C46251" w:rsidRDefault="00EC59FE" w:rsidP="00EC59FE">
            <w:pPr>
              <w:spacing w:before="40"/>
              <w:jc w:val="right"/>
              <w:rPr>
                <w:b/>
                <w:bCs/>
                <w:sz w:val="22"/>
                <w:szCs w:val="22"/>
                <w:highlight w:val="yellow"/>
              </w:rPr>
            </w:pPr>
            <w:r w:rsidRPr="004C0B6B">
              <w:t xml:space="preserve"> (1,343)</w:t>
            </w:r>
          </w:p>
        </w:tc>
      </w:tr>
      <w:tr w:rsidR="00EC59FE" w14:paraId="59DA8138" w14:textId="77777777" w:rsidTr="005101BC">
        <w:trPr>
          <w:trHeight w:val="220"/>
        </w:trPr>
        <w:tc>
          <w:tcPr>
            <w:tcW w:w="4461" w:type="dxa"/>
            <w:shd w:val="clear" w:color="auto" w:fill="auto"/>
            <w:noWrap/>
            <w:vAlign w:val="bottom"/>
            <w:hideMark/>
          </w:tcPr>
          <w:p w14:paraId="54E10417" w14:textId="77777777" w:rsidR="00EC59FE" w:rsidRPr="00E43187" w:rsidRDefault="00EC59FE" w:rsidP="00EC59FE">
            <w:pPr>
              <w:spacing w:before="40"/>
              <w:rPr>
                <w:rFonts w:ascii="Arial" w:eastAsia="Arial" w:hAnsi="Arial" w:cs="Arial"/>
                <w:sz w:val="22"/>
                <w:szCs w:val="22"/>
              </w:rPr>
            </w:pPr>
          </w:p>
        </w:tc>
        <w:tc>
          <w:tcPr>
            <w:tcW w:w="1448" w:type="dxa"/>
            <w:shd w:val="clear" w:color="auto" w:fill="auto"/>
            <w:noWrap/>
            <w:vAlign w:val="bottom"/>
            <w:hideMark/>
          </w:tcPr>
          <w:p w14:paraId="5766BBFF" w14:textId="77777777" w:rsidR="00EC59FE" w:rsidRPr="00E43187" w:rsidRDefault="00EC59FE" w:rsidP="00EC59FE">
            <w:pPr>
              <w:spacing w:before="40"/>
              <w:jc w:val="right"/>
              <w:rPr>
                <w:sz w:val="22"/>
                <w:szCs w:val="22"/>
              </w:rPr>
            </w:pPr>
            <w:r w:rsidRPr="00E43187">
              <w:rPr>
                <w:color w:val="000000"/>
                <w:sz w:val="22"/>
                <w:szCs w:val="22"/>
              </w:rPr>
              <w:t>PLN</w:t>
            </w:r>
          </w:p>
        </w:tc>
        <w:tc>
          <w:tcPr>
            <w:tcW w:w="1486" w:type="dxa"/>
            <w:shd w:val="clear" w:color="auto" w:fill="auto"/>
            <w:noWrap/>
          </w:tcPr>
          <w:p w14:paraId="1B471715" w14:textId="44A5C8A0" w:rsidR="00EC59FE" w:rsidRPr="00C46251" w:rsidRDefault="00EC59FE" w:rsidP="00EC59FE">
            <w:pPr>
              <w:spacing w:before="40"/>
              <w:jc w:val="right"/>
              <w:rPr>
                <w:b/>
                <w:bCs/>
                <w:sz w:val="22"/>
                <w:szCs w:val="22"/>
                <w:highlight w:val="yellow"/>
              </w:rPr>
            </w:pPr>
            <w:r w:rsidRPr="004C0B6B">
              <w:t xml:space="preserve"> 39,620 </w:t>
            </w:r>
          </w:p>
        </w:tc>
        <w:tc>
          <w:tcPr>
            <w:tcW w:w="1523" w:type="dxa"/>
            <w:shd w:val="clear" w:color="auto" w:fill="auto"/>
            <w:noWrap/>
          </w:tcPr>
          <w:p w14:paraId="114D3442" w14:textId="270E7705" w:rsidR="00EC59FE" w:rsidRPr="00C46251" w:rsidRDefault="00EC59FE" w:rsidP="00EC59FE">
            <w:pPr>
              <w:spacing w:before="40"/>
              <w:jc w:val="right"/>
              <w:rPr>
                <w:b/>
                <w:bCs/>
                <w:sz w:val="22"/>
                <w:szCs w:val="22"/>
                <w:highlight w:val="yellow"/>
              </w:rPr>
            </w:pPr>
            <w:r w:rsidRPr="004C0B6B">
              <w:t xml:space="preserve"> 1,628 </w:t>
            </w:r>
          </w:p>
        </w:tc>
      </w:tr>
      <w:tr w:rsidR="00EC59FE" w14:paraId="22E38F31" w14:textId="77777777" w:rsidTr="005101BC">
        <w:trPr>
          <w:trHeight w:val="220"/>
        </w:trPr>
        <w:tc>
          <w:tcPr>
            <w:tcW w:w="4461" w:type="dxa"/>
            <w:shd w:val="clear" w:color="auto" w:fill="auto"/>
            <w:noWrap/>
            <w:vAlign w:val="bottom"/>
            <w:hideMark/>
          </w:tcPr>
          <w:p w14:paraId="2E9C38DB" w14:textId="77777777" w:rsidR="00EC59FE" w:rsidRPr="00E43187" w:rsidRDefault="00EC59FE" w:rsidP="00EC59FE">
            <w:pPr>
              <w:spacing w:before="40"/>
              <w:rPr>
                <w:rFonts w:ascii="Arial" w:eastAsia="Arial" w:hAnsi="Arial" w:cs="Arial"/>
                <w:sz w:val="22"/>
                <w:szCs w:val="22"/>
              </w:rPr>
            </w:pPr>
          </w:p>
        </w:tc>
        <w:tc>
          <w:tcPr>
            <w:tcW w:w="1448" w:type="dxa"/>
            <w:shd w:val="clear" w:color="auto" w:fill="auto"/>
            <w:noWrap/>
            <w:vAlign w:val="bottom"/>
            <w:hideMark/>
          </w:tcPr>
          <w:p w14:paraId="3A3DF889" w14:textId="77777777" w:rsidR="00EC59FE" w:rsidRPr="00E43187" w:rsidRDefault="00EC59FE" w:rsidP="00EC59FE">
            <w:pPr>
              <w:spacing w:before="40"/>
              <w:jc w:val="right"/>
              <w:rPr>
                <w:sz w:val="22"/>
                <w:szCs w:val="22"/>
              </w:rPr>
            </w:pPr>
            <w:r w:rsidRPr="00E43187">
              <w:rPr>
                <w:color w:val="000000"/>
                <w:sz w:val="22"/>
                <w:szCs w:val="22"/>
              </w:rPr>
              <w:t>BGN</w:t>
            </w:r>
          </w:p>
        </w:tc>
        <w:tc>
          <w:tcPr>
            <w:tcW w:w="1486" w:type="dxa"/>
            <w:shd w:val="clear" w:color="auto" w:fill="auto"/>
            <w:noWrap/>
          </w:tcPr>
          <w:p w14:paraId="7674647A" w14:textId="70F8CCEF" w:rsidR="00EC59FE" w:rsidRPr="00C46251" w:rsidRDefault="00EC59FE" w:rsidP="00EC59FE">
            <w:pPr>
              <w:spacing w:before="40"/>
              <w:jc w:val="right"/>
              <w:rPr>
                <w:b/>
                <w:bCs/>
                <w:sz w:val="22"/>
                <w:szCs w:val="22"/>
                <w:highlight w:val="yellow"/>
              </w:rPr>
            </w:pPr>
            <w:r w:rsidRPr="004C0B6B">
              <w:t xml:space="preserve"> 583 </w:t>
            </w:r>
          </w:p>
        </w:tc>
        <w:tc>
          <w:tcPr>
            <w:tcW w:w="1523" w:type="dxa"/>
            <w:shd w:val="clear" w:color="auto" w:fill="auto"/>
            <w:noWrap/>
          </w:tcPr>
          <w:p w14:paraId="6A3F8BD0" w14:textId="13DAF007" w:rsidR="00EC59FE" w:rsidRPr="00C46251" w:rsidRDefault="00EC59FE" w:rsidP="00EC59FE">
            <w:pPr>
              <w:spacing w:before="40"/>
              <w:jc w:val="right"/>
              <w:rPr>
                <w:b/>
                <w:bCs/>
                <w:sz w:val="22"/>
                <w:szCs w:val="22"/>
                <w:highlight w:val="yellow"/>
              </w:rPr>
            </w:pPr>
            <w:r w:rsidRPr="004C0B6B">
              <w:t xml:space="preserve"> 583 </w:t>
            </w:r>
          </w:p>
        </w:tc>
      </w:tr>
      <w:tr w:rsidR="00EC59FE" w14:paraId="1DC0CEE4" w14:textId="77777777" w:rsidTr="005101BC">
        <w:trPr>
          <w:trHeight w:val="220"/>
        </w:trPr>
        <w:tc>
          <w:tcPr>
            <w:tcW w:w="4461" w:type="dxa"/>
            <w:shd w:val="clear" w:color="auto" w:fill="auto"/>
            <w:noWrap/>
            <w:vAlign w:val="bottom"/>
            <w:hideMark/>
          </w:tcPr>
          <w:p w14:paraId="0EF92278" w14:textId="77777777" w:rsidR="00EC59FE" w:rsidRPr="00E43187" w:rsidRDefault="00EC59FE" w:rsidP="00EC59FE">
            <w:pPr>
              <w:spacing w:before="40"/>
              <w:rPr>
                <w:rFonts w:ascii="Arial" w:eastAsia="Arial" w:hAnsi="Arial" w:cs="Arial"/>
                <w:sz w:val="22"/>
                <w:szCs w:val="22"/>
              </w:rPr>
            </w:pPr>
          </w:p>
        </w:tc>
        <w:tc>
          <w:tcPr>
            <w:tcW w:w="1448" w:type="dxa"/>
            <w:shd w:val="clear" w:color="auto" w:fill="auto"/>
            <w:noWrap/>
            <w:vAlign w:val="bottom"/>
            <w:hideMark/>
          </w:tcPr>
          <w:p w14:paraId="06AC1D01" w14:textId="77777777" w:rsidR="00EC59FE" w:rsidRPr="00E43187" w:rsidRDefault="00EC59FE" w:rsidP="00EC59FE">
            <w:pPr>
              <w:spacing w:before="40"/>
              <w:jc w:val="right"/>
              <w:rPr>
                <w:sz w:val="22"/>
                <w:szCs w:val="22"/>
              </w:rPr>
            </w:pPr>
            <w:r w:rsidRPr="00E43187">
              <w:rPr>
                <w:color w:val="000000"/>
                <w:sz w:val="22"/>
                <w:szCs w:val="22"/>
              </w:rPr>
              <w:t>RON</w:t>
            </w:r>
          </w:p>
        </w:tc>
        <w:tc>
          <w:tcPr>
            <w:tcW w:w="1486" w:type="dxa"/>
            <w:shd w:val="clear" w:color="auto" w:fill="auto"/>
            <w:noWrap/>
          </w:tcPr>
          <w:p w14:paraId="13E166D0" w14:textId="5136F21E" w:rsidR="00EC59FE" w:rsidRPr="00C46251" w:rsidRDefault="00EC59FE" w:rsidP="00EC59FE">
            <w:pPr>
              <w:spacing w:before="40"/>
              <w:jc w:val="right"/>
              <w:rPr>
                <w:b/>
                <w:bCs/>
                <w:sz w:val="22"/>
                <w:szCs w:val="22"/>
                <w:highlight w:val="yellow"/>
              </w:rPr>
            </w:pPr>
            <w:r w:rsidRPr="004C0B6B">
              <w:t xml:space="preserve"> 3,819 </w:t>
            </w:r>
          </w:p>
        </w:tc>
        <w:tc>
          <w:tcPr>
            <w:tcW w:w="1523" w:type="dxa"/>
            <w:shd w:val="clear" w:color="auto" w:fill="auto"/>
            <w:noWrap/>
          </w:tcPr>
          <w:p w14:paraId="4931FCEC" w14:textId="43F33DDE" w:rsidR="00EC59FE" w:rsidRPr="00C46251" w:rsidRDefault="00EC59FE" w:rsidP="00EC59FE">
            <w:pPr>
              <w:spacing w:before="40"/>
              <w:jc w:val="right"/>
              <w:rPr>
                <w:b/>
                <w:bCs/>
                <w:sz w:val="22"/>
                <w:szCs w:val="22"/>
                <w:highlight w:val="yellow"/>
              </w:rPr>
            </w:pPr>
            <w:r w:rsidRPr="004C0B6B">
              <w:t xml:space="preserve"> 3,819 </w:t>
            </w:r>
          </w:p>
        </w:tc>
      </w:tr>
      <w:tr w:rsidR="00EC59FE" w14:paraId="6DAC6EF7" w14:textId="77777777" w:rsidTr="005101BC">
        <w:trPr>
          <w:trHeight w:val="220"/>
        </w:trPr>
        <w:tc>
          <w:tcPr>
            <w:tcW w:w="4461" w:type="dxa"/>
            <w:shd w:val="clear" w:color="auto" w:fill="auto"/>
            <w:noWrap/>
            <w:vAlign w:val="bottom"/>
            <w:hideMark/>
          </w:tcPr>
          <w:p w14:paraId="08CDBC8D" w14:textId="77777777" w:rsidR="00EC59FE" w:rsidRPr="00E43187" w:rsidRDefault="00EC59FE" w:rsidP="00EC59FE">
            <w:pPr>
              <w:spacing w:before="40"/>
              <w:rPr>
                <w:rFonts w:ascii="Arial" w:eastAsia="Arial" w:hAnsi="Arial" w:cs="Arial"/>
                <w:sz w:val="22"/>
                <w:szCs w:val="22"/>
              </w:rPr>
            </w:pPr>
          </w:p>
        </w:tc>
        <w:tc>
          <w:tcPr>
            <w:tcW w:w="1448" w:type="dxa"/>
            <w:shd w:val="clear" w:color="auto" w:fill="auto"/>
            <w:noWrap/>
            <w:vAlign w:val="bottom"/>
            <w:hideMark/>
          </w:tcPr>
          <w:p w14:paraId="57C717C8" w14:textId="77777777" w:rsidR="00EC59FE" w:rsidRPr="00E43187" w:rsidRDefault="00EC59FE" w:rsidP="00EC59FE">
            <w:pPr>
              <w:spacing w:before="40"/>
              <w:jc w:val="right"/>
              <w:rPr>
                <w:sz w:val="22"/>
                <w:szCs w:val="22"/>
              </w:rPr>
            </w:pPr>
            <w:r w:rsidRPr="00E43187">
              <w:rPr>
                <w:color w:val="000000"/>
                <w:sz w:val="22"/>
                <w:szCs w:val="22"/>
              </w:rPr>
              <w:t>CSD</w:t>
            </w:r>
          </w:p>
        </w:tc>
        <w:tc>
          <w:tcPr>
            <w:tcW w:w="1486" w:type="dxa"/>
            <w:shd w:val="clear" w:color="auto" w:fill="auto"/>
            <w:noWrap/>
          </w:tcPr>
          <w:p w14:paraId="0BE83418" w14:textId="659946BC" w:rsidR="00EC59FE" w:rsidRPr="00C46251" w:rsidRDefault="00EC59FE" w:rsidP="00EC59FE">
            <w:pPr>
              <w:spacing w:before="40"/>
              <w:jc w:val="right"/>
              <w:rPr>
                <w:b/>
                <w:bCs/>
                <w:sz w:val="22"/>
                <w:szCs w:val="22"/>
                <w:highlight w:val="yellow"/>
              </w:rPr>
            </w:pPr>
            <w:r w:rsidRPr="004C0B6B">
              <w:t xml:space="preserve"> (422)</w:t>
            </w:r>
          </w:p>
        </w:tc>
        <w:tc>
          <w:tcPr>
            <w:tcW w:w="1523" w:type="dxa"/>
            <w:shd w:val="clear" w:color="auto" w:fill="auto"/>
            <w:noWrap/>
          </w:tcPr>
          <w:p w14:paraId="6623276D" w14:textId="443B9960" w:rsidR="00EC59FE" w:rsidRPr="00C46251" w:rsidRDefault="00EC59FE" w:rsidP="00EC59FE">
            <w:pPr>
              <w:spacing w:before="40"/>
              <w:jc w:val="right"/>
              <w:rPr>
                <w:b/>
                <w:bCs/>
                <w:sz w:val="22"/>
                <w:szCs w:val="22"/>
                <w:highlight w:val="yellow"/>
              </w:rPr>
            </w:pPr>
            <w:r w:rsidRPr="004C0B6B">
              <w:t xml:space="preserve"> (422)</w:t>
            </w:r>
          </w:p>
        </w:tc>
      </w:tr>
      <w:tr w:rsidR="00EC59FE" w14:paraId="5DE98B21" w14:textId="77777777" w:rsidTr="005101BC">
        <w:trPr>
          <w:trHeight w:val="220"/>
        </w:trPr>
        <w:tc>
          <w:tcPr>
            <w:tcW w:w="4461" w:type="dxa"/>
            <w:shd w:val="clear" w:color="auto" w:fill="auto"/>
            <w:noWrap/>
            <w:vAlign w:val="bottom"/>
            <w:hideMark/>
          </w:tcPr>
          <w:p w14:paraId="0B29E8ED" w14:textId="77777777" w:rsidR="00EC59FE" w:rsidRPr="00E43187" w:rsidRDefault="00EC59FE" w:rsidP="00EC59FE">
            <w:pPr>
              <w:spacing w:before="40"/>
              <w:rPr>
                <w:rFonts w:ascii="Arial" w:eastAsia="Arial" w:hAnsi="Arial" w:cs="Arial"/>
                <w:sz w:val="22"/>
                <w:szCs w:val="22"/>
              </w:rPr>
            </w:pPr>
          </w:p>
        </w:tc>
        <w:tc>
          <w:tcPr>
            <w:tcW w:w="1448" w:type="dxa"/>
            <w:shd w:val="clear" w:color="auto" w:fill="auto"/>
            <w:noWrap/>
            <w:vAlign w:val="bottom"/>
            <w:hideMark/>
          </w:tcPr>
          <w:p w14:paraId="61D994DA" w14:textId="77777777" w:rsidR="00EC59FE" w:rsidRPr="00E43187" w:rsidRDefault="00EC59FE" w:rsidP="00EC59FE">
            <w:pPr>
              <w:spacing w:before="40"/>
              <w:jc w:val="right"/>
              <w:rPr>
                <w:sz w:val="22"/>
                <w:szCs w:val="22"/>
              </w:rPr>
            </w:pPr>
            <w:r w:rsidRPr="00E43187">
              <w:rPr>
                <w:color w:val="000000"/>
                <w:sz w:val="22"/>
                <w:szCs w:val="22"/>
              </w:rPr>
              <w:t>Others</w:t>
            </w:r>
          </w:p>
        </w:tc>
        <w:tc>
          <w:tcPr>
            <w:tcW w:w="1486" w:type="dxa"/>
            <w:shd w:val="clear" w:color="auto" w:fill="auto"/>
            <w:noWrap/>
          </w:tcPr>
          <w:p w14:paraId="73305758" w14:textId="3D77D41D" w:rsidR="00EC59FE" w:rsidRPr="00C46251" w:rsidRDefault="00EC59FE" w:rsidP="00EC59FE">
            <w:pPr>
              <w:spacing w:before="40"/>
              <w:jc w:val="right"/>
              <w:rPr>
                <w:b/>
                <w:bCs/>
                <w:sz w:val="22"/>
                <w:szCs w:val="22"/>
                <w:highlight w:val="yellow"/>
              </w:rPr>
            </w:pPr>
            <w:r w:rsidRPr="004C0B6B">
              <w:t xml:space="preserve"> (8,808)</w:t>
            </w:r>
          </w:p>
        </w:tc>
        <w:tc>
          <w:tcPr>
            <w:tcW w:w="1523" w:type="dxa"/>
            <w:shd w:val="clear" w:color="auto" w:fill="auto"/>
            <w:noWrap/>
          </w:tcPr>
          <w:p w14:paraId="2093B73E" w14:textId="39112704" w:rsidR="00EC59FE" w:rsidRPr="00C46251" w:rsidRDefault="00EC59FE" w:rsidP="00EC59FE">
            <w:pPr>
              <w:spacing w:before="40"/>
              <w:jc w:val="right"/>
              <w:rPr>
                <w:b/>
                <w:bCs/>
                <w:sz w:val="22"/>
                <w:szCs w:val="22"/>
                <w:highlight w:val="yellow"/>
              </w:rPr>
            </w:pPr>
            <w:r w:rsidRPr="004C0B6B">
              <w:t xml:space="preserve"> (8,808)</w:t>
            </w:r>
          </w:p>
        </w:tc>
      </w:tr>
      <w:tr w:rsidR="007958E3" w14:paraId="2AF372F2" w14:textId="77777777" w:rsidTr="005101BC">
        <w:trPr>
          <w:trHeight w:val="220"/>
        </w:trPr>
        <w:tc>
          <w:tcPr>
            <w:tcW w:w="4461" w:type="dxa"/>
            <w:shd w:val="clear" w:color="auto" w:fill="auto"/>
            <w:noWrap/>
            <w:vAlign w:val="bottom"/>
            <w:hideMark/>
          </w:tcPr>
          <w:p w14:paraId="26E1BBCC" w14:textId="77777777" w:rsidR="007958E3" w:rsidRPr="00960BE4" w:rsidRDefault="007958E3" w:rsidP="007958E3">
            <w:pPr>
              <w:spacing w:before="40"/>
              <w:rPr>
                <w:color w:val="000000"/>
                <w:sz w:val="22"/>
                <w:szCs w:val="22"/>
              </w:rPr>
            </w:pPr>
          </w:p>
          <w:p w14:paraId="1D1D3247" w14:textId="3B2D3A59" w:rsidR="007958E3" w:rsidRPr="00960BE4" w:rsidRDefault="007958E3" w:rsidP="007958E3">
            <w:pPr>
              <w:spacing w:before="40"/>
              <w:rPr>
                <w:rFonts w:ascii="Arial" w:eastAsia="Arial" w:hAnsi="Arial" w:cs="Arial"/>
                <w:sz w:val="22"/>
                <w:szCs w:val="22"/>
              </w:rPr>
            </w:pPr>
            <w:r w:rsidRPr="00960BE4">
              <w:rPr>
                <w:color w:val="000000"/>
                <w:sz w:val="22"/>
                <w:szCs w:val="22"/>
              </w:rPr>
              <w:t>December 31, 202</w:t>
            </w:r>
            <w:r>
              <w:rPr>
                <w:color w:val="000000"/>
                <w:sz w:val="22"/>
                <w:szCs w:val="22"/>
              </w:rPr>
              <w:t>3</w:t>
            </w:r>
          </w:p>
        </w:tc>
        <w:tc>
          <w:tcPr>
            <w:tcW w:w="1448" w:type="dxa"/>
            <w:shd w:val="clear" w:color="auto" w:fill="auto"/>
            <w:noWrap/>
            <w:vAlign w:val="bottom"/>
            <w:hideMark/>
          </w:tcPr>
          <w:p w14:paraId="041E9C3F" w14:textId="1603C44E" w:rsidR="007958E3" w:rsidRPr="00960BE4" w:rsidRDefault="007958E3" w:rsidP="007958E3">
            <w:pPr>
              <w:spacing w:before="40"/>
              <w:jc w:val="right"/>
              <w:rPr>
                <w:sz w:val="22"/>
                <w:szCs w:val="22"/>
              </w:rPr>
            </w:pPr>
            <w:r w:rsidRPr="00960BE4">
              <w:rPr>
                <w:color w:val="000000"/>
                <w:sz w:val="22"/>
                <w:szCs w:val="22"/>
              </w:rPr>
              <w:t>CZK</w:t>
            </w:r>
          </w:p>
        </w:tc>
        <w:tc>
          <w:tcPr>
            <w:tcW w:w="1486" w:type="dxa"/>
            <w:shd w:val="clear" w:color="auto" w:fill="auto"/>
            <w:noWrap/>
            <w:vAlign w:val="bottom"/>
          </w:tcPr>
          <w:p w14:paraId="255CD72F" w14:textId="77CEF940" w:rsidR="007958E3" w:rsidRPr="00A8313C" w:rsidRDefault="007958E3" w:rsidP="004D5212">
            <w:pPr>
              <w:spacing w:before="40"/>
              <w:jc w:val="right"/>
              <w:rPr>
                <w:sz w:val="22"/>
              </w:rPr>
            </w:pPr>
            <w:r>
              <w:rPr>
                <w:sz w:val="22"/>
                <w:szCs w:val="22"/>
              </w:rPr>
              <w:t>2,935</w:t>
            </w:r>
          </w:p>
        </w:tc>
        <w:tc>
          <w:tcPr>
            <w:tcW w:w="1523" w:type="dxa"/>
            <w:shd w:val="clear" w:color="auto" w:fill="auto"/>
            <w:noWrap/>
            <w:vAlign w:val="bottom"/>
          </w:tcPr>
          <w:p w14:paraId="75B7E5AF" w14:textId="5A3CF3CD" w:rsidR="007958E3" w:rsidRPr="00A8313C" w:rsidRDefault="007958E3" w:rsidP="004D5212">
            <w:pPr>
              <w:spacing w:before="40"/>
              <w:jc w:val="right"/>
              <w:rPr>
                <w:sz w:val="22"/>
              </w:rPr>
            </w:pPr>
            <w:r>
              <w:rPr>
                <w:sz w:val="22"/>
                <w:szCs w:val="22"/>
              </w:rPr>
              <w:t>(937)</w:t>
            </w:r>
          </w:p>
        </w:tc>
      </w:tr>
      <w:tr w:rsidR="007958E3" w14:paraId="50EC7009" w14:textId="77777777" w:rsidTr="005101BC">
        <w:trPr>
          <w:trHeight w:val="220"/>
        </w:trPr>
        <w:tc>
          <w:tcPr>
            <w:tcW w:w="4461" w:type="dxa"/>
            <w:shd w:val="clear" w:color="auto" w:fill="auto"/>
            <w:noWrap/>
            <w:vAlign w:val="bottom"/>
            <w:hideMark/>
          </w:tcPr>
          <w:p w14:paraId="588D77DE" w14:textId="77777777" w:rsidR="007958E3" w:rsidRPr="00960BE4" w:rsidRDefault="007958E3" w:rsidP="007958E3">
            <w:pPr>
              <w:spacing w:before="40"/>
              <w:rPr>
                <w:rFonts w:ascii="Arial" w:eastAsia="Arial" w:hAnsi="Arial" w:cs="Arial"/>
                <w:sz w:val="22"/>
                <w:szCs w:val="22"/>
              </w:rPr>
            </w:pPr>
          </w:p>
        </w:tc>
        <w:tc>
          <w:tcPr>
            <w:tcW w:w="1448" w:type="dxa"/>
            <w:shd w:val="clear" w:color="auto" w:fill="auto"/>
            <w:noWrap/>
            <w:vAlign w:val="bottom"/>
            <w:hideMark/>
          </w:tcPr>
          <w:p w14:paraId="463C6434" w14:textId="2B4443A6" w:rsidR="007958E3" w:rsidRPr="00960BE4" w:rsidRDefault="007958E3" w:rsidP="007958E3">
            <w:pPr>
              <w:spacing w:before="40"/>
              <w:jc w:val="right"/>
              <w:rPr>
                <w:sz w:val="22"/>
                <w:szCs w:val="22"/>
              </w:rPr>
            </w:pPr>
            <w:r w:rsidRPr="00960BE4">
              <w:rPr>
                <w:color w:val="000000"/>
                <w:sz w:val="22"/>
                <w:szCs w:val="22"/>
              </w:rPr>
              <w:t>PLN</w:t>
            </w:r>
          </w:p>
        </w:tc>
        <w:tc>
          <w:tcPr>
            <w:tcW w:w="1486" w:type="dxa"/>
            <w:shd w:val="clear" w:color="auto" w:fill="auto"/>
            <w:noWrap/>
            <w:vAlign w:val="bottom"/>
          </w:tcPr>
          <w:p w14:paraId="15DCEF97" w14:textId="1808A1AB" w:rsidR="007958E3" w:rsidRPr="00A8313C" w:rsidRDefault="007958E3" w:rsidP="004D5212">
            <w:pPr>
              <w:spacing w:before="40"/>
              <w:jc w:val="right"/>
              <w:rPr>
                <w:sz w:val="22"/>
              </w:rPr>
            </w:pPr>
            <w:r>
              <w:rPr>
                <w:sz w:val="22"/>
                <w:szCs w:val="22"/>
              </w:rPr>
              <w:t>42,137</w:t>
            </w:r>
          </w:p>
        </w:tc>
        <w:tc>
          <w:tcPr>
            <w:tcW w:w="1523" w:type="dxa"/>
            <w:shd w:val="clear" w:color="auto" w:fill="auto"/>
            <w:noWrap/>
            <w:vAlign w:val="bottom"/>
          </w:tcPr>
          <w:p w14:paraId="57E03F62" w14:textId="0697BD27" w:rsidR="007958E3" w:rsidRPr="00A8313C" w:rsidRDefault="007958E3" w:rsidP="004D5212">
            <w:pPr>
              <w:spacing w:before="40"/>
              <w:jc w:val="right"/>
              <w:rPr>
                <w:sz w:val="22"/>
              </w:rPr>
            </w:pPr>
            <w:r>
              <w:rPr>
                <w:sz w:val="22"/>
                <w:szCs w:val="22"/>
              </w:rPr>
              <w:t>7,631</w:t>
            </w:r>
          </w:p>
        </w:tc>
      </w:tr>
      <w:tr w:rsidR="007958E3" w14:paraId="60D9E133" w14:textId="77777777" w:rsidTr="005101BC">
        <w:trPr>
          <w:trHeight w:val="220"/>
        </w:trPr>
        <w:tc>
          <w:tcPr>
            <w:tcW w:w="4461" w:type="dxa"/>
            <w:shd w:val="clear" w:color="auto" w:fill="auto"/>
            <w:noWrap/>
            <w:vAlign w:val="bottom"/>
            <w:hideMark/>
          </w:tcPr>
          <w:p w14:paraId="1992F685" w14:textId="77777777" w:rsidR="007958E3" w:rsidRPr="00960BE4" w:rsidRDefault="007958E3" w:rsidP="007958E3">
            <w:pPr>
              <w:spacing w:before="40"/>
              <w:rPr>
                <w:rFonts w:ascii="Arial" w:eastAsia="Arial" w:hAnsi="Arial" w:cs="Arial"/>
                <w:sz w:val="22"/>
                <w:szCs w:val="22"/>
              </w:rPr>
            </w:pPr>
          </w:p>
        </w:tc>
        <w:tc>
          <w:tcPr>
            <w:tcW w:w="1448" w:type="dxa"/>
            <w:shd w:val="clear" w:color="auto" w:fill="auto"/>
            <w:noWrap/>
            <w:vAlign w:val="bottom"/>
            <w:hideMark/>
          </w:tcPr>
          <w:p w14:paraId="3607F959" w14:textId="78CF08E2" w:rsidR="007958E3" w:rsidRPr="00960BE4" w:rsidRDefault="007958E3" w:rsidP="007958E3">
            <w:pPr>
              <w:spacing w:before="40"/>
              <w:jc w:val="right"/>
              <w:rPr>
                <w:sz w:val="22"/>
                <w:szCs w:val="22"/>
              </w:rPr>
            </w:pPr>
            <w:r w:rsidRPr="00960BE4">
              <w:rPr>
                <w:color w:val="000000"/>
                <w:sz w:val="22"/>
                <w:szCs w:val="22"/>
              </w:rPr>
              <w:t>BGN</w:t>
            </w:r>
          </w:p>
        </w:tc>
        <w:tc>
          <w:tcPr>
            <w:tcW w:w="1486" w:type="dxa"/>
            <w:shd w:val="clear" w:color="auto" w:fill="auto"/>
            <w:noWrap/>
            <w:vAlign w:val="bottom"/>
          </w:tcPr>
          <w:p w14:paraId="6AF5AB8A" w14:textId="67E5B2F9" w:rsidR="007958E3" w:rsidRPr="00A8313C" w:rsidRDefault="007958E3" w:rsidP="004D5212">
            <w:pPr>
              <w:spacing w:before="40"/>
              <w:jc w:val="right"/>
              <w:rPr>
                <w:sz w:val="22"/>
              </w:rPr>
            </w:pPr>
            <w:r>
              <w:rPr>
                <w:sz w:val="22"/>
                <w:szCs w:val="22"/>
              </w:rPr>
              <w:t>1,515</w:t>
            </w:r>
          </w:p>
        </w:tc>
        <w:tc>
          <w:tcPr>
            <w:tcW w:w="1523" w:type="dxa"/>
            <w:shd w:val="clear" w:color="auto" w:fill="auto"/>
            <w:noWrap/>
            <w:vAlign w:val="bottom"/>
          </w:tcPr>
          <w:p w14:paraId="6DC2AFA9" w14:textId="68CE058C" w:rsidR="007958E3" w:rsidRPr="00A8313C" w:rsidRDefault="007958E3" w:rsidP="004D5212">
            <w:pPr>
              <w:spacing w:before="40"/>
              <w:jc w:val="right"/>
              <w:rPr>
                <w:sz w:val="22"/>
              </w:rPr>
            </w:pPr>
            <w:r>
              <w:rPr>
                <w:sz w:val="22"/>
                <w:szCs w:val="22"/>
              </w:rPr>
              <w:t>1,515</w:t>
            </w:r>
          </w:p>
        </w:tc>
      </w:tr>
      <w:tr w:rsidR="007958E3" w14:paraId="4B4AD2C1" w14:textId="77777777" w:rsidTr="005101BC">
        <w:trPr>
          <w:trHeight w:val="220"/>
        </w:trPr>
        <w:tc>
          <w:tcPr>
            <w:tcW w:w="4461" w:type="dxa"/>
            <w:shd w:val="clear" w:color="auto" w:fill="auto"/>
            <w:noWrap/>
            <w:vAlign w:val="bottom"/>
            <w:hideMark/>
          </w:tcPr>
          <w:p w14:paraId="21A156A4" w14:textId="77777777" w:rsidR="007958E3" w:rsidRPr="00960BE4" w:rsidRDefault="007958E3" w:rsidP="007958E3">
            <w:pPr>
              <w:spacing w:before="40"/>
              <w:rPr>
                <w:rFonts w:ascii="Arial" w:eastAsia="Arial" w:hAnsi="Arial" w:cs="Arial"/>
                <w:sz w:val="22"/>
                <w:szCs w:val="22"/>
              </w:rPr>
            </w:pPr>
          </w:p>
        </w:tc>
        <w:tc>
          <w:tcPr>
            <w:tcW w:w="1448" w:type="dxa"/>
            <w:shd w:val="clear" w:color="auto" w:fill="auto"/>
            <w:noWrap/>
            <w:vAlign w:val="bottom"/>
            <w:hideMark/>
          </w:tcPr>
          <w:p w14:paraId="4585A7BF" w14:textId="46EB458F" w:rsidR="007958E3" w:rsidRPr="00960BE4" w:rsidRDefault="007958E3" w:rsidP="007958E3">
            <w:pPr>
              <w:spacing w:before="40"/>
              <w:jc w:val="right"/>
              <w:rPr>
                <w:sz w:val="22"/>
                <w:szCs w:val="22"/>
              </w:rPr>
            </w:pPr>
            <w:r w:rsidRPr="00960BE4">
              <w:rPr>
                <w:color w:val="000000"/>
                <w:sz w:val="22"/>
                <w:szCs w:val="22"/>
              </w:rPr>
              <w:t>RON</w:t>
            </w:r>
          </w:p>
        </w:tc>
        <w:tc>
          <w:tcPr>
            <w:tcW w:w="1486" w:type="dxa"/>
            <w:shd w:val="clear" w:color="auto" w:fill="auto"/>
            <w:noWrap/>
            <w:vAlign w:val="bottom"/>
          </w:tcPr>
          <w:p w14:paraId="33811FE2" w14:textId="203ED1EF" w:rsidR="007958E3" w:rsidRPr="00A8313C" w:rsidRDefault="007958E3" w:rsidP="004D5212">
            <w:pPr>
              <w:spacing w:before="40"/>
              <w:jc w:val="right"/>
              <w:rPr>
                <w:sz w:val="22"/>
              </w:rPr>
            </w:pPr>
            <w:r>
              <w:rPr>
                <w:sz w:val="22"/>
                <w:szCs w:val="22"/>
              </w:rPr>
              <w:t>3,559</w:t>
            </w:r>
          </w:p>
        </w:tc>
        <w:tc>
          <w:tcPr>
            <w:tcW w:w="1523" w:type="dxa"/>
            <w:shd w:val="clear" w:color="auto" w:fill="auto"/>
            <w:noWrap/>
            <w:vAlign w:val="bottom"/>
          </w:tcPr>
          <w:p w14:paraId="7BB0DE3D" w14:textId="53F47A58" w:rsidR="007958E3" w:rsidRPr="00A8313C" w:rsidRDefault="007958E3" w:rsidP="004D5212">
            <w:pPr>
              <w:spacing w:before="40"/>
              <w:jc w:val="right"/>
              <w:rPr>
                <w:sz w:val="22"/>
              </w:rPr>
            </w:pPr>
            <w:r>
              <w:rPr>
                <w:sz w:val="22"/>
                <w:szCs w:val="22"/>
              </w:rPr>
              <w:t>3,559</w:t>
            </w:r>
          </w:p>
        </w:tc>
      </w:tr>
      <w:tr w:rsidR="007958E3" w14:paraId="59C9B5FE" w14:textId="77777777" w:rsidTr="005101BC">
        <w:trPr>
          <w:trHeight w:val="220"/>
        </w:trPr>
        <w:tc>
          <w:tcPr>
            <w:tcW w:w="4461" w:type="dxa"/>
            <w:shd w:val="clear" w:color="auto" w:fill="auto"/>
            <w:noWrap/>
            <w:vAlign w:val="bottom"/>
            <w:hideMark/>
          </w:tcPr>
          <w:p w14:paraId="1084150D" w14:textId="77777777" w:rsidR="007958E3" w:rsidRPr="00960BE4" w:rsidRDefault="007958E3" w:rsidP="007958E3">
            <w:pPr>
              <w:spacing w:before="40"/>
              <w:rPr>
                <w:rFonts w:ascii="Arial" w:eastAsia="Arial" w:hAnsi="Arial" w:cs="Arial"/>
                <w:sz w:val="22"/>
                <w:szCs w:val="22"/>
              </w:rPr>
            </w:pPr>
          </w:p>
        </w:tc>
        <w:tc>
          <w:tcPr>
            <w:tcW w:w="1448" w:type="dxa"/>
            <w:shd w:val="clear" w:color="auto" w:fill="auto"/>
            <w:noWrap/>
            <w:vAlign w:val="bottom"/>
            <w:hideMark/>
          </w:tcPr>
          <w:p w14:paraId="36284C85" w14:textId="00993D58" w:rsidR="007958E3" w:rsidRPr="00960BE4" w:rsidRDefault="007958E3" w:rsidP="007958E3">
            <w:pPr>
              <w:spacing w:before="40"/>
              <w:jc w:val="right"/>
              <w:rPr>
                <w:sz w:val="22"/>
                <w:szCs w:val="22"/>
              </w:rPr>
            </w:pPr>
            <w:r w:rsidRPr="00960BE4">
              <w:rPr>
                <w:color w:val="000000"/>
                <w:sz w:val="22"/>
                <w:szCs w:val="22"/>
              </w:rPr>
              <w:t>CSD</w:t>
            </w:r>
          </w:p>
        </w:tc>
        <w:tc>
          <w:tcPr>
            <w:tcW w:w="1486" w:type="dxa"/>
            <w:shd w:val="clear" w:color="auto" w:fill="auto"/>
            <w:noWrap/>
            <w:vAlign w:val="bottom"/>
          </w:tcPr>
          <w:p w14:paraId="430C5804" w14:textId="65067030" w:rsidR="007958E3" w:rsidRPr="00A8313C" w:rsidRDefault="007958E3" w:rsidP="004D5212">
            <w:pPr>
              <w:spacing w:before="40"/>
              <w:jc w:val="right"/>
              <w:rPr>
                <w:sz w:val="22"/>
              </w:rPr>
            </w:pPr>
            <w:r>
              <w:rPr>
                <w:sz w:val="22"/>
                <w:szCs w:val="22"/>
              </w:rPr>
              <w:t>(32)</w:t>
            </w:r>
          </w:p>
        </w:tc>
        <w:tc>
          <w:tcPr>
            <w:tcW w:w="1523" w:type="dxa"/>
            <w:shd w:val="clear" w:color="auto" w:fill="auto"/>
            <w:noWrap/>
            <w:vAlign w:val="bottom"/>
          </w:tcPr>
          <w:p w14:paraId="4B997927" w14:textId="430AC2B2" w:rsidR="007958E3" w:rsidRPr="00A8313C" w:rsidRDefault="007958E3" w:rsidP="004D5212">
            <w:pPr>
              <w:spacing w:before="40"/>
              <w:jc w:val="right"/>
              <w:rPr>
                <w:sz w:val="22"/>
              </w:rPr>
            </w:pPr>
            <w:r>
              <w:rPr>
                <w:sz w:val="22"/>
                <w:szCs w:val="22"/>
              </w:rPr>
              <w:t>(32)</w:t>
            </w:r>
          </w:p>
        </w:tc>
      </w:tr>
      <w:tr w:rsidR="007958E3" w14:paraId="28F15AC3" w14:textId="77777777" w:rsidTr="005101BC">
        <w:trPr>
          <w:trHeight w:val="220"/>
        </w:trPr>
        <w:tc>
          <w:tcPr>
            <w:tcW w:w="4461" w:type="dxa"/>
            <w:shd w:val="clear" w:color="auto" w:fill="auto"/>
            <w:noWrap/>
            <w:vAlign w:val="bottom"/>
            <w:hideMark/>
          </w:tcPr>
          <w:p w14:paraId="2A57AF89" w14:textId="77777777" w:rsidR="007958E3" w:rsidRPr="00960BE4" w:rsidRDefault="007958E3" w:rsidP="007958E3">
            <w:pPr>
              <w:spacing w:before="40"/>
              <w:rPr>
                <w:rFonts w:ascii="Arial" w:eastAsia="Arial" w:hAnsi="Arial" w:cs="Arial"/>
                <w:sz w:val="22"/>
                <w:szCs w:val="22"/>
              </w:rPr>
            </w:pPr>
          </w:p>
        </w:tc>
        <w:tc>
          <w:tcPr>
            <w:tcW w:w="1448" w:type="dxa"/>
            <w:shd w:val="clear" w:color="auto" w:fill="auto"/>
            <w:noWrap/>
            <w:vAlign w:val="bottom"/>
            <w:hideMark/>
          </w:tcPr>
          <w:p w14:paraId="00F5E195" w14:textId="4C55637D" w:rsidR="007958E3" w:rsidRPr="00960BE4" w:rsidRDefault="007958E3" w:rsidP="007958E3">
            <w:pPr>
              <w:spacing w:before="40"/>
              <w:jc w:val="right"/>
              <w:rPr>
                <w:sz w:val="22"/>
                <w:szCs w:val="22"/>
              </w:rPr>
            </w:pPr>
            <w:r w:rsidRPr="00960BE4">
              <w:rPr>
                <w:color w:val="000000"/>
                <w:sz w:val="22"/>
                <w:szCs w:val="22"/>
              </w:rPr>
              <w:t>Others</w:t>
            </w:r>
          </w:p>
        </w:tc>
        <w:tc>
          <w:tcPr>
            <w:tcW w:w="1486" w:type="dxa"/>
            <w:shd w:val="clear" w:color="auto" w:fill="auto"/>
            <w:noWrap/>
            <w:vAlign w:val="bottom"/>
          </w:tcPr>
          <w:p w14:paraId="73DBB731" w14:textId="0EDBF7AA" w:rsidR="007958E3" w:rsidRPr="00A8313C" w:rsidRDefault="007958E3" w:rsidP="004D5212">
            <w:pPr>
              <w:spacing w:before="40"/>
              <w:jc w:val="right"/>
              <w:rPr>
                <w:sz w:val="22"/>
              </w:rPr>
            </w:pPr>
            <w:r>
              <w:rPr>
                <w:sz w:val="22"/>
                <w:szCs w:val="22"/>
              </w:rPr>
              <w:t>(9,236)</w:t>
            </w:r>
          </w:p>
        </w:tc>
        <w:tc>
          <w:tcPr>
            <w:tcW w:w="1523" w:type="dxa"/>
            <w:shd w:val="clear" w:color="auto" w:fill="auto"/>
            <w:noWrap/>
            <w:vAlign w:val="bottom"/>
          </w:tcPr>
          <w:p w14:paraId="4F0FB721" w14:textId="27B8F5CC" w:rsidR="007958E3" w:rsidRPr="00A8313C" w:rsidRDefault="007958E3" w:rsidP="004D5212">
            <w:pPr>
              <w:spacing w:before="40"/>
              <w:jc w:val="right"/>
              <w:rPr>
                <w:sz w:val="22"/>
              </w:rPr>
            </w:pPr>
            <w:r>
              <w:rPr>
                <w:sz w:val="22"/>
                <w:szCs w:val="22"/>
              </w:rPr>
              <w:t>(9,236)</w:t>
            </w:r>
          </w:p>
        </w:tc>
      </w:tr>
    </w:tbl>
    <w:p w14:paraId="4E33A249" w14:textId="77777777" w:rsidR="00C35D07" w:rsidRPr="00F02921" w:rsidRDefault="00C35D07" w:rsidP="004A3C21">
      <w:pPr>
        <w:ind w:left="720"/>
        <w:jc w:val="both"/>
        <w:rPr>
          <w:sz w:val="22"/>
          <w:szCs w:val="22"/>
        </w:rPr>
      </w:pPr>
    </w:p>
    <w:p w14:paraId="2DE5B43F" w14:textId="0FBC0646" w:rsidR="00C35D07" w:rsidRPr="00F02921" w:rsidRDefault="00C35D07" w:rsidP="001439EB">
      <w:pPr>
        <w:ind w:left="720"/>
        <w:jc w:val="both"/>
        <w:rPr>
          <w:sz w:val="22"/>
          <w:szCs w:val="22"/>
        </w:rPr>
      </w:pPr>
      <w:r w:rsidRPr="001109CB">
        <w:rPr>
          <w:sz w:val="22"/>
          <w:szCs w:val="22"/>
        </w:rPr>
        <w:t xml:space="preserve">A decrease as </w:t>
      </w:r>
      <w:proofErr w:type="gramStart"/>
      <w:r w:rsidRPr="001109CB">
        <w:rPr>
          <w:sz w:val="22"/>
          <w:szCs w:val="22"/>
        </w:rPr>
        <w:t>at</w:t>
      </w:r>
      <w:proofErr w:type="gramEnd"/>
      <w:r w:rsidRPr="001109CB">
        <w:rPr>
          <w:sz w:val="22"/>
          <w:szCs w:val="22"/>
        </w:rPr>
        <w:t xml:space="preserve"> December 31, </w:t>
      </w:r>
      <w:r w:rsidR="004D5212">
        <w:rPr>
          <w:sz w:val="22"/>
          <w:szCs w:val="22"/>
        </w:rPr>
        <w:t>2024</w:t>
      </w:r>
      <w:r w:rsidR="00173EDF" w:rsidRPr="001109CB">
        <w:rPr>
          <w:sz w:val="22"/>
          <w:szCs w:val="22"/>
        </w:rPr>
        <w:t xml:space="preserve"> </w:t>
      </w:r>
      <w:r w:rsidRPr="00CE2DDA">
        <w:rPr>
          <w:sz w:val="22"/>
          <w:szCs w:val="22"/>
        </w:rPr>
        <w:t>of 10% in the exchange rate of the above currencies against the Euro would have the same effect but in</w:t>
      </w:r>
      <w:r w:rsidRPr="001109CB">
        <w:rPr>
          <w:sz w:val="22"/>
          <w:szCs w:val="22"/>
        </w:rPr>
        <w:t xml:space="preserve"> the opposite direction, based on the assumption that all the other variables remain fixed.</w:t>
      </w:r>
    </w:p>
    <w:p w14:paraId="604093AD" w14:textId="77777777" w:rsidR="0011381D" w:rsidRDefault="0011381D" w:rsidP="00DF124E">
      <w:pPr>
        <w:jc w:val="both"/>
        <w:rPr>
          <w:sz w:val="22"/>
          <w:szCs w:val="22"/>
        </w:rPr>
      </w:pPr>
    </w:p>
    <w:p w14:paraId="286E35EE" w14:textId="643FF25B" w:rsidR="00C35D07" w:rsidRPr="00F02921" w:rsidRDefault="003F2045" w:rsidP="00C01E5D">
      <w:pPr>
        <w:ind w:left="567" w:hanging="567"/>
        <w:jc w:val="both"/>
        <w:outlineLvl w:val="3"/>
        <w:rPr>
          <w:b/>
          <w:bCs/>
          <w:sz w:val="22"/>
          <w:szCs w:val="22"/>
        </w:rPr>
      </w:pPr>
      <w:bookmarkStart w:id="205" w:name="H4_DInterest_rate_risk"/>
      <w:r>
        <w:rPr>
          <w:b/>
          <w:bCs/>
          <w:sz w:val="22"/>
          <w:szCs w:val="22"/>
        </w:rPr>
        <w:t>D</w:t>
      </w:r>
      <w:r w:rsidR="00D73854" w:rsidRPr="00C435F7">
        <w:rPr>
          <w:b/>
          <w:bCs/>
          <w:sz w:val="22"/>
          <w:szCs w:val="22"/>
        </w:rPr>
        <w:t>.</w:t>
      </w:r>
      <w:r w:rsidR="00D73854" w:rsidRPr="00C435F7">
        <w:rPr>
          <w:b/>
          <w:bCs/>
          <w:sz w:val="22"/>
          <w:szCs w:val="22"/>
        </w:rPr>
        <w:tab/>
      </w:r>
      <w:r w:rsidR="00C35D07" w:rsidRPr="00F02921">
        <w:rPr>
          <w:b/>
          <w:bCs/>
          <w:sz w:val="22"/>
          <w:szCs w:val="22"/>
        </w:rPr>
        <w:t>Interest rate risk</w:t>
      </w:r>
    </w:p>
    <w:bookmarkEnd w:id="205"/>
    <w:p w14:paraId="2717BC63" w14:textId="77777777" w:rsidR="00C35D07" w:rsidRPr="00F02921" w:rsidRDefault="00C35D07" w:rsidP="004A3C21">
      <w:pPr>
        <w:ind w:left="720"/>
        <w:jc w:val="both"/>
        <w:rPr>
          <w:sz w:val="22"/>
          <w:szCs w:val="22"/>
        </w:rPr>
      </w:pPr>
    </w:p>
    <w:p w14:paraId="54A2DC09" w14:textId="77777777" w:rsidR="00C35D07" w:rsidRPr="00F02921" w:rsidRDefault="00C35D07" w:rsidP="004A3C21">
      <w:pPr>
        <w:ind w:left="720"/>
        <w:jc w:val="both"/>
        <w:rPr>
          <w:sz w:val="22"/>
          <w:szCs w:val="22"/>
        </w:rPr>
      </w:pPr>
      <w:r w:rsidRPr="00F02921">
        <w:rPr>
          <w:sz w:val="22"/>
          <w:szCs w:val="22"/>
        </w:rPr>
        <w:t>At the reporting date the interest rate profile of the Group’s interest-bearing financial instruments was:</w:t>
      </w:r>
    </w:p>
    <w:p w14:paraId="06E01659" w14:textId="77777777" w:rsidR="00C35D07" w:rsidRPr="00F02921" w:rsidRDefault="00C35D07" w:rsidP="004A3C21">
      <w:pPr>
        <w:ind w:left="720"/>
        <w:jc w:val="both"/>
        <w:rPr>
          <w:sz w:val="22"/>
          <w:szCs w:val="22"/>
        </w:rPr>
      </w:pPr>
    </w:p>
    <w:p w14:paraId="5DC5F5F9" w14:textId="77777777" w:rsidR="00C35D07" w:rsidRPr="00F02921" w:rsidRDefault="00C35D07" w:rsidP="004A3C21">
      <w:pPr>
        <w:ind w:left="720"/>
        <w:jc w:val="both"/>
        <w:rPr>
          <w:rStyle w:val="Koteret"/>
          <w:b w:val="0"/>
          <w:bCs/>
          <w:i/>
          <w:iCs/>
          <w:rtl/>
          <w:lang w:bidi="he-IL"/>
        </w:rPr>
      </w:pPr>
      <w:r w:rsidRPr="00F02921">
        <w:rPr>
          <w:rStyle w:val="Koteret"/>
          <w:b w:val="0"/>
          <w:bCs/>
          <w:i/>
          <w:iCs/>
        </w:rPr>
        <w:t>In thousands of Euros</w:t>
      </w:r>
    </w:p>
    <w:tbl>
      <w:tblPr>
        <w:tblW w:w="9418" w:type="dxa"/>
        <w:tblInd w:w="720" w:type="dxa"/>
        <w:tblLayout w:type="fixed"/>
        <w:tblLook w:val="06A0" w:firstRow="1" w:lastRow="0" w:firstColumn="1" w:lastColumn="0" w:noHBand="1" w:noVBand="1"/>
        <w:tblCaption w:val="AHR02"/>
        <w:tblDescription w:val="Interest rate risk&#10;&#10;"/>
      </w:tblPr>
      <w:tblGrid>
        <w:gridCol w:w="6112"/>
        <w:gridCol w:w="1644"/>
        <w:gridCol w:w="1644"/>
        <w:gridCol w:w="18"/>
      </w:tblGrid>
      <w:tr w:rsidR="005101BC" w:rsidRPr="00D73854" w14:paraId="73CF8A62" w14:textId="77777777" w:rsidTr="005101BC">
        <w:trPr>
          <w:cantSplit/>
          <w:trHeight w:val="283"/>
          <w:tblHeader/>
        </w:trPr>
        <w:tc>
          <w:tcPr>
            <w:tcW w:w="6112" w:type="dxa"/>
            <w:vMerge w:val="restart"/>
            <w:shd w:val="clear" w:color="auto" w:fill="auto"/>
            <w:noWrap/>
            <w:vAlign w:val="bottom"/>
            <w:hideMark/>
          </w:tcPr>
          <w:p w14:paraId="0E7A40A7" w14:textId="77777777" w:rsidR="005101BC" w:rsidRPr="00D73854" w:rsidRDefault="005101BC">
            <w:pPr>
              <w:spacing w:before="40"/>
              <w:rPr>
                <w:rFonts w:ascii="Arial" w:eastAsia="Arial" w:hAnsi="Arial" w:cs="Arial"/>
                <w:sz w:val="20"/>
              </w:rPr>
            </w:pPr>
            <w:bookmarkStart w:id="206" w:name="Title_57" w:colFirst="0" w:colLast="0"/>
          </w:p>
        </w:tc>
        <w:tc>
          <w:tcPr>
            <w:tcW w:w="3306" w:type="dxa"/>
            <w:gridSpan w:val="3"/>
            <w:shd w:val="clear" w:color="auto" w:fill="auto"/>
            <w:vAlign w:val="bottom"/>
            <w:hideMark/>
          </w:tcPr>
          <w:p w14:paraId="030F0F6D" w14:textId="77777777" w:rsidR="005101BC" w:rsidRPr="00D73854" w:rsidRDefault="005101BC" w:rsidP="006806D5">
            <w:pPr>
              <w:pBdr>
                <w:bottom w:val="single" w:sz="4" w:space="0" w:color="000000"/>
              </w:pBdr>
              <w:spacing w:before="40"/>
              <w:jc w:val="center"/>
              <w:rPr>
                <w:b/>
                <w:bCs/>
                <w:sz w:val="20"/>
              </w:rPr>
            </w:pPr>
            <w:r w:rsidRPr="00D73854">
              <w:rPr>
                <w:b/>
                <w:bCs/>
                <w:color w:val="000000"/>
                <w:sz w:val="20"/>
              </w:rPr>
              <w:t>Carrying amount</w:t>
            </w:r>
          </w:p>
        </w:tc>
      </w:tr>
      <w:bookmarkEnd w:id="206"/>
      <w:tr w:rsidR="005101BC" w:rsidRPr="00D73854" w14:paraId="2BF8CAFE" w14:textId="77777777" w:rsidTr="005101BC">
        <w:trPr>
          <w:gridAfter w:val="1"/>
          <w:wAfter w:w="18" w:type="dxa"/>
          <w:cantSplit/>
          <w:trHeight w:val="283"/>
          <w:tblHeader/>
        </w:trPr>
        <w:tc>
          <w:tcPr>
            <w:tcW w:w="6112" w:type="dxa"/>
            <w:vMerge/>
            <w:shd w:val="clear" w:color="auto" w:fill="auto"/>
            <w:noWrap/>
            <w:vAlign w:val="bottom"/>
            <w:hideMark/>
          </w:tcPr>
          <w:p w14:paraId="7BFCBDDF" w14:textId="77777777" w:rsidR="005101BC" w:rsidRPr="00D73854" w:rsidRDefault="005101BC">
            <w:pPr>
              <w:spacing w:before="40"/>
              <w:rPr>
                <w:rFonts w:ascii="Arial" w:eastAsia="Arial" w:hAnsi="Arial" w:cs="Arial"/>
                <w:sz w:val="20"/>
              </w:rPr>
            </w:pPr>
          </w:p>
        </w:tc>
        <w:tc>
          <w:tcPr>
            <w:tcW w:w="1644" w:type="dxa"/>
            <w:shd w:val="clear" w:color="auto" w:fill="auto"/>
            <w:vAlign w:val="bottom"/>
            <w:hideMark/>
          </w:tcPr>
          <w:p w14:paraId="2A0D16EA" w14:textId="2980645E" w:rsidR="005101BC" w:rsidRPr="00D73854" w:rsidRDefault="005101BC" w:rsidP="006806D5">
            <w:pPr>
              <w:pBdr>
                <w:bottom w:val="single" w:sz="4" w:space="0" w:color="000000"/>
              </w:pBdr>
              <w:bidi/>
              <w:spacing w:before="40"/>
              <w:ind w:left="57"/>
              <w:jc w:val="center"/>
              <w:rPr>
                <w:b/>
                <w:bCs/>
                <w:sz w:val="20"/>
              </w:rPr>
            </w:pPr>
            <w:r>
              <w:rPr>
                <w:b/>
                <w:bCs/>
                <w:color w:val="000000"/>
                <w:sz w:val="20"/>
              </w:rPr>
              <w:t>2024</w:t>
            </w:r>
          </w:p>
        </w:tc>
        <w:tc>
          <w:tcPr>
            <w:tcW w:w="1644" w:type="dxa"/>
            <w:shd w:val="clear" w:color="auto" w:fill="auto"/>
            <w:vAlign w:val="bottom"/>
            <w:hideMark/>
          </w:tcPr>
          <w:p w14:paraId="5334CF12" w14:textId="270EBA6C" w:rsidR="005101BC" w:rsidRPr="00D73854" w:rsidRDefault="005101BC" w:rsidP="006806D5">
            <w:pPr>
              <w:pBdr>
                <w:bottom w:val="single" w:sz="4" w:space="0" w:color="000000"/>
              </w:pBdr>
              <w:bidi/>
              <w:spacing w:before="40"/>
              <w:ind w:left="57"/>
              <w:jc w:val="center"/>
              <w:rPr>
                <w:b/>
                <w:bCs/>
                <w:sz w:val="20"/>
              </w:rPr>
            </w:pPr>
            <w:r>
              <w:rPr>
                <w:b/>
                <w:bCs/>
                <w:color w:val="000000"/>
                <w:sz w:val="20"/>
              </w:rPr>
              <w:t>2023</w:t>
            </w:r>
          </w:p>
        </w:tc>
      </w:tr>
      <w:tr w:rsidR="0086460A" w:rsidRPr="00D73854" w14:paraId="536B1116" w14:textId="77777777" w:rsidTr="005101BC">
        <w:trPr>
          <w:gridAfter w:val="1"/>
          <w:wAfter w:w="18" w:type="dxa"/>
          <w:trHeight w:val="283"/>
        </w:trPr>
        <w:tc>
          <w:tcPr>
            <w:tcW w:w="6112" w:type="dxa"/>
            <w:shd w:val="clear" w:color="auto" w:fill="auto"/>
            <w:noWrap/>
            <w:vAlign w:val="bottom"/>
            <w:hideMark/>
          </w:tcPr>
          <w:p w14:paraId="029049DE" w14:textId="77777777" w:rsidR="001141B2" w:rsidRPr="00D73854" w:rsidRDefault="005F2ABB">
            <w:pPr>
              <w:spacing w:before="40"/>
              <w:rPr>
                <w:b/>
                <w:bCs/>
                <w:sz w:val="22"/>
                <w:szCs w:val="22"/>
              </w:rPr>
            </w:pPr>
            <w:r w:rsidRPr="00D73854">
              <w:rPr>
                <w:b/>
                <w:bCs/>
                <w:color w:val="000000"/>
                <w:sz w:val="22"/>
                <w:szCs w:val="22"/>
              </w:rPr>
              <w:t>Fixed rate instruments</w:t>
            </w:r>
          </w:p>
        </w:tc>
        <w:tc>
          <w:tcPr>
            <w:tcW w:w="1644" w:type="dxa"/>
            <w:shd w:val="clear" w:color="auto" w:fill="auto"/>
            <w:noWrap/>
            <w:vAlign w:val="bottom"/>
            <w:hideMark/>
          </w:tcPr>
          <w:p w14:paraId="746E8A15" w14:textId="77777777" w:rsidR="001141B2" w:rsidRPr="00D73854" w:rsidRDefault="001141B2">
            <w:pPr>
              <w:spacing w:before="40"/>
              <w:jc w:val="right"/>
              <w:rPr>
                <w:sz w:val="22"/>
                <w:szCs w:val="22"/>
              </w:rPr>
            </w:pPr>
          </w:p>
        </w:tc>
        <w:tc>
          <w:tcPr>
            <w:tcW w:w="1644" w:type="dxa"/>
            <w:shd w:val="clear" w:color="auto" w:fill="auto"/>
            <w:noWrap/>
            <w:vAlign w:val="bottom"/>
            <w:hideMark/>
          </w:tcPr>
          <w:p w14:paraId="4FB44FED" w14:textId="77777777" w:rsidR="001141B2" w:rsidRPr="00D73854" w:rsidRDefault="001141B2">
            <w:pPr>
              <w:spacing w:before="40"/>
              <w:rPr>
                <w:rFonts w:ascii="Arial" w:eastAsia="Arial" w:hAnsi="Arial" w:cs="Arial"/>
                <w:sz w:val="22"/>
                <w:szCs w:val="22"/>
              </w:rPr>
            </w:pPr>
          </w:p>
        </w:tc>
      </w:tr>
      <w:tr w:rsidR="00D27AB9" w:rsidRPr="00570E2C" w14:paraId="71CF615F" w14:textId="77777777" w:rsidTr="005101BC">
        <w:trPr>
          <w:gridAfter w:val="1"/>
          <w:wAfter w:w="18" w:type="dxa"/>
          <w:trHeight w:val="283"/>
        </w:trPr>
        <w:tc>
          <w:tcPr>
            <w:tcW w:w="6112" w:type="dxa"/>
            <w:shd w:val="clear" w:color="auto" w:fill="auto"/>
            <w:noWrap/>
            <w:vAlign w:val="bottom"/>
            <w:hideMark/>
          </w:tcPr>
          <w:p w14:paraId="4D7B589A" w14:textId="77777777" w:rsidR="00D27AB9" w:rsidRPr="00D73854" w:rsidRDefault="00D27AB9" w:rsidP="00D27AB9">
            <w:pPr>
              <w:spacing w:before="40"/>
              <w:rPr>
                <w:sz w:val="22"/>
                <w:szCs w:val="22"/>
              </w:rPr>
            </w:pPr>
            <w:r w:rsidRPr="00D73854">
              <w:rPr>
                <w:color w:val="000000"/>
                <w:sz w:val="22"/>
                <w:szCs w:val="22"/>
              </w:rPr>
              <w:t>Financial assets</w:t>
            </w:r>
          </w:p>
        </w:tc>
        <w:tc>
          <w:tcPr>
            <w:tcW w:w="1644" w:type="dxa"/>
            <w:shd w:val="clear" w:color="auto" w:fill="auto"/>
            <w:noWrap/>
          </w:tcPr>
          <w:p w14:paraId="1002DD19" w14:textId="38CAF6F6" w:rsidR="00D27AB9" w:rsidRPr="00D27AB9" w:rsidRDefault="00D27AB9" w:rsidP="00D27AB9">
            <w:pPr>
              <w:spacing w:before="40"/>
              <w:jc w:val="right"/>
              <w:rPr>
                <w:sz w:val="22"/>
                <w:szCs w:val="22"/>
              </w:rPr>
            </w:pPr>
            <w:r w:rsidRPr="00D27AB9">
              <w:rPr>
                <w:sz w:val="22"/>
                <w:szCs w:val="22"/>
              </w:rPr>
              <w:t xml:space="preserve"> 55,771 </w:t>
            </w:r>
          </w:p>
        </w:tc>
        <w:tc>
          <w:tcPr>
            <w:tcW w:w="1644" w:type="dxa"/>
            <w:shd w:val="clear" w:color="auto" w:fill="auto"/>
            <w:noWrap/>
            <w:vAlign w:val="bottom"/>
          </w:tcPr>
          <w:p w14:paraId="58E8B0B1" w14:textId="1AE10493" w:rsidR="00D27AB9" w:rsidRPr="00960BE4" w:rsidRDefault="00D27AB9" w:rsidP="00D27AB9">
            <w:pPr>
              <w:spacing w:before="40"/>
              <w:jc w:val="right"/>
              <w:rPr>
                <w:sz w:val="22"/>
                <w:szCs w:val="22"/>
              </w:rPr>
            </w:pPr>
            <w:r>
              <w:rPr>
                <w:sz w:val="22"/>
                <w:szCs w:val="22"/>
              </w:rPr>
              <w:t>51,926</w:t>
            </w:r>
          </w:p>
        </w:tc>
      </w:tr>
      <w:tr w:rsidR="00D27AB9" w:rsidRPr="00570E2C" w14:paraId="5ED4B6F5" w14:textId="77777777" w:rsidTr="005101BC">
        <w:trPr>
          <w:gridAfter w:val="1"/>
          <w:wAfter w:w="18" w:type="dxa"/>
          <w:trHeight w:val="283"/>
        </w:trPr>
        <w:tc>
          <w:tcPr>
            <w:tcW w:w="6112" w:type="dxa"/>
            <w:shd w:val="clear" w:color="auto" w:fill="auto"/>
            <w:noWrap/>
            <w:vAlign w:val="bottom"/>
            <w:hideMark/>
          </w:tcPr>
          <w:p w14:paraId="3BD76901" w14:textId="77777777" w:rsidR="00D27AB9" w:rsidRPr="00D73854" w:rsidRDefault="00D27AB9" w:rsidP="00D27AB9">
            <w:pPr>
              <w:spacing w:before="40"/>
              <w:rPr>
                <w:sz w:val="22"/>
                <w:szCs w:val="22"/>
              </w:rPr>
            </w:pPr>
            <w:r w:rsidRPr="00D73854">
              <w:rPr>
                <w:color w:val="000000"/>
                <w:sz w:val="22"/>
                <w:szCs w:val="22"/>
              </w:rPr>
              <w:t>Financial liabilities</w:t>
            </w:r>
          </w:p>
        </w:tc>
        <w:tc>
          <w:tcPr>
            <w:tcW w:w="1644" w:type="dxa"/>
            <w:shd w:val="clear" w:color="auto" w:fill="auto"/>
            <w:noWrap/>
          </w:tcPr>
          <w:p w14:paraId="51E42FFE" w14:textId="5D7107A5" w:rsidR="00D27AB9" w:rsidRPr="00D27AB9" w:rsidRDefault="00D27AB9" w:rsidP="00D27AB9">
            <w:pPr>
              <w:pBdr>
                <w:bottom w:val="single" w:sz="4" w:space="0" w:color="000000"/>
              </w:pBdr>
              <w:spacing w:before="40"/>
              <w:jc w:val="right"/>
              <w:rPr>
                <w:sz w:val="22"/>
                <w:szCs w:val="22"/>
              </w:rPr>
            </w:pPr>
            <w:r w:rsidRPr="00D27AB9">
              <w:rPr>
                <w:sz w:val="22"/>
                <w:szCs w:val="22"/>
              </w:rPr>
              <w:t xml:space="preserve"> (237,394)</w:t>
            </w:r>
          </w:p>
        </w:tc>
        <w:tc>
          <w:tcPr>
            <w:tcW w:w="1644" w:type="dxa"/>
            <w:shd w:val="clear" w:color="auto" w:fill="auto"/>
            <w:noWrap/>
            <w:vAlign w:val="bottom"/>
          </w:tcPr>
          <w:p w14:paraId="3A11FAF1" w14:textId="57C87FB9" w:rsidR="00D27AB9" w:rsidRPr="00960BE4" w:rsidRDefault="00D27AB9" w:rsidP="00D27AB9">
            <w:pPr>
              <w:pBdr>
                <w:bottom w:val="single" w:sz="4" w:space="0" w:color="000000"/>
              </w:pBdr>
              <w:spacing w:before="40"/>
              <w:jc w:val="right"/>
              <w:rPr>
                <w:sz w:val="22"/>
                <w:szCs w:val="22"/>
              </w:rPr>
            </w:pPr>
            <w:r>
              <w:rPr>
                <w:sz w:val="22"/>
                <w:szCs w:val="22"/>
              </w:rPr>
              <w:t>(246,375)</w:t>
            </w:r>
          </w:p>
        </w:tc>
      </w:tr>
      <w:tr w:rsidR="00D27AB9" w:rsidRPr="00570E2C" w14:paraId="09050092" w14:textId="77777777" w:rsidTr="005101BC">
        <w:trPr>
          <w:gridAfter w:val="1"/>
          <w:wAfter w:w="18" w:type="dxa"/>
          <w:trHeight w:val="283"/>
        </w:trPr>
        <w:tc>
          <w:tcPr>
            <w:tcW w:w="6112" w:type="dxa"/>
            <w:shd w:val="clear" w:color="auto" w:fill="auto"/>
            <w:noWrap/>
            <w:vAlign w:val="bottom"/>
            <w:hideMark/>
          </w:tcPr>
          <w:p w14:paraId="217BB2D1" w14:textId="77777777" w:rsidR="00D27AB9" w:rsidRPr="00D73854" w:rsidRDefault="00D27AB9" w:rsidP="00D27AB9">
            <w:pPr>
              <w:spacing w:before="40"/>
              <w:rPr>
                <w:sz w:val="22"/>
                <w:szCs w:val="22"/>
              </w:rPr>
            </w:pPr>
          </w:p>
        </w:tc>
        <w:tc>
          <w:tcPr>
            <w:tcW w:w="1644" w:type="dxa"/>
            <w:shd w:val="clear" w:color="auto" w:fill="auto"/>
            <w:noWrap/>
          </w:tcPr>
          <w:p w14:paraId="2187BF4A" w14:textId="543F1B55" w:rsidR="00D27AB9" w:rsidRPr="00D27AB9" w:rsidRDefault="00D27AB9" w:rsidP="00D27AB9">
            <w:pPr>
              <w:pBdr>
                <w:bottom w:val="double" w:sz="4" w:space="0" w:color="000000"/>
              </w:pBdr>
              <w:spacing w:before="40"/>
              <w:jc w:val="right"/>
              <w:rPr>
                <w:sz w:val="22"/>
                <w:szCs w:val="22"/>
              </w:rPr>
            </w:pPr>
            <w:r w:rsidRPr="00D27AB9">
              <w:rPr>
                <w:sz w:val="22"/>
                <w:szCs w:val="22"/>
              </w:rPr>
              <w:t xml:space="preserve"> (181,623)</w:t>
            </w:r>
          </w:p>
        </w:tc>
        <w:tc>
          <w:tcPr>
            <w:tcW w:w="1644" w:type="dxa"/>
            <w:shd w:val="clear" w:color="auto" w:fill="auto"/>
            <w:noWrap/>
            <w:vAlign w:val="bottom"/>
          </w:tcPr>
          <w:p w14:paraId="6FC238AC" w14:textId="35A6AFAC" w:rsidR="00D27AB9" w:rsidRPr="00960BE4" w:rsidRDefault="00D27AB9" w:rsidP="00D27AB9">
            <w:pPr>
              <w:pBdr>
                <w:bottom w:val="double" w:sz="4" w:space="0" w:color="000000"/>
              </w:pBdr>
              <w:spacing w:before="40"/>
              <w:jc w:val="right"/>
              <w:rPr>
                <w:sz w:val="22"/>
                <w:szCs w:val="22"/>
              </w:rPr>
            </w:pPr>
            <w:r>
              <w:rPr>
                <w:sz w:val="22"/>
                <w:szCs w:val="22"/>
              </w:rPr>
              <w:t>(194,449)</w:t>
            </w:r>
          </w:p>
        </w:tc>
      </w:tr>
      <w:tr w:rsidR="00D27AB9" w:rsidRPr="00D73854" w14:paraId="55954A40" w14:textId="77777777" w:rsidTr="005101BC">
        <w:trPr>
          <w:gridAfter w:val="1"/>
          <w:wAfter w:w="18" w:type="dxa"/>
          <w:trHeight w:val="283"/>
        </w:trPr>
        <w:tc>
          <w:tcPr>
            <w:tcW w:w="6112" w:type="dxa"/>
            <w:shd w:val="clear" w:color="auto" w:fill="auto"/>
            <w:noWrap/>
            <w:vAlign w:val="bottom"/>
            <w:hideMark/>
          </w:tcPr>
          <w:p w14:paraId="1FF38BAD" w14:textId="77777777" w:rsidR="00D27AB9" w:rsidRPr="00D73854" w:rsidRDefault="00D27AB9" w:rsidP="00D27AB9">
            <w:pPr>
              <w:spacing w:before="40"/>
              <w:rPr>
                <w:b/>
                <w:bCs/>
                <w:sz w:val="22"/>
                <w:szCs w:val="22"/>
              </w:rPr>
            </w:pPr>
            <w:r w:rsidRPr="00D73854">
              <w:rPr>
                <w:b/>
                <w:bCs/>
                <w:color w:val="000000"/>
                <w:sz w:val="22"/>
                <w:szCs w:val="22"/>
              </w:rPr>
              <w:t>Variable rate instruments</w:t>
            </w:r>
          </w:p>
        </w:tc>
        <w:tc>
          <w:tcPr>
            <w:tcW w:w="1644" w:type="dxa"/>
            <w:shd w:val="clear" w:color="auto" w:fill="auto"/>
            <w:noWrap/>
          </w:tcPr>
          <w:p w14:paraId="5D422CE2" w14:textId="77777777" w:rsidR="00D27AB9" w:rsidRPr="00D27AB9" w:rsidRDefault="00D27AB9" w:rsidP="00D27AB9">
            <w:pPr>
              <w:spacing w:before="40"/>
              <w:jc w:val="right"/>
              <w:rPr>
                <w:sz w:val="22"/>
                <w:szCs w:val="22"/>
              </w:rPr>
            </w:pPr>
          </w:p>
        </w:tc>
        <w:tc>
          <w:tcPr>
            <w:tcW w:w="1644" w:type="dxa"/>
            <w:shd w:val="clear" w:color="auto" w:fill="auto"/>
            <w:noWrap/>
            <w:vAlign w:val="bottom"/>
          </w:tcPr>
          <w:p w14:paraId="4EC0CD6A" w14:textId="77777777" w:rsidR="00D27AB9" w:rsidRPr="00960BE4" w:rsidRDefault="00D27AB9" w:rsidP="00D27AB9">
            <w:pPr>
              <w:spacing w:before="40"/>
              <w:jc w:val="right"/>
              <w:rPr>
                <w:rFonts w:ascii="Arial" w:eastAsia="Arial" w:hAnsi="Arial" w:cs="Arial"/>
                <w:sz w:val="22"/>
                <w:szCs w:val="22"/>
              </w:rPr>
            </w:pPr>
          </w:p>
        </w:tc>
      </w:tr>
      <w:tr w:rsidR="00D27AB9" w:rsidRPr="00D73854" w14:paraId="7086634E" w14:textId="77777777" w:rsidTr="005101BC">
        <w:trPr>
          <w:gridAfter w:val="1"/>
          <w:wAfter w:w="18" w:type="dxa"/>
          <w:trHeight w:val="283"/>
        </w:trPr>
        <w:tc>
          <w:tcPr>
            <w:tcW w:w="6112" w:type="dxa"/>
            <w:shd w:val="clear" w:color="auto" w:fill="auto"/>
            <w:noWrap/>
            <w:vAlign w:val="bottom"/>
            <w:hideMark/>
          </w:tcPr>
          <w:p w14:paraId="5B4E64EC" w14:textId="77777777" w:rsidR="00D27AB9" w:rsidRPr="00D73854" w:rsidRDefault="00D27AB9" w:rsidP="00D27AB9">
            <w:pPr>
              <w:spacing w:before="40"/>
              <w:rPr>
                <w:sz w:val="22"/>
                <w:szCs w:val="22"/>
              </w:rPr>
            </w:pPr>
            <w:r w:rsidRPr="00D73854">
              <w:rPr>
                <w:color w:val="000000"/>
                <w:sz w:val="22"/>
                <w:szCs w:val="22"/>
              </w:rPr>
              <w:t>Financial assets</w:t>
            </w:r>
          </w:p>
        </w:tc>
        <w:tc>
          <w:tcPr>
            <w:tcW w:w="1644" w:type="dxa"/>
            <w:shd w:val="clear" w:color="auto" w:fill="auto"/>
            <w:noWrap/>
          </w:tcPr>
          <w:p w14:paraId="69828C3F" w14:textId="14087648" w:rsidR="00D27AB9" w:rsidRPr="00D27AB9" w:rsidRDefault="00D27AB9" w:rsidP="00D27AB9">
            <w:pPr>
              <w:spacing w:before="40"/>
              <w:jc w:val="right"/>
              <w:rPr>
                <w:sz w:val="22"/>
                <w:szCs w:val="22"/>
              </w:rPr>
            </w:pPr>
            <w:r w:rsidRPr="00D27AB9">
              <w:rPr>
                <w:sz w:val="22"/>
                <w:szCs w:val="22"/>
              </w:rPr>
              <w:t xml:space="preserve"> 16,213 </w:t>
            </w:r>
          </w:p>
        </w:tc>
        <w:tc>
          <w:tcPr>
            <w:tcW w:w="1644" w:type="dxa"/>
            <w:shd w:val="clear" w:color="auto" w:fill="auto"/>
            <w:noWrap/>
            <w:vAlign w:val="bottom"/>
          </w:tcPr>
          <w:p w14:paraId="504B36E9" w14:textId="74C59F61" w:rsidR="00D27AB9" w:rsidRPr="00960BE4" w:rsidRDefault="00D27AB9" w:rsidP="00D27AB9">
            <w:pPr>
              <w:spacing w:before="40"/>
              <w:jc w:val="right"/>
              <w:rPr>
                <w:sz w:val="22"/>
                <w:szCs w:val="22"/>
              </w:rPr>
            </w:pPr>
            <w:r>
              <w:rPr>
                <w:sz w:val="22"/>
                <w:szCs w:val="22"/>
              </w:rPr>
              <w:t>11,998</w:t>
            </w:r>
          </w:p>
        </w:tc>
      </w:tr>
      <w:tr w:rsidR="00D27AB9" w:rsidRPr="00D73854" w14:paraId="745D24C0" w14:textId="77777777" w:rsidTr="005101BC">
        <w:trPr>
          <w:gridAfter w:val="1"/>
          <w:wAfter w:w="18" w:type="dxa"/>
          <w:trHeight w:val="283"/>
        </w:trPr>
        <w:tc>
          <w:tcPr>
            <w:tcW w:w="6112" w:type="dxa"/>
            <w:shd w:val="clear" w:color="auto" w:fill="auto"/>
            <w:noWrap/>
            <w:vAlign w:val="bottom"/>
            <w:hideMark/>
          </w:tcPr>
          <w:p w14:paraId="6E9C9F4B" w14:textId="77777777" w:rsidR="00D27AB9" w:rsidRPr="00D73854" w:rsidRDefault="00D27AB9" w:rsidP="00D27AB9">
            <w:pPr>
              <w:spacing w:before="40"/>
              <w:rPr>
                <w:sz w:val="22"/>
                <w:szCs w:val="22"/>
              </w:rPr>
            </w:pPr>
            <w:r w:rsidRPr="00D73854">
              <w:rPr>
                <w:color w:val="000000"/>
                <w:sz w:val="22"/>
                <w:szCs w:val="22"/>
              </w:rPr>
              <w:t>Financial liabilities (*)</w:t>
            </w:r>
          </w:p>
        </w:tc>
        <w:tc>
          <w:tcPr>
            <w:tcW w:w="1644" w:type="dxa"/>
            <w:shd w:val="clear" w:color="auto" w:fill="auto"/>
            <w:noWrap/>
          </w:tcPr>
          <w:p w14:paraId="0997F91C" w14:textId="23AE58F0" w:rsidR="00D27AB9" w:rsidRPr="00D27AB9" w:rsidRDefault="00D27AB9" w:rsidP="00D27AB9">
            <w:pPr>
              <w:pBdr>
                <w:bottom w:val="single" w:sz="4" w:space="0" w:color="000000"/>
              </w:pBdr>
              <w:spacing w:before="40"/>
              <w:jc w:val="right"/>
              <w:rPr>
                <w:sz w:val="22"/>
                <w:szCs w:val="22"/>
              </w:rPr>
            </w:pPr>
            <w:r w:rsidRPr="00D27AB9">
              <w:rPr>
                <w:sz w:val="22"/>
                <w:szCs w:val="22"/>
              </w:rPr>
              <w:t xml:space="preserve"> (2,242,825)</w:t>
            </w:r>
          </w:p>
        </w:tc>
        <w:tc>
          <w:tcPr>
            <w:tcW w:w="1644" w:type="dxa"/>
            <w:shd w:val="clear" w:color="auto" w:fill="auto"/>
            <w:noWrap/>
            <w:vAlign w:val="bottom"/>
          </w:tcPr>
          <w:p w14:paraId="263C5A33" w14:textId="41D8F32C" w:rsidR="00D27AB9" w:rsidRPr="00960BE4" w:rsidRDefault="00D27AB9" w:rsidP="00D27AB9">
            <w:pPr>
              <w:pBdr>
                <w:bottom w:val="single" w:sz="4" w:space="0" w:color="000000"/>
              </w:pBdr>
              <w:spacing w:before="40"/>
              <w:jc w:val="right"/>
              <w:rPr>
                <w:sz w:val="22"/>
                <w:szCs w:val="22"/>
              </w:rPr>
            </w:pPr>
            <w:r>
              <w:rPr>
                <w:sz w:val="22"/>
                <w:szCs w:val="22"/>
              </w:rPr>
              <w:t>(1,955,465)</w:t>
            </w:r>
          </w:p>
        </w:tc>
      </w:tr>
      <w:tr w:rsidR="00D27AB9" w:rsidRPr="00D73854" w14:paraId="1482A124" w14:textId="77777777" w:rsidTr="005101BC">
        <w:trPr>
          <w:gridAfter w:val="1"/>
          <w:wAfter w:w="18" w:type="dxa"/>
          <w:trHeight w:val="283"/>
        </w:trPr>
        <w:tc>
          <w:tcPr>
            <w:tcW w:w="6112" w:type="dxa"/>
            <w:shd w:val="clear" w:color="auto" w:fill="auto"/>
            <w:noWrap/>
            <w:vAlign w:val="bottom"/>
            <w:hideMark/>
          </w:tcPr>
          <w:p w14:paraId="3457CBDE" w14:textId="77777777" w:rsidR="00D27AB9" w:rsidRPr="00D73854" w:rsidRDefault="00D27AB9" w:rsidP="00D27AB9">
            <w:pPr>
              <w:spacing w:before="40"/>
              <w:rPr>
                <w:rFonts w:ascii="Arial" w:eastAsia="Arial" w:hAnsi="Arial" w:cs="Arial"/>
                <w:sz w:val="22"/>
                <w:szCs w:val="22"/>
              </w:rPr>
            </w:pPr>
          </w:p>
        </w:tc>
        <w:tc>
          <w:tcPr>
            <w:tcW w:w="1644" w:type="dxa"/>
            <w:shd w:val="clear" w:color="auto" w:fill="auto"/>
            <w:noWrap/>
          </w:tcPr>
          <w:p w14:paraId="2734CFB4" w14:textId="7296AC2D" w:rsidR="00D27AB9" w:rsidRPr="00D27AB9" w:rsidRDefault="00D27AB9" w:rsidP="00D27AB9">
            <w:pPr>
              <w:pBdr>
                <w:bottom w:val="double" w:sz="4" w:space="0" w:color="000000"/>
              </w:pBdr>
              <w:spacing w:before="40"/>
              <w:jc w:val="right"/>
              <w:rPr>
                <w:sz w:val="22"/>
                <w:szCs w:val="22"/>
              </w:rPr>
            </w:pPr>
            <w:r w:rsidRPr="00D27AB9">
              <w:rPr>
                <w:sz w:val="22"/>
                <w:szCs w:val="22"/>
              </w:rPr>
              <w:t xml:space="preserve"> (2,226,612)</w:t>
            </w:r>
          </w:p>
        </w:tc>
        <w:tc>
          <w:tcPr>
            <w:tcW w:w="1644" w:type="dxa"/>
            <w:shd w:val="clear" w:color="auto" w:fill="auto"/>
            <w:noWrap/>
            <w:vAlign w:val="bottom"/>
          </w:tcPr>
          <w:p w14:paraId="3010EDE1" w14:textId="017254CD" w:rsidR="00D27AB9" w:rsidRPr="00960BE4" w:rsidRDefault="00D27AB9" w:rsidP="00D27AB9">
            <w:pPr>
              <w:pBdr>
                <w:bottom w:val="double" w:sz="4" w:space="0" w:color="000000"/>
              </w:pBdr>
              <w:spacing w:before="40"/>
              <w:jc w:val="right"/>
              <w:rPr>
                <w:sz w:val="22"/>
                <w:szCs w:val="22"/>
              </w:rPr>
            </w:pPr>
            <w:r>
              <w:rPr>
                <w:sz w:val="22"/>
                <w:szCs w:val="22"/>
              </w:rPr>
              <w:t>(1,943,467)</w:t>
            </w:r>
          </w:p>
        </w:tc>
      </w:tr>
    </w:tbl>
    <w:p w14:paraId="726C91BB" w14:textId="77777777" w:rsidR="00C35D07" w:rsidRPr="00F02921" w:rsidRDefault="00C35D07" w:rsidP="004A3C21">
      <w:pPr>
        <w:ind w:left="720"/>
      </w:pPr>
    </w:p>
    <w:p w14:paraId="4A1FA0DA" w14:textId="57ADB51F" w:rsidR="00C35D07" w:rsidRPr="00F02921" w:rsidRDefault="00C35D07" w:rsidP="002F3ABE">
      <w:pPr>
        <w:ind w:left="720"/>
        <w:jc w:val="both"/>
        <w:rPr>
          <w:sz w:val="22"/>
          <w:szCs w:val="18"/>
        </w:rPr>
      </w:pPr>
      <w:r w:rsidRPr="00E7627C">
        <w:rPr>
          <w:sz w:val="22"/>
          <w:szCs w:val="18"/>
        </w:rPr>
        <w:t>(*) The variable rat</w:t>
      </w:r>
      <w:r w:rsidR="0055126B" w:rsidRPr="00E7627C">
        <w:rPr>
          <w:sz w:val="22"/>
          <w:szCs w:val="18"/>
        </w:rPr>
        <w:t>e financial liabilities include</w:t>
      </w:r>
      <w:r w:rsidRPr="00E7627C">
        <w:rPr>
          <w:sz w:val="22"/>
          <w:szCs w:val="18"/>
        </w:rPr>
        <w:t xml:space="preserve"> s</w:t>
      </w:r>
      <w:r w:rsidR="0055126B" w:rsidRPr="00E7627C">
        <w:rPr>
          <w:sz w:val="22"/>
          <w:szCs w:val="18"/>
        </w:rPr>
        <w:t xml:space="preserve">ecured bank loans of which the </w:t>
      </w:r>
      <w:r w:rsidR="00C31227" w:rsidRPr="00E7627C">
        <w:rPr>
          <w:rFonts w:hint="cs"/>
          <w:sz w:val="22"/>
          <w:szCs w:val="18"/>
        </w:rPr>
        <w:t>G</w:t>
      </w:r>
      <w:r w:rsidR="00C31227" w:rsidRPr="00E7627C">
        <w:rPr>
          <w:sz w:val="22"/>
          <w:szCs w:val="18"/>
        </w:rPr>
        <w:t xml:space="preserve">roup </w:t>
      </w:r>
      <w:r w:rsidR="0055126B" w:rsidRPr="00E7627C">
        <w:rPr>
          <w:sz w:val="22"/>
          <w:szCs w:val="18"/>
        </w:rPr>
        <w:t>has</w:t>
      </w:r>
      <w:r w:rsidRPr="00E7627C">
        <w:rPr>
          <w:sz w:val="22"/>
          <w:szCs w:val="18"/>
        </w:rPr>
        <w:t xml:space="preserve"> interest rate swap contracts for fixe</w:t>
      </w:r>
      <w:r w:rsidR="0055126B" w:rsidRPr="00E7627C">
        <w:rPr>
          <w:sz w:val="22"/>
          <w:szCs w:val="18"/>
        </w:rPr>
        <w:t>d interest in the amount of</w:t>
      </w:r>
      <w:r w:rsidR="00524ED9" w:rsidRPr="00E7627C">
        <w:rPr>
          <w:sz w:val="22"/>
          <w:szCs w:val="18"/>
        </w:rPr>
        <w:t xml:space="preserve"> </w:t>
      </w:r>
      <w:r w:rsidR="0055126B" w:rsidRPr="00E7627C">
        <w:rPr>
          <w:sz w:val="22"/>
          <w:szCs w:val="18"/>
        </w:rPr>
        <w:t>EUR</w:t>
      </w:r>
      <w:r w:rsidR="002F3ABE" w:rsidRPr="00E7627C">
        <w:rPr>
          <w:sz w:val="22"/>
          <w:szCs w:val="18"/>
        </w:rPr>
        <w:t xml:space="preserve"> </w:t>
      </w:r>
      <w:r w:rsidR="00CE2DDA" w:rsidRPr="00E7627C">
        <w:rPr>
          <w:sz w:val="22"/>
          <w:szCs w:val="18"/>
        </w:rPr>
        <w:t>486</w:t>
      </w:r>
      <w:r w:rsidR="002F3ABE" w:rsidRPr="00E7627C">
        <w:rPr>
          <w:sz w:val="22"/>
          <w:szCs w:val="18"/>
        </w:rPr>
        <w:t>,</w:t>
      </w:r>
      <w:r w:rsidR="00CE2DDA" w:rsidRPr="00E7627C">
        <w:rPr>
          <w:sz w:val="22"/>
          <w:szCs w:val="18"/>
        </w:rPr>
        <w:t xml:space="preserve">182 </w:t>
      </w:r>
      <w:r w:rsidR="0055126B" w:rsidRPr="00E7627C">
        <w:rPr>
          <w:sz w:val="22"/>
          <w:szCs w:val="18"/>
        </w:rPr>
        <w:t>thousand</w:t>
      </w:r>
      <w:r w:rsidRPr="00E7627C">
        <w:rPr>
          <w:sz w:val="22"/>
          <w:szCs w:val="18"/>
        </w:rPr>
        <w:t xml:space="preserve"> (</w:t>
      </w:r>
      <w:r w:rsidR="0035508D" w:rsidRPr="00E7627C">
        <w:rPr>
          <w:sz w:val="22"/>
          <w:szCs w:val="18"/>
        </w:rPr>
        <w:t xml:space="preserve">as of </w:t>
      </w:r>
      <w:r w:rsidR="00173EDF" w:rsidRPr="00E7627C">
        <w:rPr>
          <w:sz w:val="22"/>
          <w:szCs w:val="18"/>
        </w:rPr>
        <w:t>202</w:t>
      </w:r>
      <w:r w:rsidR="00B9335F" w:rsidRPr="00E7627C">
        <w:rPr>
          <w:sz w:val="22"/>
          <w:szCs w:val="18"/>
        </w:rPr>
        <w:t>3</w:t>
      </w:r>
      <w:r w:rsidR="00D73854" w:rsidRPr="00E7627C">
        <w:rPr>
          <w:sz w:val="22"/>
          <w:szCs w:val="18"/>
        </w:rPr>
        <w:t>:</w:t>
      </w:r>
      <w:r w:rsidRPr="00E7627C">
        <w:rPr>
          <w:sz w:val="22"/>
          <w:szCs w:val="18"/>
        </w:rPr>
        <w:t xml:space="preserve"> </w:t>
      </w:r>
      <w:r w:rsidR="0061324A" w:rsidRPr="00E7627C">
        <w:rPr>
          <w:sz w:val="22"/>
          <w:szCs w:val="18"/>
        </w:rPr>
        <w:t xml:space="preserve">EUR </w:t>
      </w:r>
      <w:r w:rsidR="006F6F18" w:rsidRPr="00E7627C">
        <w:rPr>
          <w:sz w:val="22"/>
          <w:szCs w:val="18"/>
        </w:rPr>
        <w:t>605</w:t>
      </w:r>
      <w:r w:rsidR="00B9335F" w:rsidRPr="00E7627C">
        <w:rPr>
          <w:sz w:val="22"/>
          <w:szCs w:val="18"/>
        </w:rPr>
        <w:t>,1</w:t>
      </w:r>
      <w:r w:rsidR="006F6F18" w:rsidRPr="00E7627C">
        <w:rPr>
          <w:sz w:val="22"/>
          <w:szCs w:val="18"/>
        </w:rPr>
        <w:t>59</w:t>
      </w:r>
      <w:r w:rsidR="00B9335F" w:rsidRPr="00E7627C">
        <w:rPr>
          <w:sz w:val="22"/>
          <w:szCs w:val="18"/>
        </w:rPr>
        <w:t xml:space="preserve"> </w:t>
      </w:r>
      <w:r w:rsidR="0061324A" w:rsidRPr="00E7627C">
        <w:rPr>
          <w:sz w:val="22"/>
          <w:szCs w:val="18"/>
        </w:rPr>
        <w:t>thousand</w:t>
      </w:r>
      <w:r w:rsidRPr="00E7627C">
        <w:rPr>
          <w:sz w:val="22"/>
          <w:szCs w:val="18"/>
        </w:rPr>
        <w:t>)</w:t>
      </w:r>
      <w:r w:rsidR="0055126B" w:rsidRPr="00E7627C">
        <w:rPr>
          <w:sz w:val="22"/>
          <w:szCs w:val="18"/>
        </w:rPr>
        <w:t>.</w:t>
      </w:r>
    </w:p>
    <w:p w14:paraId="3F0E1FEC" w14:textId="2EEB6ED0" w:rsidR="00960BE4" w:rsidRDefault="00960BE4">
      <w:pPr>
        <w:rPr>
          <w:b/>
          <w:bCs/>
          <w:sz w:val="26"/>
          <w:szCs w:val="26"/>
        </w:rPr>
      </w:pPr>
      <w:r>
        <w:rPr>
          <w:b/>
          <w:bCs/>
          <w:sz w:val="26"/>
          <w:szCs w:val="26"/>
        </w:rPr>
        <w:br w:type="page"/>
      </w:r>
    </w:p>
    <w:p w14:paraId="17AD1777" w14:textId="77777777" w:rsidR="00960BE4" w:rsidRPr="00960BE4" w:rsidRDefault="00960BE4" w:rsidP="00723E2C">
      <w:pPr>
        <w:jc w:val="both"/>
        <w:rPr>
          <w:b/>
          <w:bCs/>
          <w:sz w:val="22"/>
          <w:szCs w:val="22"/>
        </w:rPr>
      </w:pPr>
    </w:p>
    <w:p w14:paraId="3A6AB705" w14:textId="0AB5DEB4" w:rsidR="00E66AA5" w:rsidRPr="00960BE4" w:rsidRDefault="00E66AA5" w:rsidP="00723E2C">
      <w:pPr>
        <w:jc w:val="both"/>
        <w:rPr>
          <w:b/>
          <w:bCs/>
          <w:sz w:val="22"/>
          <w:szCs w:val="22"/>
        </w:rPr>
      </w:pPr>
      <w:r w:rsidRPr="00960BE4">
        <w:rPr>
          <w:b/>
          <w:bCs/>
          <w:sz w:val="22"/>
          <w:szCs w:val="22"/>
        </w:rPr>
        <w:t xml:space="preserve">Note </w:t>
      </w:r>
      <w:r w:rsidR="00776020" w:rsidRPr="00960BE4">
        <w:rPr>
          <w:b/>
          <w:bCs/>
          <w:sz w:val="22"/>
          <w:szCs w:val="22"/>
        </w:rPr>
        <w:t xml:space="preserve">21 </w:t>
      </w:r>
      <w:r w:rsidRPr="00960BE4">
        <w:rPr>
          <w:b/>
          <w:bCs/>
          <w:sz w:val="22"/>
          <w:szCs w:val="22"/>
        </w:rPr>
        <w:t>- Financial Instruments (cont’d)</w:t>
      </w:r>
    </w:p>
    <w:p w14:paraId="2AFBFCE8" w14:textId="77777777" w:rsidR="006846D9" w:rsidRPr="00960BE4" w:rsidRDefault="006846D9" w:rsidP="004A3C21">
      <w:pPr>
        <w:ind w:left="720"/>
        <w:jc w:val="both"/>
        <w:rPr>
          <w:b/>
          <w:bCs/>
          <w:sz w:val="22"/>
          <w:szCs w:val="22"/>
        </w:rPr>
      </w:pPr>
    </w:p>
    <w:p w14:paraId="20220BB4" w14:textId="044179DC" w:rsidR="006846D9" w:rsidRDefault="003F2045" w:rsidP="006846D9">
      <w:pPr>
        <w:ind w:left="567" w:hanging="567"/>
        <w:jc w:val="both"/>
        <w:rPr>
          <w:b/>
          <w:bCs/>
          <w:sz w:val="22"/>
          <w:szCs w:val="22"/>
        </w:rPr>
      </w:pPr>
      <w:r>
        <w:rPr>
          <w:b/>
          <w:bCs/>
          <w:sz w:val="22"/>
          <w:szCs w:val="22"/>
        </w:rPr>
        <w:t>D</w:t>
      </w:r>
      <w:r w:rsidR="006846D9" w:rsidRPr="00C435F7">
        <w:rPr>
          <w:b/>
          <w:bCs/>
          <w:sz w:val="22"/>
          <w:szCs w:val="22"/>
        </w:rPr>
        <w:t>.</w:t>
      </w:r>
      <w:r w:rsidR="006846D9" w:rsidRPr="00C435F7">
        <w:rPr>
          <w:b/>
          <w:bCs/>
          <w:sz w:val="22"/>
          <w:szCs w:val="22"/>
        </w:rPr>
        <w:tab/>
      </w:r>
      <w:r w:rsidR="006846D9" w:rsidRPr="00F02921">
        <w:rPr>
          <w:b/>
          <w:bCs/>
          <w:sz w:val="22"/>
          <w:szCs w:val="22"/>
        </w:rPr>
        <w:t>Interest rate risk</w:t>
      </w:r>
      <w:r w:rsidR="006846D9">
        <w:rPr>
          <w:b/>
          <w:bCs/>
          <w:sz w:val="22"/>
          <w:szCs w:val="22"/>
        </w:rPr>
        <w:t xml:space="preserve"> </w:t>
      </w:r>
      <w:r w:rsidR="006846D9" w:rsidRPr="006846D9">
        <w:rPr>
          <w:b/>
          <w:bCs/>
          <w:sz w:val="22"/>
          <w:szCs w:val="22"/>
        </w:rPr>
        <w:t>(cont’d)</w:t>
      </w:r>
    </w:p>
    <w:p w14:paraId="5527AD70" w14:textId="77777777" w:rsidR="006846D9" w:rsidRPr="00F02921" w:rsidRDefault="006846D9" w:rsidP="006846D9">
      <w:pPr>
        <w:ind w:left="567" w:hanging="567"/>
        <w:jc w:val="both"/>
        <w:rPr>
          <w:b/>
          <w:bCs/>
          <w:sz w:val="22"/>
          <w:szCs w:val="22"/>
        </w:rPr>
      </w:pPr>
    </w:p>
    <w:p w14:paraId="6E35929A" w14:textId="77777777" w:rsidR="00C35D07" w:rsidRPr="007D0938" w:rsidRDefault="002B596D" w:rsidP="00C01E5D">
      <w:pPr>
        <w:ind w:left="720"/>
        <w:jc w:val="both"/>
        <w:outlineLvl w:val="4"/>
        <w:rPr>
          <w:sz w:val="22"/>
          <w:szCs w:val="22"/>
          <w:u w:val="single"/>
        </w:rPr>
      </w:pPr>
      <w:bookmarkStart w:id="207" w:name="H5_Sensitivity_analysis_of_the_fair_valu"/>
      <w:r w:rsidRPr="007D0938">
        <w:rPr>
          <w:sz w:val="22"/>
          <w:szCs w:val="22"/>
          <w:u w:val="single"/>
        </w:rPr>
        <w:t xml:space="preserve">Sensitivity analysis of </w:t>
      </w:r>
      <w:proofErr w:type="gramStart"/>
      <w:r w:rsidRPr="007D0938">
        <w:rPr>
          <w:sz w:val="22"/>
          <w:szCs w:val="22"/>
          <w:u w:val="single"/>
        </w:rPr>
        <w:t>the fair</w:t>
      </w:r>
      <w:proofErr w:type="gramEnd"/>
      <w:r w:rsidRPr="007D0938">
        <w:rPr>
          <w:sz w:val="22"/>
          <w:szCs w:val="22"/>
          <w:u w:val="single"/>
        </w:rPr>
        <w:t xml:space="preserve"> value with respect to financial instruments bearing fixed i</w:t>
      </w:r>
      <w:r w:rsidR="00C35D07" w:rsidRPr="007D0938">
        <w:rPr>
          <w:sz w:val="22"/>
          <w:szCs w:val="22"/>
          <w:u w:val="single"/>
        </w:rPr>
        <w:t>nterest</w:t>
      </w:r>
    </w:p>
    <w:bookmarkEnd w:id="207"/>
    <w:p w14:paraId="184613E3" w14:textId="77777777" w:rsidR="00C35D07" w:rsidRPr="00F02921" w:rsidRDefault="00C35D07" w:rsidP="002B596D">
      <w:pPr>
        <w:ind w:left="720"/>
        <w:jc w:val="both"/>
        <w:rPr>
          <w:sz w:val="22"/>
          <w:szCs w:val="22"/>
        </w:rPr>
      </w:pPr>
      <w:r w:rsidRPr="00F02921">
        <w:rPr>
          <w:sz w:val="22"/>
          <w:szCs w:val="22"/>
        </w:rPr>
        <w:t xml:space="preserve">The Group’s assets and liabilities bearing fixed interest are not measured at fair value with the differences being recorded in the </w:t>
      </w:r>
      <w:r w:rsidR="002B596D">
        <w:rPr>
          <w:sz w:val="22"/>
          <w:szCs w:val="22"/>
        </w:rPr>
        <w:t>income statement</w:t>
      </w:r>
      <w:r w:rsidRPr="00F02921">
        <w:rPr>
          <w:sz w:val="22"/>
          <w:szCs w:val="22"/>
        </w:rPr>
        <w:t xml:space="preserve">, and the Group does not use derivative financial instruments as hedging instruments in accordance with the fair value hedging model. Therefore, any change in the interest rates as at the date of the report will have no effect on the </w:t>
      </w:r>
      <w:r w:rsidR="002B596D">
        <w:rPr>
          <w:sz w:val="22"/>
          <w:szCs w:val="22"/>
        </w:rPr>
        <w:t>income statement</w:t>
      </w:r>
      <w:r w:rsidRPr="00F02921">
        <w:rPr>
          <w:sz w:val="22"/>
          <w:szCs w:val="22"/>
        </w:rPr>
        <w:t>.</w:t>
      </w:r>
    </w:p>
    <w:p w14:paraId="53759B58" w14:textId="77777777" w:rsidR="00C35D07" w:rsidRPr="00F02921" w:rsidRDefault="00C35D07" w:rsidP="004A3C21">
      <w:pPr>
        <w:ind w:left="720"/>
        <w:jc w:val="both"/>
        <w:rPr>
          <w:sz w:val="22"/>
          <w:szCs w:val="22"/>
        </w:rPr>
      </w:pPr>
    </w:p>
    <w:p w14:paraId="61D55B6E" w14:textId="77777777" w:rsidR="00C35D07" w:rsidRPr="007D0938" w:rsidRDefault="00C35D07" w:rsidP="00C01E5D">
      <w:pPr>
        <w:ind w:left="720"/>
        <w:jc w:val="both"/>
        <w:outlineLvl w:val="4"/>
        <w:rPr>
          <w:sz w:val="22"/>
          <w:szCs w:val="22"/>
          <w:u w:val="single"/>
        </w:rPr>
      </w:pPr>
      <w:bookmarkStart w:id="208" w:name="H5_Sensitivity_analysis_of_the_cash_flow"/>
      <w:r w:rsidRPr="007D0938">
        <w:rPr>
          <w:sz w:val="22"/>
          <w:szCs w:val="22"/>
          <w:u w:val="single"/>
        </w:rPr>
        <w:t xml:space="preserve">Sensitivity analysis of the cash flows with respect to </w:t>
      </w:r>
      <w:r w:rsidR="00F33EC5" w:rsidRPr="007D0938">
        <w:rPr>
          <w:sz w:val="22"/>
          <w:szCs w:val="22"/>
          <w:u w:val="single"/>
        </w:rPr>
        <w:t>f</w:t>
      </w:r>
      <w:r w:rsidRPr="007D0938">
        <w:rPr>
          <w:sz w:val="22"/>
          <w:szCs w:val="22"/>
          <w:u w:val="single"/>
        </w:rPr>
        <w:t xml:space="preserve">inancial </w:t>
      </w:r>
      <w:r w:rsidR="00F33EC5" w:rsidRPr="007D0938">
        <w:rPr>
          <w:sz w:val="22"/>
          <w:szCs w:val="22"/>
          <w:u w:val="single"/>
        </w:rPr>
        <w:t>i</w:t>
      </w:r>
      <w:r w:rsidRPr="007D0938">
        <w:rPr>
          <w:sz w:val="22"/>
          <w:szCs w:val="22"/>
          <w:u w:val="single"/>
        </w:rPr>
        <w:t xml:space="preserve">nstruments bearing </w:t>
      </w:r>
      <w:r w:rsidR="00F33EC5" w:rsidRPr="007D0938">
        <w:rPr>
          <w:sz w:val="22"/>
          <w:szCs w:val="22"/>
          <w:u w:val="single"/>
        </w:rPr>
        <w:t>v</w:t>
      </w:r>
      <w:r w:rsidRPr="007D0938">
        <w:rPr>
          <w:sz w:val="22"/>
          <w:szCs w:val="22"/>
          <w:u w:val="single"/>
        </w:rPr>
        <w:t xml:space="preserve">ariable </w:t>
      </w:r>
      <w:r w:rsidR="00F33EC5" w:rsidRPr="007D0938">
        <w:rPr>
          <w:sz w:val="22"/>
          <w:szCs w:val="22"/>
          <w:u w:val="single"/>
        </w:rPr>
        <w:t>i</w:t>
      </w:r>
      <w:r w:rsidRPr="007D0938">
        <w:rPr>
          <w:sz w:val="22"/>
          <w:szCs w:val="22"/>
          <w:u w:val="single"/>
        </w:rPr>
        <w:t>nterest</w:t>
      </w:r>
    </w:p>
    <w:bookmarkEnd w:id="208"/>
    <w:p w14:paraId="51216A58" w14:textId="2D15B1B5" w:rsidR="00C35D07" w:rsidRPr="00F02921" w:rsidRDefault="00C35D07" w:rsidP="00295F97">
      <w:pPr>
        <w:ind w:left="720"/>
        <w:jc w:val="both"/>
        <w:rPr>
          <w:sz w:val="22"/>
          <w:szCs w:val="22"/>
        </w:rPr>
      </w:pPr>
      <w:r w:rsidRPr="00F02921">
        <w:rPr>
          <w:sz w:val="22"/>
          <w:szCs w:val="22"/>
        </w:rPr>
        <w:t xml:space="preserve">A change of 100 points in the base interest rate as at the date of the report would increase/decrease the net profit/loss by the following amounts. This analysis was made based on the assumption that all the other variables, particularly the foreign currency exchange rates, will remain fixed. The analyses for </w:t>
      </w:r>
      <w:r w:rsidR="00E0381C">
        <w:rPr>
          <w:sz w:val="22"/>
          <w:szCs w:val="22"/>
        </w:rPr>
        <w:t>2018</w:t>
      </w:r>
      <w:r w:rsidR="00E0381C" w:rsidRPr="00F02921">
        <w:rPr>
          <w:sz w:val="22"/>
          <w:szCs w:val="22"/>
        </w:rPr>
        <w:t xml:space="preserve"> </w:t>
      </w:r>
      <w:r w:rsidRPr="00F02921">
        <w:rPr>
          <w:sz w:val="22"/>
          <w:szCs w:val="22"/>
        </w:rPr>
        <w:t>were based on the same assumptions.</w:t>
      </w:r>
    </w:p>
    <w:p w14:paraId="09F99494" w14:textId="77777777" w:rsidR="00C35D07" w:rsidRPr="00F02921" w:rsidRDefault="00C35D07" w:rsidP="004A3C21">
      <w:pPr>
        <w:ind w:left="720"/>
        <w:jc w:val="both"/>
        <w:rPr>
          <w:sz w:val="22"/>
          <w:szCs w:val="22"/>
        </w:rPr>
      </w:pPr>
    </w:p>
    <w:p w14:paraId="46C5A6BD" w14:textId="77777777" w:rsidR="00C35D07" w:rsidRPr="00765851" w:rsidRDefault="00F33EC5" w:rsidP="004A3C21">
      <w:pPr>
        <w:ind w:left="720"/>
        <w:jc w:val="both"/>
        <w:rPr>
          <w:rStyle w:val="Koteret"/>
          <w:b w:val="0"/>
          <w:i/>
          <w:iCs/>
        </w:rPr>
      </w:pPr>
      <w:r w:rsidRPr="00765851">
        <w:rPr>
          <w:rStyle w:val="Koteret"/>
          <w:b w:val="0"/>
          <w:i/>
          <w:iCs/>
        </w:rPr>
        <w:t>in thousands of E</w:t>
      </w:r>
      <w:r w:rsidR="00C35D07" w:rsidRPr="00765851">
        <w:rPr>
          <w:rStyle w:val="Koteret"/>
          <w:b w:val="0"/>
          <w:i/>
          <w:iCs/>
        </w:rPr>
        <w:t>uros</w:t>
      </w:r>
    </w:p>
    <w:tbl>
      <w:tblPr>
        <w:tblW w:w="9418" w:type="dxa"/>
        <w:tblInd w:w="720" w:type="dxa"/>
        <w:tblLayout w:type="fixed"/>
        <w:tblLook w:val="06A0" w:firstRow="1" w:lastRow="0" w:firstColumn="1" w:lastColumn="0" w:noHBand="1" w:noVBand="1"/>
        <w:tblCaption w:val="AHR02"/>
        <w:tblDescription w:val="Sensitivity analysis of the cash flows with respect to financial instruments bearing variable interest"/>
      </w:tblPr>
      <w:tblGrid>
        <w:gridCol w:w="3854"/>
        <w:gridCol w:w="1391"/>
        <w:gridCol w:w="1391"/>
        <w:gridCol w:w="1391"/>
        <w:gridCol w:w="1391"/>
      </w:tblGrid>
      <w:tr w:rsidR="005101BC" w14:paraId="087CFBB3" w14:textId="77777777" w:rsidTr="005101BC">
        <w:trPr>
          <w:cantSplit/>
          <w:trHeight w:val="283"/>
          <w:tblHeader/>
        </w:trPr>
        <w:tc>
          <w:tcPr>
            <w:tcW w:w="3854" w:type="dxa"/>
            <w:vMerge w:val="restart"/>
            <w:shd w:val="clear" w:color="auto" w:fill="auto"/>
            <w:noWrap/>
            <w:vAlign w:val="bottom"/>
            <w:hideMark/>
          </w:tcPr>
          <w:p w14:paraId="279A8A9C" w14:textId="77777777" w:rsidR="005101BC" w:rsidRDefault="005101BC">
            <w:pPr>
              <w:spacing w:before="40"/>
              <w:rPr>
                <w:rFonts w:ascii="Arial" w:eastAsia="Arial" w:hAnsi="Arial" w:cs="Arial"/>
                <w:sz w:val="22"/>
              </w:rPr>
            </w:pPr>
            <w:bookmarkStart w:id="209" w:name="Title_58" w:colFirst="0" w:colLast="0"/>
          </w:p>
        </w:tc>
        <w:tc>
          <w:tcPr>
            <w:tcW w:w="2782" w:type="dxa"/>
            <w:gridSpan w:val="2"/>
            <w:shd w:val="clear" w:color="auto" w:fill="auto"/>
            <w:vAlign w:val="bottom"/>
            <w:hideMark/>
          </w:tcPr>
          <w:p w14:paraId="6EC4565D" w14:textId="77777777" w:rsidR="005101BC" w:rsidRDefault="005101BC">
            <w:pPr>
              <w:pBdr>
                <w:bottom w:val="single" w:sz="4" w:space="0" w:color="000000"/>
              </w:pBdr>
              <w:spacing w:before="40"/>
              <w:jc w:val="center"/>
              <w:rPr>
                <w:b/>
                <w:bCs/>
                <w:sz w:val="18"/>
              </w:rPr>
            </w:pPr>
            <w:r>
              <w:rPr>
                <w:b/>
                <w:bCs/>
                <w:color w:val="000000"/>
                <w:sz w:val="18"/>
                <w:szCs w:val="18"/>
              </w:rPr>
              <w:t>Profit or (loss)</w:t>
            </w:r>
          </w:p>
        </w:tc>
        <w:tc>
          <w:tcPr>
            <w:tcW w:w="2782" w:type="dxa"/>
            <w:gridSpan w:val="2"/>
            <w:shd w:val="clear" w:color="auto" w:fill="auto"/>
            <w:vAlign w:val="bottom"/>
            <w:hideMark/>
          </w:tcPr>
          <w:p w14:paraId="7D3229DD" w14:textId="77777777" w:rsidR="005101BC" w:rsidRDefault="005101BC">
            <w:pPr>
              <w:pBdr>
                <w:bottom w:val="single" w:sz="4" w:space="0" w:color="000000"/>
              </w:pBdr>
              <w:spacing w:before="40"/>
              <w:jc w:val="center"/>
              <w:rPr>
                <w:b/>
                <w:bCs/>
                <w:sz w:val="18"/>
              </w:rPr>
            </w:pPr>
            <w:r>
              <w:rPr>
                <w:b/>
                <w:bCs/>
                <w:color w:val="000000"/>
                <w:sz w:val="18"/>
                <w:szCs w:val="18"/>
              </w:rPr>
              <w:t>Equity</w:t>
            </w:r>
          </w:p>
        </w:tc>
      </w:tr>
      <w:bookmarkEnd w:id="209"/>
      <w:tr w:rsidR="005101BC" w14:paraId="46C7224C" w14:textId="77777777" w:rsidTr="005101BC">
        <w:trPr>
          <w:cantSplit/>
          <w:trHeight w:val="576"/>
          <w:tblHeader/>
        </w:trPr>
        <w:tc>
          <w:tcPr>
            <w:tcW w:w="3854" w:type="dxa"/>
            <w:vMerge/>
            <w:shd w:val="clear" w:color="auto" w:fill="auto"/>
            <w:noWrap/>
            <w:vAlign w:val="bottom"/>
            <w:hideMark/>
          </w:tcPr>
          <w:p w14:paraId="3DD0B19B" w14:textId="77777777" w:rsidR="005101BC" w:rsidRDefault="005101BC">
            <w:pPr>
              <w:spacing w:before="40"/>
              <w:rPr>
                <w:rFonts w:ascii="Arial" w:eastAsia="Arial" w:hAnsi="Arial" w:cs="Arial"/>
                <w:sz w:val="22"/>
              </w:rPr>
            </w:pPr>
          </w:p>
        </w:tc>
        <w:tc>
          <w:tcPr>
            <w:tcW w:w="1391" w:type="dxa"/>
            <w:shd w:val="clear" w:color="auto" w:fill="auto"/>
            <w:vAlign w:val="bottom"/>
            <w:hideMark/>
          </w:tcPr>
          <w:p w14:paraId="5C818168" w14:textId="77777777" w:rsidR="005101BC" w:rsidRDefault="005101BC">
            <w:pPr>
              <w:spacing w:before="40"/>
              <w:jc w:val="right"/>
              <w:rPr>
                <w:b/>
                <w:bCs/>
                <w:sz w:val="18"/>
              </w:rPr>
            </w:pPr>
            <w:r>
              <w:rPr>
                <w:b/>
                <w:bCs/>
                <w:color w:val="000000"/>
                <w:sz w:val="18"/>
                <w:szCs w:val="18"/>
              </w:rPr>
              <w:t>100 bp</w:t>
            </w:r>
          </w:p>
          <w:p w14:paraId="0A3A6E44" w14:textId="6F4E6904" w:rsidR="005101BC" w:rsidRDefault="005101BC" w:rsidP="0019652F">
            <w:pPr>
              <w:pBdr>
                <w:bottom w:val="single" w:sz="4" w:space="0" w:color="000000"/>
              </w:pBdr>
              <w:spacing w:before="40"/>
              <w:jc w:val="right"/>
              <w:rPr>
                <w:b/>
                <w:bCs/>
                <w:sz w:val="18"/>
              </w:rPr>
            </w:pPr>
            <w:r>
              <w:rPr>
                <w:b/>
                <w:bCs/>
                <w:color w:val="000000"/>
                <w:sz w:val="18"/>
                <w:szCs w:val="18"/>
              </w:rPr>
              <w:t>increase</w:t>
            </w:r>
          </w:p>
        </w:tc>
        <w:tc>
          <w:tcPr>
            <w:tcW w:w="1391" w:type="dxa"/>
            <w:shd w:val="clear" w:color="auto" w:fill="auto"/>
            <w:vAlign w:val="bottom"/>
            <w:hideMark/>
          </w:tcPr>
          <w:p w14:paraId="740C63F0" w14:textId="77777777" w:rsidR="005101BC" w:rsidRDefault="005101BC">
            <w:pPr>
              <w:spacing w:before="40"/>
              <w:jc w:val="right"/>
              <w:rPr>
                <w:b/>
                <w:bCs/>
                <w:sz w:val="18"/>
              </w:rPr>
            </w:pPr>
            <w:r>
              <w:rPr>
                <w:b/>
                <w:bCs/>
                <w:color w:val="000000"/>
                <w:sz w:val="18"/>
                <w:szCs w:val="18"/>
              </w:rPr>
              <w:t>100 bp</w:t>
            </w:r>
          </w:p>
          <w:p w14:paraId="7EA4C9D7" w14:textId="1A62E7F3" w:rsidR="005101BC" w:rsidRDefault="005101BC" w:rsidP="0019652F">
            <w:pPr>
              <w:pBdr>
                <w:bottom w:val="single" w:sz="4" w:space="0" w:color="000000"/>
              </w:pBdr>
              <w:spacing w:before="40"/>
              <w:jc w:val="right"/>
              <w:rPr>
                <w:b/>
                <w:bCs/>
                <w:sz w:val="18"/>
              </w:rPr>
            </w:pPr>
            <w:r>
              <w:rPr>
                <w:b/>
                <w:bCs/>
                <w:color w:val="000000"/>
                <w:sz w:val="18"/>
                <w:szCs w:val="18"/>
              </w:rPr>
              <w:t>decrease</w:t>
            </w:r>
          </w:p>
        </w:tc>
        <w:tc>
          <w:tcPr>
            <w:tcW w:w="1391" w:type="dxa"/>
            <w:shd w:val="clear" w:color="auto" w:fill="auto"/>
            <w:vAlign w:val="bottom"/>
            <w:hideMark/>
          </w:tcPr>
          <w:p w14:paraId="6EB7DF69" w14:textId="77777777" w:rsidR="005101BC" w:rsidRDefault="005101BC">
            <w:pPr>
              <w:spacing w:before="40"/>
              <w:jc w:val="right"/>
              <w:rPr>
                <w:b/>
                <w:bCs/>
                <w:sz w:val="18"/>
              </w:rPr>
            </w:pPr>
            <w:r>
              <w:rPr>
                <w:b/>
                <w:bCs/>
                <w:color w:val="000000"/>
                <w:sz w:val="18"/>
                <w:szCs w:val="18"/>
              </w:rPr>
              <w:t>100 bp</w:t>
            </w:r>
          </w:p>
          <w:p w14:paraId="12E04494" w14:textId="1F02BD1A" w:rsidR="005101BC" w:rsidRDefault="005101BC" w:rsidP="0019652F">
            <w:pPr>
              <w:pBdr>
                <w:bottom w:val="single" w:sz="4" w:space="0" w:color="000000"/>
              </w:pBdr>
              <w:spacing w:before="40"/>
              <w:jc w:val="right"/>
              <w:rPr>
                <w:b/>
                <w:bCs/>
                <w:sz w:val="18"/>
              </w:rPr>
            </w:pPr>
            <w:r>
              <w:rPr>
                <w:b/>
                <w:bCs/>
                <w:color w:val="000000"/>
                <w:sz w:val="18"/>
                <w:szCs w:val="18"/>
              </w:rPr>
              <w:t>increase</w:t>
            </w:r>
          </w:p>
        </w:tc>
        <w:tc>
          <w:tcPr>
            <w:tcW w:w="1391" w:type="dxa"/>
            <w:shd w:val="clear" w:color="auto" w:fill="auto"/>
            <w:vAlign w:val="bottom"/>
            <w:hideMark/>
          </w:tcPr>
          <w:p w14:paraId="4CEB0792" w14:textId="77777777" w:rsidR="005101BC" w:rsidRDefault="005101BC">
            <w:pPr>
              <w:spacing w:before="40"/>
              <w:jc w:val="right"/>
              <w:rPr>
                <w:b/>
                <w:bCs/>
                <w:sz w:val="18"/>
              </w:rPr>
            </w:pPr>
            <w:r>
              <w:rPr>
                <w:b/>
                <w:bCs/>
                <w:color w:val="000000"/>
                <w:sz w:val="18"/>
                <w:szCs w:val="18"/>
              </w:rPr>
              <w:t>100 bp</w:t>
            </w:r>
          </w:p>
          <w:p w14:paraId="40B3A4D4" w14:textId="6F8E3790" w:rsidR="005101BC" w:rsidRDefault="005101BC" w:rsidP="0019652F">
            <w:pPr>
              <w:pBdr>
                <w:bottom w:val="single" w:sz="4" w:space="0" w:color="000000"/>
              </w:pBdr>
              <w:spacing w:before="40"/>
              <w:jc w:val="right"/>
              <w:rPr>
                <w:b/>
                <w:bCs/>
                <w:sz w:val="18"/>
              </w:rPr>
            </w:pPr>
            <w:r>
              <w:rPr>
                <w:b/>
                <w:bCs/>
                <w:color w:val="000000"/>
                <w:sz w:val="18"/>
                <w:szCs w:val="18"/>
              </w:rPr>
              <w:t>decrease</w:t>
            </w:r>
          </w:p>
        </w:tc>
      </w:tr>
      <w:tr w:rsidR="00761224" w14:paraId="16EE85E6" w14:textId="77777777" w:rsidTr="005101BC">
        <w:trPr>
          <w:trHeight w:val="283"/>
        </w:trPr>
        <w:tc>
          <w:tcPr>
            <w:tcW w:w="3854" w:type="dxa"/>
            <w:shd w:val="clear" w:color="auto" w:fill="auto"/>
            <w:noWrap/>
            <w:vAlign w:val="bottom"/>
            <w:hideMark/>
          </w:tcPr>
          <w:p w14:paraId="583CF691" w14:textId="214AFE58" w:rsidR="00761224" w:rsidRDefault="00761224" w:rsidP="00761224">
            <w:pPr>
              <w:spacing w:before="40"/>
              <w:rPr>
                <w:sz w:val="22"/>
              </w:rPr>
            </w:pPr>
            <w:r>
              <w:rPr>
                <w:color w:val="000000"/>
                <w:sz w:val="22"/>
                <w:szCs w:val="22"/>
              </w:rPr>
              <w:t xml:space="preserve">December 31, </w:t>
            </w:r>
            <w:r w:rsidR="0040585B">
              <w:rPr>
                <w:color w:val="000000"/>
                <w:sz w:val="22"/>
                <w:szCs w:val="22"/>
              </w:rPr>
              <w:t>202</w:t>
            </w:r>
            <w:r w:rsidR="007958E3">
              <w:rPr>
                <w:color w:val="000000"/>
                <w:sz w:val="22"/>
                <w:szCs w:val="22"/>
              </w:rPr>
              <w:t>4</w:t>
            </w:r>
          </w:p>
        </w:tc>
        <w:tc>
          <w:tcPr>
            <w:tcW w:w="1391" w:type="dxa"/>
            <w:shd w:val="clear" w:color="auto" w:fill="auto"/>
            <w:noWrap/>
          </w:tcPr>
          <w:p w14:paraId="35CBFE34" w14:textId="039EDE96" w:rsidR="00761224" w:rsidRPr="001802D3" w:rsidRDefault="00761224" w:rsidP="00AF5B17">
            <w:pPr>
              <w:spacing w:before="40"/>
              <w:jc w:val="right"/>
              <w:rPr>
                <w:sz w:val="22"/>
                <w:szCs w:val="22"/>
              </w:rPr>
            </w:pPr>
          </w:p>
        </w:tc>
        <w:tc>
          <w:tcPr>
            <w:tcW w:w="1391" w:type="dxa"/>
            <w:shd w:val="clear" w:color="auto" w:fill="auto"/>
            <w:noWrap/>
          </w:tcPr>
          <w:p w14:paraId="6DE3EF73" w14:textId="2A43BC63" w:rsidR="00761224" w:rsidRPr="001802D3" w:rsidRDefault="00761224" w:rsidP="00AF5B17">
            <w:pPr>
              <w:spacing w:before="40"/>
              <w:jc w:val="right"/>
              <w:rPr>
                <w:sz w:val="22"/>
                <w:szCs w:val="22"/>
              </w:rPr>
            </w:pPr>
          </w:p>
        </w:tc>
        <w:tc>
          <w:tcPr>
            <w:tcW w:w="1391" w:type="dxa"/>
            <w:shd w:val="clear" w:color="auto" w:fill="auto"/>
            <w:noWrap/>
          </w:tcPr>
          <w:p w14:paraId="5C65F175" w14:textId="591C35AB" w:rsidR="00761224" w:rsidRPr="00AF5B17" w:rsidRDefault="00761224" w:rsidP="00AF5B17">
            <w:pPr>
              <w:spacing w:before="40"/>
              <w:jc w:val="right"/>
              <w:rPr>
                <w:sz w:val="22"/>
                <w:szCs w:val="22"/>
              </w:rPr>
            </w:pPr>
          </w:p>
        </w:tc>
        <w:tc>
          <w:tcPr>
            <w:tcW w:w="1391" w:type="dxa"/>
            <w:shd w:val="clear" w:color="auto" w:fill="auto"/>
            <w:noWrap/>
          </w:tcPr>
          <w:p w14:paraId="4DECF7E2" w14:textId="2D455D62" w:rsidR="00761224" w:rsidRPr="00AF5B17" w:rsidRDefault="00761224" w:rsidP="00AF5B17">
            <w:pPr>
              <w:spacing w:before="40"/>
              <w:jc w:val="right"/>
              <w:rPr>
                <w:sz w:val="22"/>
                <w:szCs w:val="22"/>
              </w:rPr>
            </w:pPr>
          </w:p>
        </w:tc>
      </w:tr>
      <w:tr w:rsidR="00E7627C" w14:paraId="0D36F8DD" w14:textId="77777777" w:rsidTr="005101BC">
        <w:trPr>
          <w:trHeight w:val="283"/>
        </w:trPr>
        <w:tc>
          <w:tcPr>
            <w:tcW w:w="3854" w:type="dxa"/>
            <w:shd w:val="clear" w:color="auto" w:fill="auto"/>
            <w:noWrap/>
            <w:vAlign w:val="bottom"/>
            <w:hideMark/>
          </w:tcPr>
          <w:p w14:paraId="57939881" w14:textId="77777777" w:rsidR="00E7627C" w:rsidRDefault="00E7627C" w:rsidP="00E7627C">
            <w:pPr>
              <w:spacing w:before="40"/>
              <w:rPr>
                <w:sz w:val="22"/>
              </w:rPr>
            </w:pPr>
            <w:r>
              <w:rPr>
                <w:color w:val="000000"/>
                <w:sz w:val="22"/>
                <w:szCs w:val="22"/>
              </w:rPr>
              <w:t>Variable rate instruments</w:t>
            </w:r>
          </w:p>
        </w:tc>
        <w:tc>
          <w:tcPr>
            <w:tcW w:w="1391" w:type="dxa"/>
            <w:shd w:val="clear" w:color="auto" w:fill="auto"/>
            <w:noWrap/>
          </w:tcPr>
          <w:p w14:paraId="544E5F6F" w14:textId="371FE8EF" w:rsidR="00E7627C" w:rsidRPr="00E43187" w:rsidRDefault="00E7627C" w:rsidP="00E7627C">
            <w:pPr>
              <w:spacing w:before="40"/>
              <w:jc w:val="right"/>
              <w:rPr>
                <w:b/>
                <w:bCs/>
                <w:sz w:val="22"/>
                <w:szCs w:val="22"/>
              </w:rPr>
            </w:pPr>
            <w:r w:rsidRPr="00E43187">
              <w:rPr>
                <w:sz w:val="22"/>
                <w:szCs w:val="22"/>
              </w:rPr>
              <w:t xml:space="preserve"> (3,489)</w:t>
            </w:r>
          </w:p>
        </w:tc>
        <w:tc>
          <w:tcPr>
            <w:tcW w:w="1391" w:type="dxa"/>
            <w:shd w:val="clear" w:color="auto" w:fill="auto"/>
            <w:noWrap/>
          </w:tcPr>
          <w:p w14:paraId="5DB0059B" w14:textId="5E37DFB4" w:rsidR="00E7627C" w:rsidRPr="00E43187" w:rsidRDefault="00E7627C" w:rsidP="00E7627C">
            <w:pPr>
              <w:spacing w:before="40"/>
              <w:jc w:val="right"/>
              <w:rPr>
                <w:b/>
                <w:bCs/>
                <w:sz w:val="22"/>
                <w:szCs w:val="22"/>
              </w:rPr>
            </w:pPr>
            <w:r w:rsidRPr="00E43187">
              <w:rPr>
                <w:sz w:val="22"/>
                <w:szCs w:val="22"/>
              </w:rPr>
              <w:t xml:space="preserve"> 16,733 </w:t>
            </w:r>
          </w:p>
        </w:tc>
        <w:tc>
          <w:tcPr>
            <w:tcW w:w="1391" w:type="dxa"/>
            <w:shd w:val="clear" w:color="auto" w:fill="auto"/>
            <w:noWrap/>
          </w:tcPr>
          <w:p w14:paraId="44D3F4CF" w14:textId="208DF627" w:rsidR="00E7627C" w:rsidRPr="00E7627C" w:rsidRDefault="00E7627C" w:rsidP="00E7627C">
            <w:pPr>
              <w:spacing w:before="40"/>
              <w:jc w:val="right"/>
              <w:rPr>
                <w:b/>
                <w:bCs/>
                <w:sz w:val="22"/>
                <w:szCs w:val="22"/>
                <w:highlight w:val="yellow"/>
              </w:rPr>
            </w:pPr>
            <w:r w:rsidRPr="00E7627C">
              <w:rPr>
                <w:sz w:val="22"/>
                <w:szCs w:val="22"/>
              </w:rPr>
              <w:t xml:space="preserve"> (3,489)</w:t>
            </w:r>
          </w:p>
        </w:tc>
        <w:tc>
          <w:tcPr>
            <w:tcW w:w="1391" w:type="dxa"/>
            <w:shd w:val="clear" w:color="auto" w:fill="auto"/>
            <w:noWrap/>
          </w:tcPr>
          <w:p w14:paraId="12637973" w14:textId="0128F004" w:rsidR="00E7627C" w:rsidRPr="00E7627C" w:rsidRDefault="00E7627C" w:rsidP="00E7627C">
            <w:pPr>
              <w:spacing w:before="40"/>
              <w:jc w:val="right"/>
              <w:rPr>
                <w:b/>
                <w:bCs/>
                <w:sz w:val="22"/>
                <w:szCs w:val="22"/>
                <w:highlight w:val="yellow"/>
              </w:rPr>
            </w:pPr>
            <w:r w:rsidRPr="00E7627C">
              <w:rPr>
                <w:sz w:val="22"/>
                <w:szCs w:val="22"/>
              </w:rPr>
              <w:t xml:space="preserve"> 16,733 </w:t>
            </w:r>
          </w:p>
        </w:tc>
      </w:tr>
      <w:tr w:rsidR="00E7627C" w14:paraId="28B38D12" w14:textId="77777777" w:rsidTr="005101BC">
        <w:trPr>
          <w:trHeight w:val="283"/>
        </w:trPr>
        <w:tc>
          <w:tcPr>
            <w:tcW w:w="3854" w:type="dxa"/>
            <w:shd w:val="clear" w:color="auto" w:fill="auto"/>
            <w:noWrap/>
            <w:vAlign w:val="bottom"/>
            <w:hideMark/>
          </w:tcPr>
          <w:p w14:paraId="10F5DFB9" w14:textId="77777777" w:rsidR="00E7627C" w:rsidRDefault="00E7627C" w:rsidP="00E7627C">
            <w:pPr>
              <w:spacing w:before="40"/>
              <w:rPr>
                <w:sz w:val="22"/>
              </w:rPr>
            </w:pPr>
            <w:r>
              <w:rPr>
                <w:color w:val="000000"/>
                <w:sz w:val="22"/>
                <w:szCs w:val="22"/>
              </w:rPr>
              <w:t>Interest rate swap</w:t>
            </w:r>
          </w:p>
        </w:tc>
        <w:tc>
          <w:tcPr>
            <w:tcW w:w="1391" w:type="dxa"/>
            <w:shd w:val="clear" w:color="auto" w:fill="auto"/>
            <w:noWrap/>
          </w:tcPr>
          <w:p w14:paraId="439480D7" w14:textId="1A8C85A0" w:rsidR="00E7627C" w:rsidRPr="00E43187" w:rsidRDefault="00E7627C" w:rsidP="00E7627C">
            <w:pPr>
              <w:pBdr>
                <w:bottom w:val="single" w:sz="4" w:space="1" w:color="auto"/>
              </w:pBdr>
              <w:spacing w:before="40"/>
              <w:jc w:val="right"/>
              <w:rPr>
                <w:b/>
                <w:bCs/>
                <w:sz w:val="22"/>
                <w:szCs w:val="22"/>
              </w:rPr>
            </w:pPr>
            <w:r w:rsidRPr="001802D3">
              <w:rPr>
                <w:sz w:val="22"/>
                <w:szCs w:val="22"/>
              </w:rPr>
              <w:t xml:space="preserve"> - </w:t>
            </w:r>
          </w:p>
        </w:tc>
        <w:tc>
          <w:tcPr>
            <w:tcW w:w="1391" w:type="dxa"/>
            <w:shd w:val="clear" w:color="auto" w:fill="auto"/>
            <w:noWrap/>
          </w:tcPr>
          <w:p w14:paraId="331FA0A2" w14:textId="1BEEF922" w:rsidR="00E7627C" w:rsidRPr="00E43187" w:rsidRDefault="00E7627C" w:rsidP="00E7627C">
            <w:pPr>
              <w:pBdr>
                <w:bottom w:val="single" w:sz="4" w:space="1" w:color="auto"/>
              </w:pBdr>
              <w:spacing w:before="40"/>
              <w:jc w:val="right"/>
              <w:rPr>
                <w:b/>
                <w:bCs/>
                <w:sz w:val="22"/>
                <w:szCs w:val="22"/>
              </w:rPr>
            </w:pPr>
            <w:r w:rsidRPr="001802D3">
              <w:rPr>
                <w:sz w:val="22"/>
                <w:szCs w:val="22"/>
              </w:rPr>
              <w:t xml:space="preserve"> - </w:t>
            </w:r>
          </w:p>
        </w:tc>
        <w:tc>
          <w:tcPr>
            <w:tcW w:w="1391" w:type="dxa"/>
            <w:shd w:val="clear" w:color="auto" w:fill="auto"/>
            <w:noWrap/>
          </w:tcPr>
          <w:p w14:paraId="5F62293D" w14:textId="39D8608F" w:rsidR="00E7627C" w:rsidRPr="00E7627C" w:rsidRDefault="00E7627C" w:rsidP="00E7627C">
            <w:pPr>
              <w:pBdr>
                <w:bottom w:val="single" w:sz="4" w:space="1" w:color="auto"/>
              </w:pBdr>
              <w:spacing w:before="40"/>
              <w:jc w:val="right"/>
              <w:rPr>
                <w:b/>
                <w:bCs/>
                <w:sz w:val="22"/>
                <w:szCs w:val="22"/>
                <w:highlight w:val="yellow"/>
                <w:lang w:bidi="he-IL"/>
              </w:rPr>
            </w:pPr>
            <w:r w:rsidRPr="00E7627C">
              <w:rPr>
                <w:sz w:val="22"/>
                <w:szCs w:val="22"/>
              </w:rPr>
              <w:t xml:space="preserve"> 18,637 </w:t>
            </w:r>
          </w:p>
        </w:tc>
        <w:tc>
          <w:tcPr>
            <w:tcW w:w="1391" w:type="dxa"/>
            <w:shd w:val="clear" w:color="auto" w:fill="auto"/>
            <w:noWrap/>
          </w:tcPr>
          <w:p w14:paraId="53D4E073" w14:textId="3CFD2FEB" w:rsidR="00E7627C" w:rsidRPr="00E7627C" w:rsidRDefault="00E7627C" w:rsidP="00E7627C">
            <w:pPr>
              <w:pBdr>
                <w:bottom w:val="single" w:sz="4" w:space="1" w:color="auto"/>
              </w:pBdr>
              <w:spacing w:before="40"/>
              <w:jc w:val="right"/>
              <w:rPr>
                <w:b/>
                <w:bCs/>
                <w:sz w:val="22"/>
                <w:szCs w:val="22"/>
                <w:highlight w:val="yellow"/>
              </w:rPr>
            </w:pPr>
            <w:r w:rsidRPr="00E7627C">
              <w:rPr>
                <w:sz w:val="22"/>
                <w:szCs w:val="22"/>
              </w:rPr>
              <w:t xml:space="preserve"> (18,574)</w:t>
            </w:r>
          </w:p>
        </w:tc>
      </w:tr>
      <w:tr w:rsidR="00E7627C" w14:paraId="62A53EE9" w14:textId="77777777" w:rsidTr="005101BC">
        <w:trPr>
          <w:trHeight w:val="283"/>
        </w:trPr>
        <w:tc>
          <w:tcPr>
            <w:tcW w:w="3854" w:type="dxa"/>
            <w:shd w:val="clear" w:color="auto" w:fill="auto"/>
            <w:noWrap/>
            <w:vAlign w:val="bottom"/>
            <w:hideMark/>
          </w:tcPr>
          <w:p w14:paraId="0B37B798" w14:textId="77777777" w:rsidR="00E7627C" w:rsidRDefault="00E7627C" w:rsidP="00E7627C">
            <w:pPr>
              <w:spacing w:before="40"/>
              <w:rPr>
                <w:sz w:val="22"/>
              </w:rPr>
            </w:pPr>
            <w:r>
              <w:rPr>
                <w:color w:val="000000"/>
                <w:sz w:val="22"/>
                <w:szCs w:val="22"/>
              </w:rPr>
              <w:t>Cash flow sensitivity (net)</w:t>
            </w:r>
          </w:p>
        </w:tc>
        <w:tc>
          <w:tcPr>
            <w:tcW w:w="1391" w:type="dxa"/>
            <w:shd w:val="clear" w:color="auto" w:fill="auto"/>
            <w:noWrap/>
          </w:tcPr>
          <w:p w14:paraId="738B03B4" w14:textId="582423FC" w:rsidR="00E7627C" w:rsidRPr="00E7627C" w:rsidRDefault="00E7627C" w:rsidP="00E7627C">
            <w:pPr>
              <w:pBdr>
                <w:bottom w:val="double" w:sz="4" w:space="0" w:color="000000"/>
              </w:pBdr>
              <w:spacing w:before="40"/>
              <w:jc w:val="right"/>
              <w:rPr>
                <w:b/>
                <w:bCs/>
                <w:sz w:val="22"/>
                <w:szCs w:val="22"/>
                <w:highlight w:val="yellow"/>
              </w:rPr>
            </w:pPr>
            <w:r w:rsidRPr="00E7627C">
              <w:rPr>
                <w:sz w:val="22"/>
                <w:szCs w:val="22"/>
              </w:rPr>
              <w:t xml:space="preserve"> (3,489)</w:t>
            </w:r>
          </w:p>
        </w:tc>
        <w:tc>
          <w:tcPr>
            <w:tcW w:w="1391" w:type="dxa"/>
            <w:shd w:val="clear" w:color="auto" w:fill="auto"/>
            <w:noWrap/>
          </w:tcPr>
          <w:p w14:paraId="371A0727" w14:textId="7D855DAC" w:rsidR="00E7627C" w:rsidRPr="00E7627C" w:rsidRDefault="00E7627C" w:rsidP="00E7627C">
            <w:pPr>
              <w:pBdr>
                <w:bottom w:val="double" w:sz="4" w:space="0" w:color="000000"/>
              </w:pBdr>
              <w:spacing w:before="40"/>
              <w:jc w:val="right"/>
              <w:rPr>
                <w:b/>
                <w:bCs/>
                <w:sz w:val="22"/>
                <w:szCs w:val="22"/>
                <w:highlight w:val="yellow"/>
              </w:rPr>
            </w:pPr>
            <w:r w:rsidRPr="00E7627C">
              <w:rPr>
                <w:sz w:val="22"/>
                <w:szCs w:val="22"/>
              </w:rPr>
              <w:t xml:space="preserve"> 16,733 </w:t>
            </w:r>
          </w:p>
        </w:tc>
        <w:tc>
          <w:tcPr>
            <w:tcW w:w="1391" w:type="dxa"/>
            <w:shd w:val="clear" w:color="auto" w:fill="auto"/>
            <w:noWrap/>
          </w:tcPr>
          <w:p w14:paraId="7C913942" w14:textId="00679B9B" w:rsidR="00E7627C" w:rsidRPr="00E7627C" w:rsidRDefault="00E7627C" w:rsidP="00E7627C">
            <w:pPr>
              <w:pBdr>
                <w:bottom w:val="double" w:sz="4" w:space="0" w:color="000000"/>
              </w:pBdr>
              <w:spacing w:before="40"/>
              <w:jc w:val="right"/>
              <w:rPr>
                <w:b/>
                <w:bCs/>
                <w:sz w:val="22"/>
                <w:szCs w:val="22"/>
                <w:highlight w:val="yellow"/>
              </w:rPr>
            </w:pPr>
            <w:r w:rsidRPr="00E7627C">
              <w:rPr>
                <w:sz w:val="22"/>
                <w:szCs w:val="22"/>
              </w:rPr>
              <w:t xml:space="preserve"> 15,148 </w:t>
            </w:r>
          </w:p>
        </w:tc>
        <w:tc>
          <w:tcPr>
            <w:tcW w:w="1391" w:type="dxa"/>
            <w:shd w:val="clear" w:color="auto" w:fill="auto"/>
            <w:noWrap/>
          </w:tcPr>
          <w:p w14:paraId="6A4E8DDD" w14:textId="21C93033" w:rsidR="00E7627C" w:rsidRPr="00E7627C" w:rsidRDefault="00E7627C" w:rsidP="00E7627C">
            <w:pPr>
              <w:pBdr>
                <w:bottom w:val="double" w:sz="4" w:space="0" w:color="000000"/>
              </w:pBdr>
              <w:spacing w:before="40"/>
              <w:jc w:val="right"/>
              <w:rPr>
                <w:b/>
                <w:bCs/>
                <w:sz w:val="22"/>
                <w:szCs w:val="22"/>
                <w:highlight w:val="yellow"/>
              </w:rPr>
            </w:pPr>
            <w:r w:rsidRPr="00E7627C">
              <w:rPr>
                <w:sz w:val="22"/>
                <w:szCs w:val="22"/>
              </w:rPr>
              <w:t xml:space="preserve"> (1,841)</w:t>
            </w:r>
          </w:p>
        </w:tc>
      </w:tr>
      <w:tr w:rsidR="009B70D1" w14:paraId="05B540FF" w14:textId="77777777" w:rsidTr="005101BC">
        <w:trPr>
          <w:trHeight w:val="283"/>
        </w:trPr>
        <w:tc>
          <w:tcPr>
            <w:tcW w:w="3854" w:type="dxa"/>
            <w:shd w:val="clear" w:color="auto" w:fill="auto"/>
            <w:noWrap/>
            <w:vAlign w:val="bottom"/>
          </w:tcPr>
          <w:p w14:paraId="786B527F" w14:textId="4F07B75D" w:rsidR="009B70D1" w:rsidRDefault="009B70D1" w:rsidP="009B70D1">
            <w:pPr>
              <w:spacing w:before="40"/>
              <w:rPr>
                <w:sz w:val="22"/>
              </w:rPr>
            </w:pPr>
            <w:r>
              <w:rPr>
                <w:color w:val="000000"/>
                <w:sz w:val="22"/>
                <w:szCs w:val="22"/>
              </w:rPr>
              <w:t>December 31, 202</w:t>
            </w:r>
            <w:r w:rsidR="007958E3">
              <w:rPr>
                <w:color w:val="000000"/>
                <w:sz w:val="22"/>
                <w:szCs w:val="22"/>
              </w:rPr>
              <w:t>3</w:t>
            </w:r>
          </w:p>
        </w:tc>
        <w:tc>
          <w:tcPr>
            <w:tcW w:w="1391" w:type="dxa"/>
            <w:shd w:val="clear" w:color="auto" w:fill="auto"/>
            <w:noWrap/>
          </w:tcPr>
          <w:p w14:paraId="4848DAE1" w14:textId="77777777" w:rsidR="009B70D1" w:rsidRPr="00E7627C" w:rsidRDefault="009B70D1" w:rsidP="009B70D1">
            <w:pPr>
              <w:spacing w:before="40"/>
              <w:jc w:val="right"/>
              <w:rPr>
                <w:rFonts w:ascii="Arial" w:eastAsia="Arial" w:hAnsi="Arial" w:cs="Arial"/>
                <w:sz w:val="22"/>
                <w:szCs w:val="22"/>
              </w:rPr>
            </w:pPr>
          </w:p>
        </w:tc>
        <w:tc>
          <w:tcPr>
            <w:tcW w:w="1391" w:type="dxa"/>
            <w:shd w:val="clear" w:color="auto" w:fill="auto"/>
            <w:noWrap/>
          </w:tcPr>
          <w:p w14:paraId="2E01D69C" w14:textId="77777777" w:rsidR="009B70D1" w:rsidRPr="00E7627C" w:rsidRDefault="009B70D1" w:rsidP="009B70D1">
            <w:pPr>
              <w:spacing w:before="40"/>
              <w:jc w:val="right"/>
              <w:rPr>
                <w:rFonts w:ascii="Arial" w:eastAsia="Arial" w:hAnsi="Arial" w:cs="Arial"/>
                <w:sz w:val="22"/>
                <w:szCs w:val="22"/>
              </w:rPr>
            </w:pPr>
          </w:p>
        </w:tc>
        <w:tc>
          <w:tcPr>
            <w:tcW w:w="1391" w:type="dxa"/>
            <w:shd w:val="clear" w:color="auto" w:fill="auto"/>
            <w:noWrap/>
          </w:tcPr>
          <w:p w14:paraId="1792F597" w14:textId="77777777" w:rsidR="009B70D1" w:rsidRPr="00E7627C" w:rsidRDefault="009B70D1" w:rsidP="009B70D1">
            <w:pPr>
              <w:spacing w:before="40"/>
              <w:jc w:val="right"/>
              <w:rPr>
                <w:rFonts w:ascii="Arial" w:eastAsia="Arial" w:hAnsi="Arial" w:cs="Arial"/>
                <w:sz w:val="22"/>
                <w:szCs w:val="22"/>
              </w:rPr>
            </w:pPr>
          </w:p>
        </w:tc>
        <w:tc>
          <w:tcPr>
            <w:tcW w:w="1391" w:type="dxa"/>
            <w:shd w:val="clear" w:color="auto" w:fill="auto"/>
            <w:noWrap/>
          </w:tcPr>
          <w:p w14:paraId="7BE4704D" w14:textId="77777777" w:rsidR="009B70D1" w:rsidRPr="00E7627C" w:rsidRDefault="009B70D1" w:rsidP="009B70D1">
            <w:pPr>
              <w:spacing w:before="40"/>
              <w:jc w:val="right"/>
              <w:rPr>
                <w:rFonts w:ascii="Arial" w:eastAsia="Arial" w:hAnsi="Arial" w:cs="Arial"/>
                <w:sz w:val="22"/>
                <w:szCs w:val="22"/>
              </w:rPr>
            </w:pPr>
          </w:p>
        </w:tc>
      </w:tr>
      <w:tr w:rsidR="007958E3" w14:paraId="60581A82" w14:textId="77777777" w:rsidTr="005101BC">
        <w:trPr>
          <w:trHeight w:val="283"/>
        </w:trPr>
        <w:tc>
          <w:tcPr>
            <w:tcW w:w="3854" w:type="dxa"/>
            <w:shd w:val="clear" w:color="auto" w:fill="auto"/>
            <w:noWrap/>
            <w:vAlign w:val="bottom"/>
          </w:tcPr>
          <w:p w14:paraId="158B3667" w14:textId="6DFF4029" w:rsidR="007958E3" w:rsidRDefault="007958E3" w:rsidP="007958E3">
            <w:pPr>
              <w:spacing w:before="40"/>
              <w:rPr>
                <w:sz w:val="22"/>
              </w:rPr>
            </w:pPr>
            <w:r>
              <w:rPr>
                <w:color w:val="000000"/>
                <w:sz w:val="22"/>
                <w:szCs w:val="22"/>
              </w:rPr>
              <w:t>Variable rate instruments</w:t>
            </w:r>
          </w:p>
        </w:tc>
        <w:tc>
          <w:tcPr>
            <w:tcW w:w="1391" w:type="dxa"/>
            <w:shd w:val="clear" w:color="auto" w:fill="auto"/>
            <w:noWrap/>
            <w:vAlign w:val="bottom"/>
          </w:tcPr>
          <w:p w14:paraId="18B2D700" w14:textId="5ACEE752" w:rsidR="007958E3" w:rsidRPr="00E7627C" w:rsidRDefault="007958E3" w:rsidP="007958E3">
            <w:pPr>
              <w:spacing w:before="40"/>
              <w:jc w:val="right"/>
              <w:rPr>
                <w:sz w:val="22"/>
                <w:szCs w:val="22"/>
              </w:rPr>
            </w:pPr>
            <w:r w:rsidRPr="00E7627C">
              <w:rPr>
                <w:sz w:val="22"/>
                <w:szCs w:val="22"/>
              </w:rPr>
              <w:t>(19,435)</w:t>
            </w:r>
          </w:p>
        </w:tc>
        <w:tc>
          <w:tcPr>
            <w:tcW w:w="1391" w:type="dxa"/>
            <w:shd w:val="clear" w:color="auto" w:fill="auto"/>
            <w:noWrap/>
            <w:vAlign w:val="bottom"/>
          </w:tcPr>
          <w:p w14:paraId="1FEEDCB7" w14:textId="17F22012" w:rsidR="007958E3" w:rsidRPr="00E7627C" w:rsidRDefault="007958E3" w:rsidP="007958E3">
            <w:pPr>
              <w:spacing w:before="40"/>
              <w:jc w:val="right"/>
              <w:rPr>
                <w:sz w:val="22"/>
                <w:szCs w:val="22"/>
              </w:rPr>
            </w:pPr>
            <w:r w:rsidRPr="00E7627C">
              <w:rPr>
                <w:sz w:val="22"/>
                <w:szCs w:val="22"/>
              </w:rPr>
              <w:t>19,435</w:t>
            </w:r>
          </w:p>
        </w:tc>
        <w:tc>
          <w:tcPr>
            <w:tcW w:w="1391" w:type="dxa"/>
            <w:shd w:val="clear" w:color="auto" w:fill="auto"/>
            <w:noWrap/>
            <w:vAlign w:val="bottom"/>
          </w:tcPr>
          <w:p w14:paraId="2996176C" w14:textId="2B786B9B" w:rsidR="007958E3" w:rsidRPr="00E7627C" w:rsidRDefault="007958E3" w:rsidP="007958E3">
            <w:pPr>
              <w:spacing w:before="40"/>
              <w:jc w:val="right"/>
              <w:rPr>
                <w:sz w:val="22"/>
                <w:szCs w:val="22"/>
              </w:rPr>
            </w:pPr>
            <w:r w:rsidRPr="00E7627C">
              <w:rPr>
                <w:sz w:val="22"/>
                <w:szCs w:val="22"/>
              </w:rPr>
              <w:t>(19,435)</w:t>
            </w:r>
          </w:p>
        </w:tc>
        <w:tc>
          <w:tcPr>
            <w:tcW w:w="1391" w:type="dxa"/>
            <w:shd w:val="clear" w:color="auto" w:fill="auto"/>
            <w:noWrap/>
            <w:vAlign w:val="bottom"/>
          </w:tcPr>
          <w:p w14:paraId="7E0D53E3" w14:textId="2AF3C10E" w:rsidR="007958E3" w:rsidRPr="00E7627C" w:rsidRDefault="007958E3" w:rsidP="007958E3">
            <w:pPr>
              <w:spacing w:before="40"/>
              <w:jc w:val="right"/>
              <w:rPr>
                <w:sz w:val="22"/>
                <w:szCs w:val="22"/>
              </w:rPr>
            </w:pPr>
            <w:r w:rsidRPr="00E7627C">
              <w:rPr>
                <w:sz w:val="22"/>
                <w:szCs w:val="22"/>
              </w:rPr>
              <w:t>19,435</w:t>
            </w:r>
          </w:p>
        </w:tc>
      </w:tr>
      <w:tr w:rsidR="007958E3" w14:paraId="22FDDE64" w14:textId="77777777" w:rsidTr="005101BC">
        <w:trPr>
          <w:trHeight w:val="283"/>
        </w:trPr>
        <w:tc>
          <w:tcPr>
            <w:tcW w:w="3854" w:type="dxa"/>
            <w:shd w:val="clear" w:color="auto" w:fill="auto"/>
            <w:noWrap/>
            <w:vAlign w:val="bottom"/>
          </w:tcPr>
          <w:p w14:paraId="2EFDCE8F" w14:textId="7CEE3FCE" w:rsidR="007958E3" w:rsidRDefault="007958E3" w:rsidP="007958E3">
            <w:pPr>
              <w:spacing w:before="40"/>
              <w:rPr>
                <w:sz w:val="22"/>
              </w:rPr>
            </w:pPr>
            <w:r>
              <w:rPr>
                <w:color w:val="000000"/>
                <w:sz w:val="22"/>
                <w:szCs w:val="22"/>
              </w:rPr>
              <w:t>Interest rate swap</w:t>
            </w:r>
          </w:p>
        </w:tc>
        <w:tc>
          <w:tcPr>
            <w:tcW w:w="1391" w:type="dxa"/>
            <w:shd w:val="clear" w:color="auto" w:fill="auto"/>
            <w:noWrap/>
            <w:vAlign w:val="bottom"/>
          </w:tcPr>
          <w:p w14:paraId="59EA1BEA" w14:textId="518175C6" w:rsidR="007958E3" w:rsidRPr="00E7627C" w:rsidRDefault="007958E3" w:rsidP="007958E3">
            <w:pPr>
              <w:pBdr>
                <w:bottom w:val="single" w:sz="4" w:space="1" w:color="auto"/>
              </w:pBdr>
              <w:spacing w:before="40"/>
              <w:jc w:val="right"/>
              <w:rPr>
                <w:sz w:val="22"/>
                <w:szCs w:val="22"/>
              </w:rPr>
            </w:pPr>
            <w:r w:rsidRPr="00E7627C">
              <w:rPr>
                <w:sz w:val="22"/>
                <w:szCs w:val="22"/>
              </w:rPr>
              <w:t>4,862</w:t>
            </w:r>
          </w:p>
        </w:tc>
        <w:tc>
          <w:tcPr>
            <w:tcW w:w="1391" w:type="dxa"/>
            <w:shd w:val="clear" w:color="auto" w:fill="auto"/>
            <w:noWrap/>
            <w:vAlign w:val="bottom"/>
          </w:tcPr>
          <w:p w14:paraId="053DC34B" w14:textId="2882ACAB" w:rsidR="007958E3" w:rsidRPr="00E7627C" w:rsidRDefault="007958E3" w:rsidP="007958E3">
            <w:pPr>
              <w:pBdr>
                <w:bottom w:val="single" w:sz="4" w:space="1" w:color="auto"/>
              </w:pBdr>
              <w:spacing w:before="40"/>
              <w:jc w:val="right"/>
              <w:rPr>
                <w:sz w:val="22"/>
                <w:szCs w:val="22"/>
              </w:rPr>
            </w:pPr>
            <w:r w:rsidRPr="00E7627C">
              <w:rPr>
                <w:sz w:val="22"/>
                <w:szCs w:val="22"/>
              </w:rPr>
              <w:t>(4,862)</w:t>
            </w:r>
          </w:p>
        </w:tc>
        <w:tc>
          <w:tcPr>
            <w:tcW w:w="1391" w:type="dxa"/>
            <w:shd w:val="clear" w:color="auto" w:fill="auto"/>
            <w:noWrap/>
            <w:vAlign w:val="bottom"/>
          </w:tcPr>
          <w:p w14:paraId="2D79BB36" w14:textId="4749CBF9" w:rsidR="007958E3" w:rsidRPr="00E7627C" w:rsidRDefault="007958E3" w:rsidP="007958E3">
            <w:pPr>
              <w:pBdr>
                <w:bottom w:val="single" w:sz="4" w:space="1" w:color="auto"/>
              </w:pBdr>
              <w:spacing w:before="40"/>
              <w:jc w:val="right"/>
              <w:rPr>
                <w:sz w:val="22"/>
                <w:szCs w:val="22"/>
              </w:rPr>
            </w:pPr>
            <w:r w:rsidRPr="00E7627C">
              <w:rPr>
                <w:sz w:val="22"/>
                <w:szCs w:val="22"/>
              </w:rPr>
              <w:t>10,735</w:t>
            </w:r>
          </w:p>
        </w:tc>
        <w:tc>
          <w:tcPr>
            <w:tcW w:w="1391" w:type="dxa"/>
            <w:shd w:val="clear" w:color="auto" w:fill="auto"/>
            <w:noWrap/>
            <w:vAlign w:val="bottom"/>
          </w:tcPr>
          <w:p w14:paraId="320FCB7A" w14:textId="58768D9B" w:rsidR="007958E3" w:rsidRPr="00E7627C" w:rsidRDefault="007958E3" w:rsidP="007958E3">
            <w:pPr>
              <w:pBdr>
                <w:bottom w:val="single" w:sz="4" w:space="1" w:color="auto"/>
              </w:pBdr>
              <w:spacing w:before="40"/>
              <w:jc w:val="right"/>
              <w:rPr>
                <w:sz w:val="22"/>
                <w:szCs w:val="22"/>
              </w:rPr>
            </w:pPr>
            <w:r w:rsidRPr="00E7627C">
              <w:rPr>
                <w:sz w:val="22"/>
                <w:szCs w:val="22"/>
              </w:rPr>
              <w:t>(11,332)</w:t>
            </w:r>
          </w:p>
        </w:tc>
      </w:tr>
      <w:tr w:rsidR="007958E3" w14:paraId="531B1830" w14:textId="77777777" w:rsidTr="005101BC">
        <w:trPr>
          <w:trHeight w:val="283"/>
        </w:trPr>
        <w:tc>
          <w:tcPr>
            <w:tcW w:w="3854" w:type="dxa"/>
            <w:shd w:val="clear" w:color="auto" w:fill="auto"/>
            <w:noWrap/>
            <w:vAlign w:val="bottom"/>
          </w:tcPr>
          <w:p w14:paraId="0049585B" w14:textId="028B78D5" w:rsidR="007958E3" w:rsidRDefault="007958E3" w:rsidP="007958E3">
            <w:pPr>
              <w:spacing w:before="40"/>
              <w:rPr>
                <w:sz w:val="22"/>
              </w:rPr>
            </w:pPr>
            <w:r>
              <w:rPr>
                <w:color w:val="000000"/>
                <w:sz w:val="22"/>
                <w:szCs w:val="22"/>
              </w:rPr>
              <w:t>Cash flow sensitivity (net)</w:t>
            </w:r>
          </w:p>
        </w:tc>
        <w:tc>
          <w:tcPr>
            <w:tcW w:w="1391" w:type="dxa"/>
            <w:shd w:val="clear" w:color="auto" w:fill="auto"/>
            <w:noWrap/>
            <w:vAlign w:val="bottom"/>
          </w:tcPr>
          <w:p w14:paraId="18CF4D1D" w14:textId="02F9DDF6" w:rsidR="007958E3" w:rsidRPr="00E7627C" w:rsidRDefault="007958E3" w:rsidP="007958E3">
            <w:pPr>
              <w:pBdr>
                <w:bottom w:val="double" w:sz="4" w:space="0" w:color="000000"/>
              </w:pBdr>
              <w:spacing w:before="40"/>
              <w:jc w:val="right"/>
              <w:rPr>
                <w:sz w:val="22"/>
                <w:szCs w:val="22"/>
              </w:rPr>
            </w:pPr>
            <w:r w:rsidRPr="00E7627C">
              <w:rPr>
                <w:sz w:val="22"/>
                <w:szCs w:val="22"/>
              </w:rPr>
              <w:t>(14,573)</w:t>
            </w:r>
          </w:p>
        </w:tc>
        <w:tc>
          <w:tcPr>
            <w:tcW w:w="1391" w:type="dxa"/>
            <w:shd w:val="clear" w:color="auto" w:fill="auto"/>
            <w:noWrap/>
            <w:vAlign w:val="bottom"/>
          </w:tcPr>
          <w:p w14:paraId="63CE11E6" w14:textId="06CF5D34" w:rsidR="007958E3" w:rsidRPr="00E7627C" w:rsidRDefault="007958E3" w:rsidP="007958E3">
            <w:pPr>
              <w:pBdr>
                <w:bottom w:val="double" w:sz="4" w:space="0" w:color="000000"/>
              </w:pBdr>
              <w:spacing w:before="40"/>
              <w:jc w:val="right"/>
              <w:rPr>
                <w:sz w:val="22"/>
                <w:szCs w:val="22"/>
              </w:rPr>
            </w:pPr>
            <w:r w:rsidRPr="00E7627C">
              <w:rPr>
                <w:sz w:val="22"/>
                <w:szCs w:val="22"/>
              </w:rPr>
              <w:t>14,573</w:t>
            </w:r>
          </w:p>
        </w:tc>
        <w:tc>
          <w:tcPr>
            <w:tcW w:w="1391" w:type="dxa"/>
            <w:shd w:val="clear" w:color="auto" w:fill="auto"/>
            <w:noWrap/>
            <w:vAlign w:val="bottom"/>
          </w:tcPr>
          <w:p w14:paraId="73918DE2" w14:textId="4D3E6F67" w:rsidR="007958E3" w:rsidRPr="00E7627C" w:rsidRDefault="007958E3" w:rsidP="007958E3">
            <w:pPr>
              <w:pBdr>
                <w:bottom w:val="double" w:sz="4" w:space="0" w:color="000000"/>
              </w:pBdr>
              <w:spacing w:before="40"/>
              <w:jc w:val="right"/>
              <w:rPr>
                <w:sz w:val="22"/>
                <w:szCs w:val="22"/>
              </w:rPr>
            </w:pPr>
            <w:r w:rsidRPr="00E7627C">
              <w:rPr>
                <w:sz w:val="22"/>
                <w:szCs w:val="22"/>
              </w:rPr>
              <w:t>(8,700)</w:t>
            </w:r>
          </w:p>
        </w:tc>
        <w:tc>
          <w:tcPr>
            <w:tcW w:w="1391" w:type="dxa"/>
            <w:shd w:val="clear" w:color="auto" w:fill="auto"/>
            <w:noWrap/>
            <w:vAlign w:val="bottom"/>
          </w:tcPr>
          <w:p w14:paraId="31FD07A5" w14:textId="349BD3A0" w:rsidR="007958E3" w:rsidRPr="00E7627C" w:rsidRDefault="007958E3" w:rsidP="007958E3">
            <w:pPr>
              <w:pBdr>
                <w:bottom w:val="double" w:sz="4" w:space="0" w:color="000000"/>
              </w:pBdr>
              <w:spacing w:before="40"/>
              <w:jc w:val="right"/>
              <w:rPr>
                <w:sz w:val="22"/>
                <w:szCs w:val="22"/>
              </w:rPr>
            </w:pPr>
            <w:r w:rsidRPr="00E7627C">
              <w:rPr>
                <w:sz w:val="22"/>
                <w:szCs w:val="22"/>
              </w:rPr>
              <w:t>8,103</w:t>
            </w:r>
          </w:p>
        </w:tc>
      </w:tr>
    </w:tbl>
    <w:p w14:paraId="517BBBB5" w14:textId="77777777" w:rsidR="00C35D07" w:rsidRPr="00F02921" w:rsidRDefault="00C35D07" w:rsidP="004A3C21">
      <w:pPr>
        <w:ind w:left="720"/>
        <w:jc w:val="both"/>
        <w:rPr>
          <w:sz w:val="10"/>
          <w:szCs w:val="10"/>
        </w:rPr>
      </w:pPr>
    </w:p>
    <w:p w14:paraId="117B6F10" w14:textId="4760779A" w:rsidR="009F6539" w:rsidRPr="00B0427E" w:rsidRDefault="009F6539" w:rsidP="003F2045">
      <w:pPr>
        <w:ind w:left="720"/>
        <w:jc w:val="both"/>
        <w:rPr>
          <w:sz w:val="22"/>
          <w:szCs w:val="22"/>
        </w:rPr>
      </w:pPr>
    </w:p>
    <w:p w14:paraId="5AD93106" w14:textId="168159C8" w:rsidR="009F6539" w:rsidRPr="00440DCB" w:rsidRDefault="009F6539" w:rsidP="009F6539">
      <w:pPr>
        <w:ind w:left="720"/>
        <w:jc w:val="both"/>
        <w:rPr>
          <w:sz w:val="22"/>
          <w:szCs w:val="22"/>
        </w:rPr>
      </w:pPr>
      <w:r w:rsidRPr="00E7627C">
        <w:rPr>
          <w:sz w:val="22"/>
          <w:szCs w:val="22"/>
        </w:rPr>
        <w:t xml:space="preserve">The Company has bank loans that have interest rates that reference to EURIBOR and that have maturities beyond </w:t>
      </w:r>
      <w:r w:rsidR="00C31906" w:rsidRPr="00E7627C">
        <w:rPr>
          <w:sz w:val="22"/>
          <w:szCs w:val="22"/>
        </w:rPr>
        <w:t>20</w:t>
      </w:r>
      <w:r w:rsidR="00660E64" w:rsidRPr="00E7627C">
        <w:rPr>
          <w:sz w:val="22"/>
          <w:szCs w:val="22"/>
        </w:rPr>
        <w:t>24</w:t>
      </w:r>
      <w:r w:rsidRPr="00E7627C">
        <w:rPr>
          <w:sz w:val="22"/>
          <w:szCs w:val="22"/>
        </w:rPr>
        <w:t xml:space="preserve">. As of December 31, </w:t>
      </w:r>
      <w:r w:rsidR="00173EDF" w:rsidRPr="00E7627C">
        <w:rPr>
          <w:sz w:val="22"/>
          <w:szCs w:val="22"/>
        </w:rPr>
        <w:t>202</w:t>
      </w:r>
      <w:r w:rsidR="00660E64" w:rsidRPr="00E7627C">
        <w:rPr>
          <w:sz w:val="22"/>
          <w:szCs w:val="22"/>
        </w:rPr>
        <w:t>4</w:t>
      </w:r>
      <w:r w:rsidRPr="00E7627C">
        <w:rPr>
          <w:sz w:val="22"/>
          <w:szCs w:val="22"/>
        </w:rPr>
        <w:t xml:space="preserve">, the carrying amounts of these financial liabilities are EUR </w:t>
      </w:r>
      <w:r w:rsidR="00E51EEF" w:rsidRPr="00E7627C">
        <w:rPr>
          <w:sz w:val="22"/>
          <w:szCs w:val="22"/>
        </w:rPr>
        <w:t>1,</w:t>
      </w:r>
      <w:r w:rsidR="00E7627C" w:rsidRPr="00E7627C">
        <w:rPr>
          <w:sz w:val="22"/>
          <w:szCs w:val="22"/>
        </w:rPr>
        <w:t>207</w:t>
      </w:r>
      <w:r w:rsidR="0024718F" w:rsidRPr="00E7627C">
        <w:rPr>
          <w:sz w:val="22"/>
          <w:szCs w:val="22"/>
        </w:rPr>
        <w:t>,</w:t>
      </w:r>
      <w:r w:rsidR="00E51EEF" w:rsidRPr="00E7627C">
        <w:rPr>
          <w:sz w:val="22"/>
          <w:szCs w:val="22"/>
        </w:rPr>
        <w:t>6</w:t>
      </w:r>
      <w:r w:rsidR="00E7627C" w:rsidRPr="00E7627C">
        <w:rPr>
          <w:sz w:val="22"/>
          <w:szCs w:val="22"/>
        </w:rPr>
        <w:t>0</w:t>
      </w:r>
      <w:r w:rsidR="00E51EEF" w:rsidRPr="00E7627C">
        <w:rPr>
          <w:sz w:val="22"/>
          <w:szCs w:val="22"/>
        </w:rPr>
        <w:t xml:space="preserve">6 </w:t>
      </w:r>
      <w:r w:rsidRPr="00E7627C">
        <w:rPr>
          <w:sz w:val="22"/>
          <w:szCs w:val="22"/>
        </w:rPr>
        <w:t>thousand.</w:t>
      </w:r>
    </w:p>
    <w:p w14:paraId="5B5AA518" w14:textId="3F7C607C" w:rsidR="0024718F" w:rsidRPr="00FC4595" w:rsidRDefault="0024718F" w:rsidP="009F6539">
      <w:pPr>
        <w:ind w:left="720"/>
        <w:jc w:val="both"/>
        <w:rPr>
          <w:sz w:val="22"/>
          <w:szCs w:val="22"/>
          <w:highlight w:val="yellow"/>
        </w:rPr>
      </w:pPr>
    </w:p>
    <w:p w14:paraId="6FDD27F4" w14:textId="06D8DC3F" w:rsidR="00825196" w:rsidRDefault="0024718F" w:rsidP="00E7627C">
      <w:pPr>
        <w:ind w:left="720"/>
        <w:jc w:val="both"/>
        <w:rPr>
          <w:sz w:val="22"/>
          <w:szCs w:val="22"/>
        </w:rPr>
      </w:pPr>
      <w:r w:rsidRPr="00FD5C5E">
        <w:rPr>
          <w:sz w:val="22"/>
          <w:szCs w:val="22"/>
        </w:rPr>
        <w:t>The Company also has derivatives interest rate swaps</w:t>
      </w:r>
      <w:r w:rsidR="006C5D35">
        <w:rPr>
          <w:sz w:val="22"/>
          <w:szCs w:val="22"/>
        </w:rPr>
        <w:t xml:space="preserve"> (“IRS”</w:t>
      </w:r>
      <w:r w:rsidR="00804B66">
        <w:rPr>
          <w:sz w:val="22"/>
          <w:szCs w:val="22"/>
        </w:rPr>
        <w:t>)</w:t>
      </w:r>
      <w:r w:rsidR="006C5D35">
        <w:rPr>
          <w:sz w:val="22"/>
          <w:szCs w:val="22"/>
        </w:rPr>
        <w:t xml:space="preserve"> and interest cap rate contracts</w:t>
      </w:r>
      <w:r w:rsidRPr="00FD5C5E">
        <w:rPr>
          <w:sz w:val="22"/>
          <w:szCs w:val="22"/>
        </w:rPr>
        <w:t xml:space="preserve"> extending past </w:t>
      </w:r>
      <w:r w:rsidR="00C31906">
        <w:rPr>
          <w:sz w:val="22"/>
          <w:szCs w:val="22"/>
        </w:rPr>
        <w:t>202</w:t>
      </w:r>
      <w:r w:rsidR="00660E64">
        <w:rPr>
          <w:sz w:val="22"/>
          <w:szCs w:val="22"/>
        </w:rPr>
        <w:t>4</w:t>
      </w:r>
      <w:r w:rsidR="00BD29E5" w:rsidRPr="00FD5C5E">
        <w:rPr>
          <w:sz w:val="22"/>
          <w:szCs w:val="22"/>
        </w:rPr>
        <w:t xml:space="preserve"> </w:t>
      </w:r>
      <w:r w:rsidRPr="00FD5C5E">
        <w:rPr>
          <w:sz w:val="22"/>
          <w:szCs w:val="22"/>
        </w:rPr>
        <w:t xml:space="preserve">that reference EURIBOR with carrying </w:t>
      </w:r>
      <w:r w:rsidRPr="00553819">
        <w:rPr>
          <w:sz w:val="22"/>
          <w:szCs w:val="22"/>
        </w:rPr>
        <w:t xml:space="preserve">amounts </w:t>
      </w:r>
      <w:r w:rsidRPr="00E43187">
        <w:rPr>
          <w:sz w:val="22"/>
          <w:szCs w:val="22"/>
        </w:rPr>
        <w:t xml:space="preserve">of EUR </w:t>
      </w:r>
      <w:r w:rsidR="00553819" w:rsidRPr="00E43187">
        <w:rPr>
          <w:sz w:val="22"/>
          <w:szCs w:val="22"/>
        </w:rPr>
        <w:t>3</w:t>
      </w:r>
      <w:r w:rsidR="00C31906" w:rsidRPr="00E43187">
        <w:rPr>
          <w:sz w:val="22"/>
          <w:szCs w:val="22"/>
        </w:rPr>
        <w:t>,</w:t>
      </w:r>
      <w:r w:rsidR="00553819" w:rsidRPr="00E43187">
        <w:rPr>
          <w:sz w:val="22"/>
          <w:szCs w:val="22"/>
        </w:rPr>
        <w:t xml:space="preserve">967 </w:t>
      </w:r>
      <w:r w:rsidRPr="00E43187">
        <w:rPr>
          <w:sz w:val="22"/>
          <w:szCs w:val="22"/>
        </w:rPr>
        <w:t>thousand</w:t>
      </w:r>
      <w:r w:rsidR="00553819">
        <w:rPr>
          <w:sz w:val="22"/>
          <w:szCs w:val="22"/>
        </w:rPr>
        <w:t>, net</w:t>
      </w:r>
      <w:r w:rsidRPr="00E43187">
        <w:rPr>
          <w:sz w:val="22"/>
          <w:szCs w:val="22"/>
        </w:rPr>
        <w:t xml:space="preserve"> </w:t>
      </w:r>
      <w:r w:rsidR="006C5D35" w:rsidRPr="00E43187">
        <w:rPr>
          <w:sz w:val="22"/>
          <w:szCs w:val="22"/>
        </w:rPr>
        <w:t xml:space="preserve">and EUR </w:t>
      </w:r>
      <w:r w:rsidR="00553819" w:rsidRPr="00553819">
        <w:rPr>
          <w:sz w:val="22"/>
          <w:szCs w:val="22"/>
        </w:rPr>
        <w:t>194</w:t>
      </w:r>
      <w:r w:rsidR="006C5D35">
        <w:rPr>
          <w:sz w:val="22"/>
          <w:szCs w:val="22"/>
        </w:rPr>
        <w:t xml:space="preserve"> thousand, respectively, </w:t>
      </w:r>
      <w:r w:rsidRPr="00FD5C5E">
        <w:rPr>
          <w:sz w:val="22"/>
          <w:szCs w:val="22"/>
        </w:rPr>
        <w:t xml:space="preserve">as of December 31, </w:t>
      </w:r>
      <w:r w:rsidR="00173EDF">
        <w:rPr>
          <w:sz w:val="22"/>
          <w:szCs w:val="22"/>
        </w:rPr>
        <w:t>20</w:t>
      </w:r>
      <w:r w:rsidR="00660E64">
        <w:rPr>
          <w:sz w:val="22"/>
          <w:szCs w:val="22"/>
        </w:rPr>
        <w:t>2</w:t>
      </w:r>
      <w:r w:rsidR="00E7627C">
        <w:rPr>
          <w:sz w:val="22"/>
          <w:szCs w:val="22"/>
        </w:rPr>
        <w:t>4.</w:t>
      </w:r>
    </w:p>
    <w:p w14:paraId="08585440" w14:textId="77777777" w:rsidR="00E7627C" w:rsidRPr="00E7627C" w:rsidRDefault="00E7627C" w:rsidP="00E7627C">
      <w:pPr>
        <w:ind w:left="720"/>
        <w:jc w:val="both"/>
        <w:rPr>
          <w:sz w:val="22"/>
          <w:szCs w:val="22"/>
        </w:rPr>
      </w:pPr>
    </w:p>
    <w:p w14:paraId="425D83AA" w14:textId="38DD3F44" w:rsidR="00C35D07" w:rsidRPr="00F02921" w:rsidRDefault="003F2045" w:rsidP="00C01E5D">
      <w:pPr>
        <w:ind w:left="567" w:hanging="567"/>
        <w:jc w:val="both"/>
        <w:outlineLvl w:val="3"/>
        <w:rPr>
          <w:b/>
          <w:bCs/>
          <w:sz w:val="22"/>
          <w:szCs w:val="22"/>
        </w:rPr>
      </w:pPr>
      <w:bookmarkStart w:id="210" w:name="H4_EFair_values"/>
      <w:r>
        <w:rPr>
          <w:b/>
          <w:bCs/>
          <w:sz w:val="22"/>
          <w:szCs w:val="22"/>
        </w:rPr>
        <w:t>E</w:t>
      </w:r>
      <w:r w:rsidR="006846D9" w:rsidRPr="00C435F7">
        <w:rPr>
          <w:b/>
          <w:bCs/>
          <w:sz w:val="22"/>
          <w:szCs w:val="22"/>
        </w:rPr>
        <w:t>.</w:t>
      </w:r>
      <w:r w:rsidR="006846D9" w:rsidRPr="00C435F7">
        <w:rPr>
          <w:b/>
          <w:bCs/>
          <w:sz w:val="22"/>
          <w:szCs w:val="22"/>
        </w:rPr>
        <w:tab/>
      </w:r>
      <w:r w:rsidR="00C35D07" w:rsidRPr="00F02921">
        <w:rPr>
          <w:b/>
          <w:bCs/>
          <w:sz w:val="22"/>
          <w:szCs w:val="22"/>
        </w:rPr>
        <w:t>Fair values</w:t>
      </w:r>
    </w:p>
    <w:p w14:paraId="13B11179" w14:textId="77777777" w:rsidR="00513BE8" w:rsidRDefault="00513BE8" w:rsidP="00903C29">
      <w:pPr>
        <w:ind w:left="720"/>
        <w:jc w:val="both"/>
        <w:rPr>
          <w:sz w:val="22"/>
          <w:szCs w:val="22"/>
          <w:u w:val="single"/>
        </w:rPr>
      </w:pPr>
      <w:bookmarkStart w:id="211" w:name="H5_Financial_instruments_measured_at_fai"/>
      <w:bookmarkEnd w:id="210"/>
    </w:p>
    <w:p w14:paraId="08DB5466" w14:textId="182BA082" w:rsidR="00C35D07" w:rsidRPr="006846D9" w:rsidRDefault="006846D9" w:rsidP="00C01E5D">
      <w:pPr>
        <w:ind w:left="720"/>
        <w:jc w:val="both"/>
        <w:outlineLvl w:val="4"/>
        <w:rPr>
          <w:sz w:val="22"/>
          <w:szCs w:val="22"/>
          <w:u w:val="single"/>
          <w:rtl/>
          <w:lang w:bidi="he-IL"/>
        </w:rPr>
      </w:pPr>
      <w:r w:rsidRPr="006846D9">
        <w:rPr>
          <w:sz w:val="22"/>
          <w:szCs w:val="22"/>
          <w:u w:val="single"/>
        </w:rPr>
        <w:t>Financial instruments measured at fair value for disclosure purposes only</w:t>
      </w:r>
    </w:p>
    <w:bookmarkEnd w:id="211"/>
    <w:p w14:paraId="69346F8E" w14:textId="77777777" w:rsidR="00513BE8" w:rsidRDefault="00513BE8" w:rsidP="00CC3670">
      <w:pPr>
        <w:ind w:left="720"/>
        <w:jc w:val="both"/>
        <w:rPr>
          <w:sz w:val="22"/>
          <w:szCs w:val="22"/>
        </w:rPr>
      </w:pPr>
    </w:p>
    <w:p w14:paraId="2845FA95" w14:textId="7D8B6F29" w:rsidR="00C35D07" w:rsidRPr="00F02921" w:rsidRDefault="00C35D07" w:rsidP="00CC3670">
      <w:pPr>
        <w:ind w:left="720"/>
        <w:jc w:val="both"/>
        <w:rPr>
          <w:sz w:val="22"/>
          <w:szCs w:val="22"/>
        </w:rPr>
      </w:pPr>
      <w:r w:rsidRPr="00C315B3">
        <w:rPr>
          <w:sz w:val="22"/>
          <w:szCs w:val="22"/>
        </w:rPr>
        <w:t>The book value of certain financial assets and liabilities, including cash and cash equivalents, tra</w:t>
      </w:r>
      <w:r w:rsidR="00F33EC5" w:rsidRPr="00C315B3">
        <w:rPr>
          <w:sz w:val="22"/>
          <w:szCs w:val="22"/>
        </w:rPr>
        <w:t>de and other receivables, short-</w:t>
      </w:r>
      <w:r w:rsidRPr="00C315B3">
        <w:rPr>
          <w:sz w:val="22"/>
          <w:szCs w:val="22"/>
        </w:rPr>
        <w:t xml:space="preserve">term interest-bearing loans and borrowings, </w:t>
      </w:r>
      <w:r w:rsidR="00C315B3" w:rsidRPr="00C315B3">
        <w:rPr>
          <w:sz w:val="22"/>
          <w:szCs w:val="22"/>
        </w:rPr>
        <w:t>loans and borrowings from related parties,</w:t>
      </w:r>
      <w:r w:rsidR="00C315B3" w:rsidRPr="00C315B3" w:rsidDel="00C315B3">
        <w:rPr>
          <w:sz w:val="22"/>
          <w:szCs w:val="22"/>
        </w:rPr>
        <w:t xml:space="preserve"> </w:t>
      </w:r>
      <w:r w:rsidR="00C315B3" w:rsidRPr="00C315B3">
        <w:rPr>
          <w:sz w:val="22"/>
          <w:szCs w:val="22"/>
        </w:rPr>
        <w:t xml:space="preserve">trade </w:t>
      </w:r>
      <w:r w:rsidRPr="00C315B3">
        <w:rPr>
          <w:sz w:val="22"/>
          <w:szCs w:val="22"/>
        </w:rPr>
        <w:t>and other payables</w:t>
      </w:r>
      <w:r w:rsidR="00CC3670">
        <w:rPr>
          <w:sz w:val="22"/>
          <w:szCs w:val="22"/>
        </w:rPr>
        <w:t xml:space="preserve"> </w:t>
      </w:r>
      <w:r w:rsidRPr="00C315B3">
        <w:rPr>
          <w:sz w:val="22"/>
          <w:szCs w:val="22"/>
        </w:rPr>
        <w:t>are equal or approximate to their fair value.</w:t>
      </w:r>
    </w:p>
    <w:p w14:paraId="1FAAE200" w14:textId="77777777" w:rsidR="00C35D07" w:rsidRPr="00F02921" w:rsidRDefault="00C35D07" w:rsidP="0049416F">
      <w:pPr>
        <w:ind w:left="720"/>
        <w:jc w:val="both"/>
        <w:rPr>
          <w:sz w:val="22"/>
          <w:szCs w:val="22"/>
        </w:rPr>
      </w:pPr>
    </w:p>
    <w:p w14:paraId="79ACD27E" w14:textId="77777777" w:rsidR="00C35D07" w:rsidRPr="00F02921" w:rsidRDefault="00C35D07" w:rsidP="0049416F">
      <w:pPr>
        <w:ind w:left="720"/>
        <w:jc w:val="both"/>
        <w:rPr>
          <w:sz w:val="22"/>
          <w:szCs w:val="22"/>
        </w:rPr>
      </w:pPr>
      <w:r w:rsidRPr="00F02921">
        <w:rPr>
          <w:sz w:val="22"/>
          <w:szCs w:val="22"/>
        </w:rPr>
        <w:t xml:space="preserve">The fair values of the remaining financial assets and liabilities and </w:t>
      </w:r>
      <w:proofErr w:type="gramStart"/>
      <w:r w:rsidRPr="00F02921">
        <w:rPr>
          <w:sz w:val="22"/>
          <w:szCs w:val="22"/>
        </w:rPr>
        <w:t>their book</w:t>
      </w:r>
      <w:proofErr w:type="gramEnd"/>
      <w:r w:rsidRPr="00F02921">
        <w:rPr>
          <w:sz w:val="22"/>
          <w:szCs w:val="22"/>
        </w:rPr>
        <w:t xml:space="preserve"> values as presented in the statement of financial position are as follows:</w:t>
      </w:r>
    </w:p>
    <w:p w14:paraId="76142A53" w14:textId="77777777" w:rsidR="00C35D07" w:rsidRPr="00F02921" w:rsidRDefault="00C35D07" w:rsidP="004A3C21">
      <w:pPr>
        <w:ind w:left="720"/>
        <w:jc w:val="both"/>
        <w:rPr>
          <w:rStyle w:val="Koteret"/>
          <w:sz w:val="10"/>
          <w:szCs w:val="10"/>
          <w:highlight w:val="yellow"/>
          <w:rtl/>
          <w:lang w:bidi="he-IL"/>
        </w:rPr>
      </w:pPr>
    </w:p>
    <w:p w14:paraId="7EA8AA69" w14:textId="77777777" w:rsidR="00C35D07" w:rsidRPr="00F02921" w:rsidRDefault="00C35D07" w:rsidP="004A3C21">
      <w:pPr>
        <w:ind w:left="720"/>
        <w:jc w:val="both"/>
        <w:rPr>
          <w:rStyle w:val="Koteret"/>
          <w:b w:val="0"/>
          <w:bCs/>
          <w:i/>
          <w:iCs/>
          <w:rtl/>
          <w:lang w:bidi="he-IL"/>
        </w:rPr>
      </w:pPr>
      <w:r w:rsidRPr="00F02921">
        <w:rPr>
          <w:rStyle w:val="Koteret"/>
          <w:b w:val="0"/>
          <w:bCs/>
          <w:i/>
          <w:iCs/>
        </w:rPr>
        <w:t>In thousands of Euros</w:t>
      </w:r>
    </w:p>
    <w:tbl>
      <w:tblPr>
        <w:tblW w:w="0" w:type="auto"/>
        <w:tblInd w:w="720" w:type="dxa"/>
        <w:tblLayout w:type="fixed"/>
        <w:tblLook w:val="06A0" w:firstRow="1" w:lastRow="0" w:firstColumn="1" w:lastColumn="0" w:noHBand="1" w:noVBand="1"/>
        <w:tblCaption w:val="AHR02"/>
        <w:tblDescription w:val="The fair values of the remaining financial assets and liabilities and their book values "/>
      </w:tblPr>
      <w:tblGrid>
        <w:gridCol w:w="3036"/>
        <w:gridCol w:w="1374"/>
        <w:gridCol w:w="1375"/>
        <w:gridCol w:w="1374"/>
        <w:gridCol w:w="1375"/>
      </w:tblGrid>
      <w:tr w:rsidR="005101BC" w:rsidRPr="006846D9" w14:paraId="1BAA14F9" w14:textId="77777777" w:rsidTr="005101BC">
        <w:trPr>
          <w:cantSplit/>
          <w:trHeight w:val="270"/>
          <w:tblHeader/>
        </w:trPr>
        <w:tc>
          <w:tcPr>
            <w:tcW w:w="3036" w:type="dxa"/>
            <w:vMerge w:val="restart"/>
            <w:shd w:val="clear" w:color="auto" w:fill="auto"/>
            <w:noWrap/>
            <w:vAlign w:val="bottom"/>
            <w:hideMark/>
          </w:tcPr>
          <w:p w14:paraId="279E6C84" w14:textId="77777777" w:rsidR="005101BC" w:rsidRPr="006846D9" w:rsidRDefault="005101BC">
            <w:pPr>
              <w:spacing w:before="40"/>
              <w:rPr>
                <w:rFonts w:ascii="Arial" w:eastAsia="Arial" w:hAnsi="Arial" w:cs="Arial"/>
                <w:sz w:val="20"/>
              </w:rPr>
            </w:pPr>
            <w:bookmarkStart w:id="212" w:name="Title_59" w:colFirst="0" w:colLast="0"/>
          </w:p>
        </w:tc>
        <w:tc>
          <w:tcPr>
            <w:tcW w:w="2749" w:type="dxa"/>
            <w:gridSpan w:val="2"/>
            <w:shd w:val="clear" w:color="auto" w:fill="auto"/>
            <w:noWrap/>
            <w:vAlign w:val="bottom"/>
            <w:hideMark/>
          </w:tcPr>
          <w:p w14:paraId="03B5CCDD" w14:textId="20CACBD5" w:rsidR="005101BC" w:rsidRPr="006846D9" w:rsidRDefault="005101BC" w:rsidP="00513BE8">
            <w:pPr>
              <w:pBdr>
                <w:bottom w:val="single" w:sz="4" w:space="0" w:color="000000"/>
              </w:pBdr>
              <w:bidi/>
              <w:spacing w:before="40"/>
              <w:ind w:left="57"/>
              <w:jc w:val="center"/>
              <w:rPr>
                <w:b/>
                <w:bCs/>
                <w:sz w:val="20"/>
              </w:rPr>
            </w:pPr>
            <w:r w:rsidRPr="006846D9">
              <w:rPr>
                <w:b/>
                <w:bCs/>
                <w:color w:val="000000"/>
                <w:sz w:val="20"/>
              </w:rPr>
              <w:t xml:space="preserve">December 31, </w:t>
            </w:r>
            <w:r>
              <w:rPr>
                <w:b/>
                <w:bCs/>
                <w:color w:val="000000"/>
                <w:sz w:val="20"/>
              </w:rPr>
              <w:t>2024</w:t>
            </w:r>
          </w:p>
        </w:tc>
        <w:tc>
          <w:tcPr>
            <w:tcW w:w="2749" w:type="dxa"/>
            <w:gridSpan w:val="2"/>
            <w:shd w:val="clear" w:color="auto" w:fill="auto"/>
            <w:noWrap/>
            <w:vAlign w:val="bottom"/>
            <w:hideMark/>
          </w:tcPr>
          <w:p w14:paraId="7080E3A5" w14:textId="0596503E" w:rsidR="005101BC" w:rsidRPr="006846D9" w:rsidRDefault="005101BC" w:rsidP="00513BE8">
            <w:pPr>
              <w:pBdr>
                <w:bottom w:val="single" w:sz="4" w:space="0" w:color="000000"/>
              </w:pBdr>
              <w:bidi/>
              <w:spacing w:before="40"/>
              <w:ind w:left="57"/>
              <w:jc w:val="center"/>
              <w:rPr>
                <w:b/>
                <w:bCs/>
                <w:sz w:val="20"/>
              </w:rPr>
            </w:pPr>
            <w:r w:rsidRPr="006846D9">
              <w:rPr>
                <w:b/>
                <w:bCs/>
                <w:color w:val="000000"/>
                <w:sz w:val="20"/>
              </w:rPr>
              <w:t xml:space="preserve">December 31, </w:t>
            </w:r>
            <w:r>
              <w:rPr>
                <w:b/>
                <w:bCs/>
                <w:color w:val="000000"/>
                <w:sz w:val="20"/>
              </w:rPr>
              <w:t>202</w:t>
            </w:r>
            <w:r>
              <w:rPr>
                <w:b/>
                <w:bCs/>
                <w:sz w:val="20"/>
              </w:rPr>
              <w:t>3</w:t>
            </w:r>
          </w:p>
        </w:tc>
      </w:tr>
      <w:bookmarkEnd w:id="212"/>
      <w:tr w:rsidR="005101BC" w:rsidRPr="006846D9" w14:paraId="2D84EDB1" w14:textId="77777777" w:rsidTr="005101BC">
        <w:trPr>
          <w:cantSplit/>
          <w:trHeight w:val="550"/>
          <w:tblHeader/>
        </w:trPr>
        <w:tc>
          <w:tcPr>
            <w:tcW w:w="3036" w:type="dxa"/>
            <w:vMerge/>
            <w:shd w:val="clear" w:color="auto" w:fill="auto"/>
            <w:noWrap/>
            <w:vAlign w:val="bottom"/>
            <w:hideMark/>
          </w:tcPr>
          <w:p w14:paraId="66F35AD0" w14:textId="77777777" w:rsidR="005101BC" w:rsidRPr="006846D9" w:rsidRDefault="005101BC">
            <w:pPr>
              <w:spacing w:before="40"/>
              <w:rPr>
                <w:rFonts w:ascii="Arial" w:eastAsia="Arial" w:hAnsi="Arial" w:cs="Arial"/>
                <w:sz w:val="20"/>
              </w:rPr>
            </w:pPr>
          </w:p>
        </w:tc>
        <w:tc>
          <w:tcPr>
            <w:tcW w:w="1374" w:type="dxa"/>
            <w:shd w:val="clear" w:color="auto" w:fill="auto"/>
            <w:noWrap/>
            <w:vAlign w:val="bottom"/>
            <w:hideMark/>
          </w:tcPr>
          <w:p w14:paraId="2C12DA1D" w14:textId="77777777" w:rsidR="005101BC" w:rsidRPr="006846D9" w:rsidRDefault="005101BC" w:rsidP="00513BE8">
            <w:pPr>
              <w:spacing w:before="40"/>
              <w:jc w:val="center"/>
              <w:rPr>
                <w:b/>
                <w:bCs/>
                <w:sz w:val="20"/>
              </w:rPr>
            </w:pPr>
            <w:r w:rsidRPr="006846D9">
              <w:rPr>
                <w:b/>
                <w:bCs/>
                <w:color w:val="000000"/>
                <w:sz w:val="20"/>
              </w:rPr>
              <w:t>Carrying</w:t>
            </w:r>
          </w:p>
          <w:p w14:paraId="20EFCCE8" w14:textId="6A466007" w:rsidR="005101BC" w:rsidRPr="006846D9" w:rsidRDefault="005101BC" w:rsidP="00513BE8">
            <w:pPr>
              <w:pBdr>
                <w:bottom w:val="single" w:sz="4" w:space="0" w:color="000000"/>
              </w:pBdr>
              <w:spacing w:before="40"/>
              <w:jc w:val="center"/>
              <w:rPr>
                <w:b/>
                <w:bCs/>
                <w:sz w:val="20"/>
              </w:rPr>
            </w:pPr>
            <w:r w:rsidRPr="006846D9">
              <w:rPr>
                <w:b/>
                <w:bCs/>
                <w:color w:val="000000"/>
                <w:sz w:val="20"/>
              </w:rPr>
              <w:t>amount</w:t>
            </w:r>
          </w:p>
        </w:tc>
        <w:tc>
          <w:tcPr>
            <w:tcW w:w="1375" w:type="dxa"/>
            <w:shd w:val="clear" w:color="auto" w:fill="auto"/>
            <w:noWrap/>
            <w:vAlign w:val="bottom"/>
            <w:hideMark/>
          </w:tcPr>
          <w:p w14:paraId="2954D487" w14:textId="77777777" w:rsidR="005101BC" w:rsidRPr="006846D9" w:rsidRDefault="005101BC" w:rsidP="00513BE8">
            <w:pPr>
              <w:spacing w:before="40"/>
              <w:jc w:val="center"/>
              <w:rPr>
                <w:b/>
                <w:bCs/>
                <w:sz w:val="20"/>
              </w:rPr>
            </w:pPr>
            <w:r w:rsidRPr="006846D9">
              <w:rPr>
                <w:b/>
                <w:bCs/>
                <w:color w:val="000000"/>
                <w:sz w:val="20"/>
              </w:rPr>
              <w:t>Fair</w:t>
            </w:r>
          </w:p>
          <w:p w14:paraId="2A94B6FA" w14:textId="366A0F71" w:rsidR="005101BC" w:rsidRPr="006846D9" w:rsidRDefault="005101BC" w:rsidP="00513BE8">
            <w:pPr>
              <w:pBdr>
                <w:bottom w:val="single" w:sz="4" w:space="0" w:color="000000"/>
              </w:pBdr>
              <w:spacing w:before="40"/>
              <w:jc w:val="center"/>
              <w:rPr>
                <w:b/>
                <w:bCs/>
                <w:sz w:val="20"/>
              </w:rPr>
            </w:pPr>
            <w:r w:rsidRPr="006846D9">
              <w:rPr>
                <w:b/>
                <w:bCs/>
                <w:color w:val="000000"/>
                <w:sz w:val="20"/>
              </w:rPr>
              <w:t>value</w:t>
            </w:r>
          </w:p>
        </w:tc>
        <w:tc>
          <w:tcPr>
            <w:tcW w:w="1374" w:type="dxa"/>
            <w:shd w:val="clear" w:color="auto" w:fill="auto"/>
            <w:noWrap/>
            <w:vAlign w:val="bottom"/>
            <w:hideMark/>
          </w:tcPr>
          <w:p w14:paraId="329C0008" w14:textId="77777777" w:rsidR="005101BC" w:rsidRPr="006846D9" w:rsidRDefault="005101BC" w:rsidP="00513BE8">
            <w:pPr>
              <w:spacing w:before="40"/>
              <w:jc w:val="center"/>
              <w:rPr>
                <w:b/>
                <w:bCs/>
                <w:sz w:val="20"/>
              </w:rPr>
            </w:pPr>
            <w:r w:rsidRPr="006846D9">
              <w:rPr>
                <w:b/>
                <w:bCs/>
                <w:color w:val="000000"/>
                <w:sz w:val="20"/>
              </w:rPr>
              <w:t>Carrying</w:t>
            </w:r>
          </w:p>
          <w:p w14:paraId="263C4E5E" w14:textId="25BA0721" w:rsidR="005101BC" w:rsidRPr="006846D9" w:rsidRDefault="005101BC" w:rsidP="00513BE8">
            <w:pPr>
              <w:pBdr>
                <w:bottom w:val="single" w:sz="4" w:space="0" w:color="000000"/>
              </w:pBdr>
              <w:spacing w:before="40"/>
              <w:jc w:val="center"/>
              <w:rPr>
                <w:b/>
                <w:bCs/>
                <w:sz w:val="20"/>
              </w:rPr>
            </w:pPr>
            <w:r w:rsidRPr="006846D9">
              <w:rPr>
                <w:b/>
                <w:bCs/>
                <w:color w:val="000000"/>
                <w:sz w:val="20"/>
              </w:rPr>
              <w:t>amount</w:t>
            </w:r>
          </w:p>
        </w:tc>
        <w:tc>
          <w:tcPr>
            <w:tcW w:w="1375" w:type="dxa"/>
            <w:shd w:val="clear" w:color="auto" w:fill="auto"/>
            <w:noWrap/>
            <w:vAlign w:val="bottom"/>
            <w:hideMark/>
          </w:tcPr>
          <w:p w14:paraId="2662C3EE" w14:textId="77777777" w:rsidR="005101BC" w:rsidRPr="006846D9" w:rsidRDefault="005101BC" w:rsidP="00513BE8">
            <w:pPr>
              <w:spacing w:before="40"/>
              <w:jc w:val="center"/>
              <w:rPr>
                <w:b/>
                <w:bCs/>
                <w:sz w:val="20"/>
              </w:rPr>
            </w:pPr>
            <w:r w:rsidRPr="006846D9">
              <w:rPr>
                <w:b/>
                <w:bCs/>
                <w:color w:val="000000"/>
                <w:sz w:val="20"/>
              </w:rPr>
              <w:t>Fair</w:t>
            </w:r>
          </w:p>
          <w:p w14:paraId="729732CE" w14:textId="36033D54" w:rsidR="005101BC" w:rsidRPr="006846D9" w:rsidRDefault="005101BC" w:rsidP="00513BE8">
            <w:pPr>
              <w:pBdr>
                <w:bottom w:val="single" w:sz="4" w:space="0" w:color="000000"/>
              </w:pBdr>
              <w:spacing w:before="40"/>
              <w:jc w:val="center"/>
              <w:rPr>
                <w:b/>
                <w:bCs/>
                <w:sz w:val="20"/>
              </w:rPr>
            </w:pPr>
            <w:r w:rsidRPr="006846D9">
              <w:rPr>
                <w:b/>
                <w:bCs/>
                <w:color w:val="000000"/>
                <w:sz w:val="20"/>
              </w:rPr>
              <w:t>value</w:t>
            </w:r>
          </w:p>
        </w:tc>
      </w:tr>
      <w:tr w:rsidR="00E7627C" w:rsidRPr="006846D9" w14:paraId="382006D2" w14:textId="77777777" w:rsidTr="005101BC">
        <w:trPr>
          <w:trHeight w:val="316"/>
        </w:trPr>
        <w:tc>
          <w:tcPr>
            <w:tcW w:w="3036" w:type="dxa"/>
            <w:shd w:val="clear" w:color="auto" w:fill="auto"/>
            <w:noWrap/>
            <w:vAlign w:val="bottom"/>
            <w:hideMark/>
          </w:tcPr>
          <w:p w14:paraId="1B893DE0" w14:textId="4735A953" w:rsidR="00E7627C" w:rsidRPr="006846D9" w:rsidRDefault="00E7627C" w:rsidP="00E7627C">
            <w:pPr>
              <w:spacing w:before="40"/>
              <w:rPr>
                <w:sz w:val="22"/>
                <w:szCs w:val="22"/>
              </w:rPr>
            </w:pPr>
            <w:r>
              <w:rPr>
                <w:color w:val="000000"/>
                <w:sz w:val="22"/>
                <w:szCs w:val="22"/>
              </w:rPr>
              <w:t>Non-current s</w:t>
            </w:r>
            <w:r w:rsidRPr="006846D9">
              <w:rPr>
                <w:color w:val="000000"/>
                <w:sz w:val="22"/>
                <w:szCs w:val="22"/>
              </w:rPr>
              <w:t>ecured bank loans</w:t>
            </w:r>
          </w:p>
        </w:tc>
        <w:tc>
          <w:tcPr>
            <w:tcW w:w="1374" w:type="dxa"/>
            <w:shd w:val="clear" w:color="auto" w:fill="auto"/>
            <w:noWrap/>
          </w:tcPr>
          <w:p w14:paraId="7B178886" w14:textId="778E3248" w:rsidR="00E7627C" w:rsidRPr="00E7627C" w:rsidRDefault="00E7627C" w:rsidP="00E7627C">
            <w:pPr>
              <w:spacing w:before="40"/>
              <w:jc w:val="right"/>
              <w:rPr>
                <w:b/>
                <w:bCs/>
                <w:sz w:val="22"/>
                <w:szCs w:val="22"/>
                <w:highlight w:val="yellow"/>
              </w:rPr>
            </w:pPr>
            <w:r w:rsidRPr="00E7627C">
              <w:rPr>
                <w:sz w:val="22"/>
                <w:szCs w:val="22"/>
              </w:rPr>
              <w:t>1,208,529</w:t>
            </w:r>
          </w:p>
        </w:tc>
        <w:tc>
          <w:tcPr>
            <w:tcW w:w="1375" w:type="dxa"/>
            <w:shd w:val="clear" w:color="auto" w:fill="auto"/>
            <w:noWrap/>
          </w:tcPr>
          <w:p w14:paraId="50DD67D4" w14:textId="252BE992" w:rsidR="00E7627C" w:rsidRPr="00E7627C" w:rsidRDefault="00E7627C" w:rsidP="00E7627C">
            <w:pPr>
              <w:spacing w:before="40"/>
              <w:jc w:val="right"/>
              <w:rPr>
                <w:b/>
                <w:bCs/>
                <w:sz w:val="22"/>
                <w:szCs w:val="22"/>
                <w:highlight w:val="yellow"/>
              </w:rPr>
            </w:pPr>
            <w:r w:rsidRPr="00E7627C">
              <w:rPr>
                <w:sz w:val="22"/>
                <w:szCs w:val="22"/>
              </w:rPr>
              <w:t>1,204,445</w:t>
            </w:r>
          </w:p>
        </w:tc>
        <w:tc>
          <w:tcPr>
            <w:tcW w:w="1374" w:type="dxa"/>
            <w:shd w:val="clear" w:color="auto" w:fill="auto"/>
            <w:noWrap/>
            <w:vAlign w:val="bottom"/>
          </w:tcPr>
          <w:p w14:paraId="58E50043" w14:textId="2E3AD9B3" w:rsidR="00E7627C" w:rsidRPr="00513BE8" w:rsidRDefault="00E7627C" w:rsidP="00E7627C">
            <w:pPr>
              <w:spacing w:before="40"/>
              <w:jc w:val="right"/>
              <w:rPr>
                <w:sz w:val="22"/>
                <w:szCs w:val="22"/>
              </w:rPr>
            </w:pPr>
            <w:r>
              <w:rPr>
                <w:color w:val="000000"/>
                <w:sz w:val="22"/>
                <w:szCs w:val="22"/>
              </w:rPr>
              <w:t>1,131,798</w:t>
            </w:r>
          </w:p>
        </w:tc>
        <w:tc>
          <w:tcPr>
            <w:tcW w:w="1375" w:type="dxa"/>
            <w:shd w:val="clear" w:color="auto" w:fill="auto"/>
            <w:noWrap/>
            <w:vAlign w:val="bottom"/>
          </w:tcPr>
          <w:p w14:paraId="6447F8C8" w14:textId="0024835C" w:rsidR="00E7627C" w:rsidRPr="00513BE8" w:rsidRDefault="00E7627C" w:rsidP="00E7627C">
            <w:pPr>
              <w:spacing w:before="40"/>
              <w:jc w:val="right"/>
              <w:rPr>
                <w:sz w:val="22"/>
                <w:szCs w:val="22"/>
              </w:rPr>
            </w:pPr>
            <w:r>
              <w:rPr>
                <w:color w:val="000000"/>
                <w:sz w:val="22"/>
                <w:szCs w:val="22"/>
              </w:rPr>
              <w:t>1,124,515</w:t>
            </w:r>
          </w:p>
        </w:tc>
      </w:tr>
      <w:tr w:rsidR="00E7627C" w:rsidRPr="006846D9" w14:paraId="394C7925" w14:textId="77777777" w:rsidTr="005101BC">
        <w:trPr>
          <w:trHeight w:val="316"/>
        </w:trPr>
        <w:tc>
          <w:tcPr>
            <w:tcW w:w="3036" w:type="dxa"/>
            <w:shd w:val="clear" w:color="auto" w:fill="auto"/>
            <w:noWrap/>
            <w:vAlign w:val="bottom"/>
          </w:tcPr>
          <w:p w14:paraId="3F17BE51" w14:textId="0569A99C" w:rsidR="00E7627C" w:rsidRDefault="00E7627C" w:rsidP="00E7627C">
            <w:pPr>
              <w:spacing w:before="40"/>
              <w:rPr>
                <w:color w:val="000000"/>
                <w:sz w:val="22"/>
                <w:szCs w:val="22"/>
              </w:rPr>
            </w:pPr>
            <w:r w:rsidRPr="00C31906">
              <w:rPr>
                <w:color w:val="000000"/>
                <w:sz w:val="22"/>
                <w:szCs w:val="22"/>
              </w:rPr>
              <w:t>Corporate loan</w:t>
            </w:r>
          </w:p>
        </w:tc>
        <w:tc>
          <w:tcPr>
            <w:tcW w:w="1374" w:type="dxa"/>
            <w:shd w:val="clear" w:color="auto" w:fill="auto"/>
            <w:noWrap/>
          </w:tcPr>
          <w:p w14:paraId="0CECEFC9" w14:textId="20AC51CB" w:rsidR="00E7627C" w:rsidRPr="00E7627C" w:rsidRDefault="00E7627C" w:rsidP="00E7627C">
            <w:pPr>
              <w:spacing w:before="40"/>
              <w:jc w:val="right"/>
              <w:rPr>
                <w:b/>
                <w:bCs/>
                <w:sz w:val="22"/>
                <w:szCs w:val="22"/>
                <w:highlight w:val="yellow"/>
              </w:rPr>
            </w:pPr>
            <w:r w:rsidRPr="00E7627C">
              <w:rPr>
                <w:sz w:val="22"/>
                <w:szCs w:val="22"/>
              </w:rPr>
              <w:t>88,126</w:t>
            </w:r>
          </w:p>
        </w:tc>
        <w:tc>
          <w:tcPr>
            <w:tcW w:w="1375" w:type="dxa"/>
            <w:shd w:val="clear" w:color="auto" w:fill="auto"/>
            <w:noWrap/>
          </w:tcPr>
          <w:p w14:paraId="78B7BAFF" w14:textId="0DCAA4BA" w:rsidR="00E7627C" w:rsidRPr="00E7627C" w:rsidRDefault="00E7627C" w:rsidP="00E7627C">
            <w:pPr>
              <w:spacing w:before="40"/>
              <w:jc w:val="right"/>
              <w:rPr>
                <w:b/>
                <w:bCs/>
                <w:sz w:val="22"/>
                <w:szCs w:val="22"/>
                <w:highlight w:val="yellow"/>
              </w:rPr>
            </w:pPr>
            <w:r w:rsidRPr="00E7627C">
              <w:rPr>
                <w:sz w:val="22"/>
                <w:szCs w:val="22"/>
              </w:rPr>
              <w:t>84,551</w:t>
            </w:r>
          </w:p>
        </w:tc>
        <w:tc>
          <w:tcPr>
            <w:tcW w:w="1374" w:type="dxa"/>
            <w:shd w:val="clear" w:color="auto" w:fill="auto"/>
            <w:noWrap/>
            <w:vAlign w:val="bottom"/>
          </w:tcPr>
          <w:p w14:paraId="3B8DC5B1" w14:textId="325E5BCC" w:rsidR="00E7627C" w:rsidRPr="00513BE8" w:rsidRDefault="00E7627C" w:rsidP="00E7627C">
            <w:pPr>
              <w:spacing w:before="40"/>
              <w:jc w:val="right"/>
              <w:rPr>
                <w:sz w:val="22"/>
                <w:szCs w:val="22"/>
              </w:rPr>
            </w:pPr>
            <w:r>
              <w:rPr>
                <w:sz w:val="22"/>
                <w:szCs w:val="22"/>
              </w:rPr>
              <w:t>92,530</w:t>
            </w:r>
          </w:p>
        </w:tc>
        <w:tc>
          <w:tcPr>
            <w:tcW w:w="1375" w:type="dxa"/>
            <w:shd w:val="clear" w:color="auto" w:fill="auto"/>
            <w:noWrap/>
            <w:vAlign w:val="bottom"/>
          </w:tcPr>
          <w:p w14:paraId="48E5F749" w14:textId="029BFE5B" w:rsidR="00E7627C" w:rsidRPr="00513BE8" w:rsidRDefault="00E7627C" w:rsidP="00E7627C">
            <w:pPr>
              <w:spacing w:before="40"/>
              <w:jc w:val="right"/>
              <w:rPr>
                <w:sz w:val="22"/>
                <w:szCs w:val="22"/>
              </w:rPr>
            </w:pPr>
            <w:r>
              <w:rPr>
                <w:color w:val="000000"/>
                <w:sz w:val="22"/>
                <w:szCs w:val="22"/>
              </w:rPr>
              <w:t>87,896</w:t>
            </w:r>
          </w:p>
        </w:tc>
      </w:tr>
    </w:tbl>
    <w:p w14:paraId="6D431250" w14:textId="77777777" w:rsidR="007958E3" w:rsidRDefault="007958E3" w:rsidP="007958E3">
      <w:pPr>
        <w:ind w:left="720"/>
        <w:jc w:val="both"/>
        <w:rPr>
          <w:b/>
          <w:bCs/>
          <w:sz w:val="22"/>
          <w:szCs w:val="22"/>
        </w:rPr>
      </w:pPr>
    </w:p>
    <w:p w14:paraId="41226C97" w14:textId="77777777" w:rsidR="007958E3" w:rsidRPr="00513BE8" w:rsidRDefault="007958E3" w:rsidP="007958E3">
      <w:pPr>
        <w:rPr>
          <w:b/>
          <w:bCs/>
          <w:sz w:val="22"/>
          <w:szCs w:val="22"/>
        </w:rPr>
      </w:pPr>
      <w:r w:rsidRPr="00513BE8">
        <w:rPr>
          <w:b/>
          <w:bCs/>
          <w:sz w:val="22"/>
          <w:szCs w:val="22"/>
        </w:rPr>
        <w:t>Note 21 - Financial Instruments (cont’d)</w:t>
      </w:r>
    </w:p>
    <w:p w14:paraId="6C1247BB" w14:textId="77777777" w:rsidR="00A95416" w:rsidRPr="00F02921" w:rsidRDefault="00A95416" w:rsidP="00A95416">
      <w:pPr>
        <w:ind w:left="720"/>
        <w:jc w:val="both"/>
        <w:rPr>
          <w:b/>
          <w:bCs/>
          <w:sz w:val="22"/>
          <w:szCs w:val="22"/>
        </w:rPr>
      </w:pPr>
    </w:p>
    <w:p w14:paraId="1456D4F6" w14:textId="1582E60A" w:rsidR="00A95416" w:rsidRPr="00F02921" w:rsidRDefault="00A95416" w:rsidP="006C5CAB">
      <w:pPr>
        <w:ind w:left="567" w:hanging="567"/>
        <w:jc w:val="both"/>
        <w:rPr>
          <w:b/>
          <w:bCs/>
          <w:sz w:val="22"/>
          <w:szCs w:val="22"/>
        </w:rPr>
      </w:pPr>
      <w:r>
        <w:rPr>
          <w:b/>
          <w:bCs/>
          <w:sz w:val="22"/>
          <w:szCs w:val="22"/>
        </w:rPr>
        <w:t>E</w:t>
      </w:r>
      <w:r w:rsidRPr="00C435F7">
        <w:rPr>
          <w:b/>
          <w:bCs/>
          <w:sz w:val="22"/>
          <w:szCs w:val="22"/>
        </w:rPr>
        <w:t>.</w:t>
      </w:r>
      <w:r w:rsidRPr="00C435F7">
        <w:rPr>
          <w:b/>
          <w:bCs/>
          <w:sz w:val="22"/>
          <w:szCs w:val="22"/>
        </w:rPr>
        <w:tab/>
      </w:r>
      <w:r w:rsidRPr="00F02921">
        <w:rPr>
          <w:b/>
          <w:bCs/>
          <w:sz w:val="22"/>
          <w:szCs w:val="22"/>
        </w:rPr>
        <w:t>Fair values</w:t>
      </w:r>
      <w:r>
        <w:rPr>
          <w:b/>
          <w:bCs/>
          <w:sz w:val="22"/>
          <w:szCs w:val="22"/>
        </w:rPr>
        <w:t xml:space="preserve"> (Cont.)</w:t>
      </w:r>
    </w:p>
    <w:p w14:paraId="098C7286" w14:textId="77777777" w:rsidR="00A95416" w:rsidRPr="00F02921" w:rsidRDefault="00A95416" w:rsidP="004A3C21">
      <w:pPr>
        <w:rPr>
          <w:sz w:val="22"/>
          <w:szCs w:val="22"/>
        </w:rPr>
      </w:pPr>
    </w:p>
    <w:p w14:paraId="34C14359" w14:textId="17054CCB" w:rsidR="00393761" w:rsidRDefault="00C35D07" w:rsidP="005F10B2">
      <w:pPr>
        <w:ind w:left="720"/>
        <w:jc w:val="both"/>
        <w:rPr>
          <w:b/>
          <w:bCs/>
          <w:sz w:val="26"/>
          <w:szCs w:val="26"/>
        </w:rPr>
      </w:pPr>
      <w:r w:rsidRPr="00F02921">
        <w:rPr>
          <w:sz w:val="22"/>
          <w:szCs w:val="22"/>
        </w:rPr>
        <w:t xml:space="preserve">The secured bank loans are defined as </w:t>
      </w:r>
      <w:r w:rsidR="00F33EC5">
        <w:rPr>
          <w:sz w:val="22"/>
          <w:szCs w:val="22"/>
        </w:rPr>
        <w:t>L</w:t>
      </w:r>
      <w:r w:rsidRPr="00F02921">
        <w:rPr>
          <w:sz w:val="22"/>
          <w:szCs w:val="22"/>
        </w:rPr>
        <w:t>evel 3 in the fair value hierarchy.</w:t>
      </w:r>
    </w:p>
    <w:p w14:paraId="3C6286CA" w14:textId="77777777" w:rsidR="002B51C1" w:rsidRPr="00377C8B" w:rsidRDefault="002B51C1" w:rsidP="00337189">
      <w:pPr>
        <w:rPr>
          <w:b/>
          <w:bCs/>
          <w:sz w:val="20"/>
        </w:rPr>
      </w:pPr>
    </w:p>
    <w:p w14:paraId="2AD9C342" w14:textId="77777777" w:rsidR="00C35D07" w:rsidRPr="002B51C1" w:rsidRDefault="00C35D07" w:rsidP="00C01E5D">
      <w:pPr>
        <w:ind w:left="720"/>
        <w:jc w:val="both"/>
        <w:outlineLvl w:val="4"/>
        <w:rPr>
          <w:sz w:val="22"/>
          <w:szCs w:val="22"/>
          <w:u w:val="single"/>
        </w:rPr>
      </w:pPr>
      <w:bookmarkStart w:id="213" w:name="H5_Valuation_techniques_for_determining_"/>
      <w:r w:rsidRPr="002B51C1">
        <w:rPr>
          <w:sz w:val="22"/>
          <w:szCs w:val="22"/>
          <w:u w:val="single"/>
        </w:rPr>
        <w:t xml:space="preserve">Valuation techniques for determining fair value </w:t>
      </w:r>
    </w:p>
    <w:bookmarkEnd w:id="213"/>
    <w:p w14:paraId="7F248693" w14:textId="11458909" w:rsidR="00C35D07" w:rsidRPr="00F02921" w:rsidRDefault="00C35D07" w:rsidP="004F3829">
      <w:pPr>
        <w:ind w:left="720"/>
        <w:jc w:val="both"/>
        <w:rPr>
          <w:sz w:val="22"/>
          <w:szCs w:val="22"/>
        </w:rPr>
      </w:pPr>
      <w:proofErr w:type="gramStart"/>
      <w:r w:rsidRPr="00F02921">
        <w:rPr>
          <w:sz w:val="22"/>
          <w:szCs w:val="22"/>
        </w:rPr>
        <w:t>Fair</w:t>
      </w:r>
      <w:proofErr w:type="gramEnd"/>
      <w:r w:rsidRPr="00F02921">
        <w:rPr>
          <w:sz w:val="22"/>
          <w:szCs w:val="22"/>
        </w:rPr>
        <w:t xml:space="preserve"> value of </w:t>
      </w:r>
      <w:r w:rsidRPr="00DA03BF">
        <w:rPr>
          <w:sz w:val="22"/>
          <w:szCs w:val="22"/>
        </w:rPr>
        <w:t>the non-current secured bank loans is</w:t>
      </w:r>
      <w:r w:rsidRPr="00F02921">
        <w:rPr>
          <w:sz w:val="22"/>
          <w:szCs w:val="22"/>
        </w:rPr>
        <w:t xml:space="preserve"> estimated by discounting future principal and interest cash flows by the market interest rate on the date of measurement. The interest rates used to discount estimated cash flows, where applicable, are based on the government yield curve at the reporting date plus an adequate credit spread, and were as follows</w:t>
      </w:r>
      <w:r w:rsidR="00F33EC5">
        <w:rPr>
          <w:sz w:val="22"/>
          <w:szCs w:val="22"/>
        </w:rPr>
        <w:t>:</w:t>
      </w:r>
    </w:p>
    <w:p w14:paraId="374BC02C" w14:textId="77777777" w:rsidR="00C35D07" w:rsidRPr="00F02921" w:rsidRDefault="00C35D07" w:rsidP="004A3C21">
      <w:pPr>
        <w:ind w:left="720"/>
        <w:jc w:val="both"/>
        <w:rPr>
          <w:sz w:val="10"/>
          <w:szCs w:val="10"/>
        </w:rPr>
      </w:pPr>
    </w:p>
    <w:p w14:paraId="70181ABE" w14:textId="77777777" w:rsidR="00C35D07" w:rsidRPr="00F02921" w:rsidRDefault="00C35D07" w:rsidP="004A3C21">
      <w:pPr>
        <w:ind w:left="720"/>
        <w:jc w:val="both"/>
        <w:rPr>
          <w:sz w:val="22"/>
          <w:szCs w:val="22"/>
        </w:rPr>
      </w:pPr>
      <w:r w:rsidRPr="00F02921">
        <w:rPr>
          <w:sz w:val="22"/>
          <w:szCs w:val="22"/>
        </w:rPr>
        <w:t>Interest rates used for determining fair value:</w:t>
      </w:r>
    </w:p>
    <w:p w14:paraId="67C6E528" w14:textId="77777777" w:rsidR="00C35D07" w:rsidRPr="00F02921" w:rsidRDefault="00C35D07" w:rsidP="004A3C21">
      <w:pPr>
        <w:ind w:left="720"/>
        <w:jc w:val="both"/>
        <w:rPr>
          <w:sz w:val="10"/>
          <w:szCs w:val="10"/>
        </w:rPr>
      </w:pPr>
    </w:p>
    <w:tbl>
      <w:tblPr>
        <w:tblW w:w="0" w:type="auto"/>
        <w:tblInd w:w="720" w:type="dxa"/>
        <w:tblLook w:val="06A0" w:firstRow="1" w:lastRow="0" w:firstColumn="1" w:lastColumn="0" w:noHBand="1" w:noVBand="1"/>
        <w:tblCaption w:val="AHR01"/>
        <w:tblDescription w:val="Valuation techniques for determining fair value "/>
      </w:tblPr>
      <w:tblGrid>
        <w:gridCol w:w="3846"/>
        <w:gridCol w:w="2552"/>
        <w:gridCol w:w="2520"/>
      </w:tblGrid>
      <w:tr w:rsidR="001141B2" w:rsidRPr="002B51C1" w14:paraId="44532A91" w14:textId="77777777" w:rsidTr="005101BC">
        <w:trPr>
          <w:cantSplit/>
          <w:trHeight w:val="240"/>
          <w:tblHeader/>
        </w:trPr>
        <w:tc>
          <w:tcPr>
            <w:tcW w:w="3846" w:type="dxa"/>
            <w:shd w:val="clear" w:color="auto" w:fill="auto"/>
            <w:noWrap/>
            <w:hideMark/>
          </w:tcPr>
          <w:p w14:paraId="54520C5E" w14:textId="77777777" w:rsidR="001141B2" w:rsidRPr="002B51C1" w:rsidRDefault="001141B2" w:rsidP="00513BE8">
            <w:pPr>
              <w:spacing w:before="40"/>
              <w:rPr>
                <w:rFonts w:ascii="Arial" w:eastAsia="Arial" w:hAnsi="Arial" w:cs="Arial"/>
                <w:sz w:val="22"/>
                <w:szCs w:val="22"/>
              </w:rPr>
            </w:pPr>
            <w:bookmarkStart w:id="214" w:name="Title_60" w:colFirst="0" w:colLast="0"/>
          </w:p>
        </w:tc>
        <w:tc>
          <w:tcPr>
            <w:tcW w:w="2552" w:type="dxa"/>
            <w:shd w:val="clear" w:color="auto" w:fill="auto"/>
            <w:vAlign w:val="bottom"/>
            <w:hideMark/>
          </w:tcPr>
          <w:p w14:paraId="6AB14E02" w14:textId="12314213" w:rsidR="001141B2" w:rsidRPr="002B51C1" w:rsidRDefault="00AD1E41" w:rsidP="00513BE8">
            <w:pPr>
              <w:pBdr>
                <w:bottom w:val="single" w:sz="4" w:space="0" w:color="000000"/>
              </w:pBdr>
              <w:bidi/>
              <w:spacing w:before="40"/>
              <w:ind w:left="57"/>
              <w:jc w:val="center"/>
              <w:rPr>
                <w:b/>
                <w:bCs/>
                <w:sz w:val="20"/>
              </w:rPr>
            </w:pPr>
            <w:r>
              <w:rPr>
                <w:b/>
                <w:bCs/>
                <w:color w:val="000000"/>
                <w:sz w:val="20"/>
              </w:rPr>
              <w:t>202</w:t>
            </w:r>
            <w:r w:rsidR="007958E3">
              <w:rPr>
                <w:b/>
                <w:bCs/>
                <w:color w:val="000000"/>
                <w:sz w:val="20"/>
              </w:rPr>
              <w:t>4</w:t>
            </w:r>
          </w:p>
        </w:tc>
        <w:tc>
          <w:tcPr>
            <w:tcW w:w="2520" w:type="dxa"/>
            <w:shd w:val="clear" w:color="auto" w:fill="auto"/>
            <w:vAlign w:val="bottom"/>
            <w:hideMark/>
          </w:tcPr>
          <w:p w14:paraId="2F0A9717" w14:textId="244BD944" w:rsidR="001141B2" w:rsidRPr="002B51C1" w:rsidRDefault="00AD1E41" w:rsidP="00513BE8">
            <w:pPr>
              <w:pBdr>
                <w:bottom w:val="single" w:sz="4" w:space="0" w:color="000000"/>
              </w:pBdr>
              <w:bidi/>
              <w:spacing w:before="40"/>
              <w:ind w:left="57"/>
              <w:jc w:val="center"/>
              <w:rPr>
                <w:b/>
                <w:bCs/>
                <w:sz w:val="20"/>
              </w:rPr>
            </w:pPr>
            <w:r>
              <w:rPr>
                <w:b/>
                <w:bCs/>
                <w:color w:val="000000"/>
                <w:sz w:val="20"/>
              </w:rPr>
              <w:t>202</w:t>
            </w:r>
            <w:r w:rsidR="007958E3">
              <w:rPr>
                <w:b/>
                <w:bCs/>
                <w:sz w:val="20"/>
              </w:rPr>
              <w:t>3</w:t>
            </w:r>
          </w:p>
        </w:tc>
      </w:tr>
      <w:bookmarkEnd w:id="214"/>
      <w:tr w:rsidR="00FE1379" w:rsidRPr="002B51C1" w14:paraId="36824833" w14:textId="77777777" w:rsidTr="005101BC">
        <w:trPr>
          <w:trHeight w:val="23"/>
        </w:trPr>
        <w:tc>
          <w:tcPr>
            <w:tcW w:w="3846" w:type="dxa"/>
            <w:shd w:val="clear" w:color="auto" w:fill="auto"/>
            <w:hideMark/>
          </w:tcPr>
          <w:p w14:paraId="4594D504" w14:textId="77777777" w:rsidR="00FE1379" w:rsidRPr="00011C3F" w:rsidRDefault="00FE1379" w:rsidP="00FE1379">
            <w:pPr>
              <w:spacing w:before="40"/>
              <w:rPr>
                <w:sz w:val="22"/>
                <w:szCs w:val="22"/>
              </w:rPr>
            </w:pPr>
            <w:r w:rsidRPr="00011C3F">
              <w:rPr>
                <w:color w:val="000000"/>
                <w:sz w:val="22"/>
                <w:szCs w:val="22"/>
              </w:rPr>
              <w:t>Loans and borrowings</w:t>
            </w:r>
          </w:p>
        </w:tc>
        <w:tc>
          <w:tcPr>
            <w:tcW w:w="2552" w:type="dxa"/>
            <w:shd w:val="clear" w:color="auto" w:fill="auto"/>
            <w:noWrap/>
            <w:vAlign w:val="center"/>
          </w:tcPr>
          <w:p w14:paraId="79BCDA35" w14:textId="10284E9E" w:rsidR="00FE1379" w:rsidRPr="00237FC5" w:rsidRDefault="00FE1379" w:rsidP="00FE1379">
            <w:pPr>
              <w:spacing w:before="40"/>
              <w:jc w:val="center"/>
              <w:rPr>
                <w:sz w:val="22"/>
                <w:szCs w:val="22"/>
              </w:rPr>
            </w:pPr>
            <w:r>
              <w:rPr>
                <w:color w:val="000000"/>
                <w:sz w:val="22"/>
                <w:szCs w:val="22"/>
              </w:rPr>
              <w:t>3M Euribor + 2.1%-3.35%</w:t>
            </w:r>
          </w:p>
        </w:tc>
        <w:tc>
          <w:tcPr>
            <w:tcW w:w="2520" w:type="dxa"/>
            <w:shd w:val="clear" w:color="auto" w:fill="auto"/>
            <w:noWrap/>
            <w:vAlign w:val="center"/>
          </w:tcPr>
          <w:p w14:paraId="5D0C28B3" w14:textId="266B51FD" w:rsidR="00FE1379" w:rsidRPr="00570E2C" w:rsidRDefault="00FE1379" w:rsidP="00FE1379">
            <w:pPr>
              <w:spacing w:before="40"/>
              <w:jc w:val="center"/>
              <w:rPr>
                <w:sz w:val="22"/>
                <w:szCs w:val="22"/>
              </w:rPr>
            </w:pPr>
            <w:r>
              <w:rPr>
                <w:color w:val="000000"/>
                <w:sz w:val="22"/>
                <w:szCs w:val="22"/>
              </w:rPr>
              <w:t>3M Euribor + 2.1%-3.35%</w:t>
            </w:r>
          </w:p>
        </w:tc>
      </w:tr>
      <w:tr w:rsidR="00FE1379" w:rsidRPr="002B51C1" w14:paraId="51FA91CF" w14:textId="77777777" w:rsidTr="005101BC">
        <w:trPr>
          <w:trHeight w:val="23"/>
        </w:trPr>
        <w:tc>
          <w:tcPr>
            <w:tcW w:w="3846" w:type="dxa"/>
            <w:shd w:val="clear" w:color="auto" w:fill="auto"/>
          </w:tcPr>
          <w:p w14:paraId="55147612" w14:textId="063A3AAF" w:rsidR="00FE1379" w:rsidRPr="00011C3F" w:rsidRDefault="00FE1379" w:rsidP="00FE1379">
            <w:pPr>
              <w:spacing w:before="40"/>
              <w:rPr>
                <w:color w:val="000000"/>
                <w:sz w:val="22"/>
                <w:szCs w:val="22"/>
              </w:rPr>
            </w:pPr>
            <w:r>
              <w:rPr>
                <w:color w:val="000000"/>
                <w:sz w:val="22"/>
                <w:szCs w:val="22"/>
              </w:rPr>
              <w:t>Corporate Loan</w:t>
            </w:r>
          </w:p>
        </w:tc>
        <w:tc>
          <w:tcPr>
            <w:tcW w:w="2552" w:type="dxa"/>
            <w:shd w:val="clear" w:color="auto" w:fill="auto"/>
            <w:noWrap/>
            <w:vAlign w:val="center"/>
          </w:tcPr>
          <w:p w14:paraId="0D0260F1" w14:textId="755CC2DC" w:rsidR="00FE1379" w:rsidRPr="00C31906" w:rsidRDefault="00FE1379" w:rsidP="00FE1379">
            <w:pPr>
              <w:spacing w:before="40"/>
              <w:jc w:val="center"/>
              <w:rPr>
                <w:sz w:val="22"/>
                <w:szCs w:val="22"/>
              </w:rPr>
            </w:pPr>
            <w:r>
              <w:rPr>
                <w:color w:val="000000"/>
                <w:sz w:val="22"/>
                <w:szCs w:val="22"/>
              </w:rPr>
              <w:t>6.7%</w:t>
            </w:r>
          </w:p>
        </w:tc>
        <w:tc>
          <w:tcPr>
            <w:tcW w:w="2520" w:type="dxa"/>
            <w:shd w:val="clear" w:color="auto" w:fill="auto"/>
            <w:noWrap/>
            <w:vAlign w:val="center"/>
          </w:tcPr>
          <w:p w14:paraId="2F4DAD35" w14:textId="5488C1E0" w:rsidR="00FE1379" w:rsidRPr="00493E21" w:rsidRDefault="00FE1379" w:rsidP="00FE1379">
            <w:pPr>
              <w:spacing w:before="40"/>
              <w:jc w:val="center"/>
              <w:rPr>
                <w:sz w:val="22"/>
                <w:szCs w:val="22"/>
              </w:rPr>
            </w:pPr>
            <w:r>
              <w:rPr>
                <w:color w:val="000000"/>
                <w:sz w:val="22"/>
                <w:szCs w:val="22"/>
              </w:rPr>
              <w:t>6.7%</w:t>
            </w:r>
          </w:p>
        </w:tc>
      </w:tr>
      <w:tr w:rsidR="00FE1379" w:rsidRPr="002B51C1" w14:paraId="6A2EBB7E" w14:textId="77777777" w:rsidTr="005101BC">
        <w:trPr>
          <w:trHeight w:val="23"/>
        </w:trPr>
        <w:tc>
          <w:tcPr>
            <w:tcW w:w="3846" w:type="dxa"/>
            <w:shd w:val="clear" w:color="auto" w:fill="auto"/>
          </w:tcPr>
          <w:p w14:paraId="57C15228" w14:textId="506DB599" w:rsidR="00FE1379" w:rsidRDefault="00FE1379" w:rsidP="00FE1379">
            <w:pPr>
              <w:spacing w:before="40"/>
              <w:rPr>
                <w:color w:val="000000"/>
                <w:sz w:val="22"/>
                <w:szCs w:val="22"/>
              </w:rPr>
            </w:pPr>
            <w:r w:rsidRPr="00FE1379">
              <w:rPr>
                <w:color w:val="000000"/>
                <w:sz w:val="22"/>
                <w:szCs w:val="22"/>
              </w:rPr>
              <w:t>Leases</w:t>
            </w:r>
          </w:p>
        </w:tc>
        <w:tc>
          <w:tcPr>
            <w:tcW w:w="2552" w:type="dxa"/>
            <w:shd w:val="clear" w:color="auto" w:fill="auto"/>
            <w:noWrap/>
            <w:vAlign w:val="center"/>
          </w:tcPr>
          <w:p w14:paraId="2E79BFD2" w14:textId="02AC6C5C" w:rsidR="00FE1379" w:rsidRPr="00C31906" w:rsidRDefault="00FE1379" w:rsidP="00FE1379">
            <w:pPr>
              <w:spacing w:before="40"/>
              <w:jc w:val="center"/>
              <w:rPr>
                <w:sz w:val="22"/>
                <w:szCs w:val="22"/>
              </w:rPr>
            </w:pPr>
            <w:r>
              <w:rPr>
                <w:color w:val="000000"/>
                <w:sz w:val="22"/>
                <w:szCs w:val="22"/>
              </w:rPr>
              <w:t>13.44%</w:t>
            </w:r>
          </w:p>
        </w:tc>
        <w:tc>
          <w:tcPr>
            <w:tcW w:w="2520" w:type="dxa"/>
            <w:shd w:val="clear" w:color="auto" w:fill="auto"/>
            <w:noWrap/>
            <w:vAlign w:val="center"/>
          </w:tcPr>
          <w:p w14:paraId="0FC0955D" w14:textId="7858FD77" w:rsidR="00FE1379" w:rsidRDefault="00FE1379" w:rsidP="00FE1379">
            <w:pPr>
              <w:spacing w:before="40"/>
              <w:jc w:val="center"/>
              <w:rPr>
                <w:color w:val="000000"/>
                <w:sz w:val="22"/>
                <w:szCs w:val="22"/>
              </w:rPr>
            </w:pPr>
            <w:r>
              <w:rPr>
                <w:color w:val="000000"/>
                <w:sz w:val="22"/>
                <w:szCs w:val="22"/>
              </w:rPr>
              <w:t>13.44%</w:t>
            </w:r>
          </w:p>
        </w:tc>
      </w:tr>
    </w:tbl>
    <w:p w14:paraId="3FFFF6F2" w14:textId="77777777" w:rsidR="00825196" w:rsidRPr="00CF372C" w:rsidRDefault="00825196" w:rsidP="004A3C21">
      <w:pPr>
        <w:ind w:left="720"/>
        <w:jc w:val="both"/>
        <w:rPr>
          <w:sz w:val="8"/>
          <w:szCs w:val="8"/>
          <w:u w:val="single"/>
        </w:rPr>
      </w:pPr>
    </w:p>
    <w:p w14:paraId="33C119A6" w14:textId="46803863" w:rsidR="00C35D07" w:rsidRPr="005C7D15" w:rsidRDefault="00F53B83" w:rsidP="00C01E5D">
      <w:pPr>
        <w:ind w:left="720"/>
        <w:jc w:val="both"/>
        <w:outlineLvl w:val="4"/>
        <w:rPr>
          <w:sz w:val="22"/>
          <w:szCs w:val="22"/>
          <w:u w:val="single"/>
        </w:rPr>
      </w:pPr>
      <w:r w:rsidRPr="005C7D15">
        <w:rPr>
          <w:sz w:val="22"/>
          <w:szCs w:val="22"/>
          <w:u w:val="single"/>
        </w:rPr>
        <w:t xml:space="preserve">Financial instruments measured at fair value - </w:t>
      </w:r>
      <w:r w:rsidR="00C35D07" w:rsidRPr="005C7D15">
        <w:rPr>
          <w:sz w:val="22"/>
          <w:szCs w:val="22"/>
          <w:u w:val="single"/>
        </w:rPr>
        <w:t>Derivative financial instruments</w:t>
      </w:r>
    </w:p>
    <w:p w14:paraId="1201B5AC" w14:textId="77777777" w:rsidR="00C35D07" w:rsidRPr="005C7D15" w:rsidRDefault="00C35D07" w:rsidP="004A3C21">
      <w:pPr>
        <w:ind w:left="720"/>
        <w:jc w:val="both"/>
        <w:rPr>
          <w:sz w:val="10"/>
          <w:szCs w:val="10"/>
        </w:rPr>
      </w:pPr>
    </w:p>
    <w:p w14:paraId="2EC87F57" w14:textId="77777777" w:rsidR="00C31F16" w:rsidRDefault="00C31F16" w:rsidP="00C31F16">
      <w:pPr>
        <w:ind w:left="720"/>
        <w:jc w:val="both"/>
        <w:rPr>
          <w:sz w:val="22"/>
          <w:szCs w:val="22"/>
        </w:rPr>
      </w:pPr>
      <w:r w:rsidRPr="00E26DAF">
        <w:rPr>
          <w:sz w:val="22"/>
          <w:szCs w:val="22"/>
        </w:rPr>
        <w:t>The financial liabilities and assets include interest rate swap contracts ("IRS"</w:t>
      </w:r>
      <w:proofErr w:type="gramStart"/>
      <w:r w:rsidRPr="00E26DAF">
        <w:rPr>
          <w:sz w:val="22"/>
          <w:szCs w:val="22"/>
        </w:rPr>
        <w:t>)</w:t>
      </w:r>
      <w:proofErr w:type="gramEnd"/>
      <w:r w:rsidRPr="00E26DAF">
        <w:rPr>
          <w:sz w:val="22"/>
          <w:szCs w:val="22"/>
        </w:rPr>
        <w:t xml:space="preserve"> and </w:t>
      </w:r>
      <w:proofErr w:type="gramStart"/>
      <w:r w:rsidRPr="00E26DAF">
        <w:rPr>
          <w:sz w:val="22"/>
          <w:szCs w:val="22"/>
        </w:rPr>
        <w:t>interest cap</w:t>
      </w:r>
      <w:proofErr w:type="gramEnd"/>
      <w:r w:rsidRPr="00E26DAF">
        <w:rPr>
          <w:sz w:val="22"/>
          <w:szCs w:val="22"/>
        </w:rPr>
        <w:t xml:space="preserve"> rate contracts used for hedging and cross currency swap contracts which were not used for hedging. The financial instruments measured</w:t>
      </w:r>
      <w:r w:rsidRPr="00E26DAF" w:rsidDel="00041732">
        <w:rPr>
          <w:sz w:val="22"/>
          <w:szCs w:val="22"/>
        </w:rPr>
        <w:t xml:space="preserve"> </w:t>
      </w:r>
      <w:r w:rsidRPr="00E26DAF">
        <w:rPr>
          <w:sz w:val="22"/>
          <w:szCs w:val="22"/>
        </w:rPr>
        <w:t xml:space="preserve">in accordance with level 2. </w:t>
      </w:r>
    </w:p>
    <w:p w14:paraId="5DD55209" w14:textId="77777777" w:rsidR="005746A5" w:rsidRPr="007C2983" w:rsidRDefault="005746A5" w:rsidP="0020502A">
      <w:pPr>
        <w:ind w:left="720"/>
        <w:jc w:val="both"/>
        <w:rPr>
          <w:sz w:val="10"/>
          <w:szCs w:val="10"/>
        </w:rPr>
      </w:pPr>
    </w:p>
    <w:p w14:paraId="5CC9F941" w14:textId="77777777" w:rsidR="00C31F16" w:rsidRDefault="00C31F16" w:rsidP="0020502A">
      <w:pPr>
        <w:ind w:left="720"/>
        <w:jc w:val="both"/>
        <w:rPr>
          <w:sz w:val="22"/>
          <w:szCs w:val="22"/>
        </w:rPr>
      </w:pPr>
      <w:r w:rsidRPr="00E26DAF">
        <w:rPr>
          <w:sz w:val="22"/>
          <w:szCs w:val="22"/>
        </w:rPr>
        <w:t>Details on the fair value of the financial instruments are disclosed below:</w:t>
      </w:r>
    </w:p>
    <w:p w14:paraId="4B6C2BD9" w14:textId="77777777" w:rsidR="00C31F16" w:rsidRPr="007C2983" w:rsidRDefault="00C31F16" w:rsidP="0020502A">
      <w:pPr>
        <w:ind w:left="720"/>
        <w:jc w:val="both"/>
        <w:rPr>
          <w:sz w:val="10"/>
          <w:szCs w:val="10"/>
        </w:rPr>
      </w:pPr>
    </w:p>
    <w:tbl>
      <w:tblPr>
        <w:tblW w:w="3530" w:type="pct"/>
        <w:tblInd w:w="612" w:type="dxa"/>
        <w:tblLayout w:type="fixed"/>
        <w:tblLook w:val="06A0" w:firstRow="1" w:lastRow="0" w:firstColumn="1" w:lastColumn="0" w:noHBand="1" w:noVBand="1"/>
        <w:tblCaption w:val="AHR03"/>
        <w:tblDescription w:val="Fair value hierarchy of financial instruments measured at fair value "/>
      </w:tblPr>
      <w:tblGrid>
        <w:gridCol w:w="3545"/>
        <w:gridCol w:w="1630"/>
        <w:gridCol w:w="1629"/>
      </w:tblGrid>
      <w:tr w:rsidR="00C31F16" w:rsidRPr="00FC7FC1" w14:paraId="73C02E31" w14:textId="77777777" w:rsidTr="005101BC">
        <w:trPr>
          <w:cantSplit/>
          <w:trHeight w:val="283"/>
          <w:tblHeader/>
        </w:trPr>
        <w:tc>
          <w:tcPr>
            <w:tcW w:w="2605" w:type="pct"/>
            <w:shd w:val="clear" w:color="auto" w:fill="auto"/>
            <w:vAlign w:val="bottom"/>
            <w:hideMark/>
          </w:tcPr>
          <w:p w14:paraId="0FDAF9A1" w14:textId="77777777" w:rsidR="00C31F16" w:rsidRPr="00FC7FC1" w:rsidRDefault="00C31F16" w:rsidP="00704836">
            <w:pPr>
              <w:spacing w:before="40"/>
              <w:rPr>
                <w:rFonts w:ascii="Arial" w:eastAsia="Arial" w:hAnsi="Arial" w:cs="Arial"/>
              </w:rPr>
            </w:pPr>
            <w:r w:rsidRPr="00FC7FC1">
              <w:rPr>
                <w:rStyle w:val="Koteret"/>
                <w:i/>
                <w:iCs/>
              </w:rPr>
              <w:t>In thousands of Euros</w:t>
            </w:r>
          </w:p>
        </w:tc>
        <w:tc>
          <w:tcPr>
            <w:tcW w:w="1198" w:type="pct"/>
            <w:shd w:val="clear" w:color="auto" w:fill="auto"/>
            <w:noWrap/>
            <w:vAlign w:val="bottom"/>
            <w:hideMark/>
          </w:tcPr>
          <w:p w14:paraId="5EA74823" w14:textId="1EA6BBE6" w:rsidR="00C31F16" w:rsidRPr="00FC7FC1" w:rsidRDefault="00C31F16" w:rsidP="00704836">
            <w:pPr>
              <w:spacing w:before="40"/>
              <w:jc w:val="right"/>
              <w:rPr>
                <w:b/>
                <w:bCs/>
                <w:sz w:val="18"/>
              </w:rPr>
            </w:pPr>
            <w:r>
              <w:rPr>
                <w:b/>
                <w:bCs/>
                <w:color w:val="000000"/>
                <w:sz w:val="18"/>
                <w:szCs w:val="18"/>
              </w:rPr>
              <w:t>December</w:t>
            </w:r>
            <w:r w:rsidRPr="00FC7FC1">
              <w:rPr>
                <w:b/>
                <w:bCs/>
                <w:color w:val="000000"/>
                <w:sz w:val="18"/>
                <w:szCs w:val="18"/>
              </w:rPr>
              <w:t xml:space="preserve"> 3</w:t>
            </w:r>
            <w:r>
              <w:rPr>
                <w:b/>
                <w:bCs/>
                <w:color w:val="000000"/>
                <w:sz w:val="18"/>
                <w:szCs w:val="18"/>
              </w:rPr>
              <w:t>1</w:t>
            </w:r>
            <w:r w:rsidRPr="00FC7FC1">
              <w:rPr>
                <w:b/>
                <w:bCs/>
                <w:color w:val="000000"/>
                <w:sz w:val="18"/>
                <w:szCs w:val="18"/>
              </w:rPr>
              <w:t>,</w:t>
            </w:r>
          </w:p>
        </w:tc>
        <w:tc>
          <w:tcPr>
            <w:tcW w:w="1197" w:type="pct"/>
            <w:shd w:val="clear" w:color="auto" w:fill="auto"/>
            <w:noWrap/>
            <w:vAlign w:val="bottom"/>
            <w:hideMark/>
          </w:tcPr>
          <w:p w14:paraId="2E4DA503" w14:textId="77777777" w:rsidR="00C31F16" w:rsidRPr="00FC7FC1" w:rsidRDefault="00C31F16" w:rsidP="00704836">
            <w:pPr>
              <w:spacing w:before="40"/>
              <w:jc w:val="right"/>
              <w:rPr>
                <w:b/>
                <w:bCs/>
                <w:sz w:val="18"/>
              </w:rPr>
            </w:pPr>
            <w:r w:rsidRPr="00FC7FC1">
              <w:rPr>
                <w:b/>
                <w:bCs/>
                <w:color w:val="000000"/>
                <w:sz w:val="18"/>
                <w:szCs w:val="18"/>
              </w:rPr>
              <w:t>December 31,</w:t>
            </w:r>
          </w:p>
        </w:tc>
      </w:tr>
      <w:tr w:rsidR="00C31F16" w:rsidRPr="00FC7FC1" w14:paraId="55B12FFD" w14:textId="77777777" w:rsidTr="005101BC">
        <w:trPr>
          <w:cantSplit/>
          <w:trHeight w:val="283"/>
          <w:tblHeader/>
        </w:trPr>
        <w:tc>
          <w:tcPr>
            <w:tcW w:w="2605" w:type="pct"/>
            <w:shd w:val="clear" w:color="auto" w:fill="auto"/>
            <w:vAlign w:val="bottom"/>
            <w:hideMark/>
          </w:tcPr>
          <w:p w14:paraId="2EB9004B" w14:textId="77777777" w:rsidR="00C31F16" w:rsidRPr="00FC7FC1" w:rsidRDefault="00C31F16" w:rsidP="00704836">
            <w:pPr>
              <w:spacing w:before="40"/>
              <w:rPr>
                <w:rFonts w:ascii="Arial" w:eastAsia="Arial" w:hAnsi="Arial" w:cs="Arial"/>
              </w:rPr>
            </w:pPr>
          </w:p>
        </w:tc>
        <w:tc>
          <w:tcPr>
            <w:tcW w:w="1198" w:type="pct"/>
            <w:shd w:val="clear" w:color="auto" w:fill="auto"/>
            <w:vAlign w:val="bottom"/>
            <w:hideMark/>
          </w:tcPr>
          <w:p w14:paraId="0A4D05B5" w14:textId="36D55371" w:rsidR="00C31F16" w:rsidRPr="00FC7FC1" w:rsidRDefault="00C31F16" w:rsidP="00704836">
            <w:pPr>
              <w:pBdr>
                <w:bottom w:val="single" w:sz="4" w:space="0" w:color="000000"/>
              </w:pBdr>
              <w:spacing w:before="40"/>
              <w:jc w:val="right"/>
              <w:rPr>
                <w:b/>
                <w:bCs/>
                <w:sz w:val="18"/>
              </w:rPr>
            </w:pPr>
            <w:r>
              <w:rPr>
                <w:b/>
                <w:bCs/>
                <w:color w:val="000000"/>
                <w:sz w:val="18"/>
                <w:szCs w:val="18"/>
              </w:rPr>
              <w:t>202</w:t>
            </w:r>
            <w:r w:rsidR="007958E3">
              <w:rPr>
                <w:b/>
                <w:bCs/>
                <w:sz w:val="18"/>
              </w:rPr>
              <w:t>4</w:t>
            </w:r>
          </w:p>
        </w:tc>
        <w:tc>
          <w:tcPr>
            <w:tcW w:w="1197" w:type="pct"/>
            <w:shd w:val="clear" w:color="auto" w:fill="auto"/>
            <w:vAlign w:val="bottom"/>
            <w:hideMark/>
          </w:tcPr>
          <w:p w14:paraId="0E00F484" w14:textId="58F19573" w:rsidR="00C31F16" w:rsidRPr="00FC7FC1" w:rsidRDefault="00C31F16" w:rsidP="00704836">
            <w:pPr>
              <w:pBdr>
                <w:bottom w:val="single" w:sz="4" w:space="0" w:color="000000"/>
              </w:pBdr>
              <w:spacing w:before="40"/>
              <w:jc w:val="right"/>
              <w:rPr>
                <w:b/>
                <w:bCs/>
                <w:sz w:val="18"/>
              </w:rPr>
            </w:pPr>
            <w:r>
              <w:rPr>
                <w:b/>
                <w:bCs/>
                <w:color w:val="000000"/>
                <w:sz w:val="18"/>
                <w:szCs w:val="18"/>
              </w:rPr>
              <w:t>202</w:t>
            </w:r>
            <w:r w:rsidR="007958E3">
              <w:rPr>
                <w:b/>
                <w:bCs/>
                <w:sz w:val="18"/>
              </w:rPr>
              <w:t>3</w:t>
            </w:r>
          </w:p>
        </w:tc>
      </w:tr>
      <w:tr w:rsidR="00C31F16" w:rsidRPr="00162702" w14:paraId="45C26F50" w14:textId="77777777" w:rsidTr="005101BC">
        <w:trPr>
          <w:trHeight w:val="283"/>
        </w:trPr>
        <w:tc>
          <w:tcPr>
            <w:tcW w:w="2605" w:type="pct"/>
            <w:shd w:val="clear" w:color="auto" w:fill="auto"/>
            <w:vAlign w:val="bottom"/>
            <w:hideMark/>
          </w:tcPr>
          <w:p w14:paraId="30B85C20" w14:textId="77777777" w:rsidR="00C31F16" w:rsidRPr="00162702" w:rsidRDefault="00C31F16" w:rsidP="00704836">
            <w:pPr>
              <w:spacing w:before="40"/>
              <w:rPr>
                <w:sz w:val="22"/>
                <w:szCs w:val="18"/>
              </w:rPr>
            </w:pPr>
            <w:r w:rsidRPr="00162702">
              <w:rPr>
                <w:color w:val="000000"/>
                <w:sz w:val="22"/>
                <w:szCs w:val="18"/>
                <w:u w:val="single"/>
              </w:rPr>
              <w:t>Financial assets</w:t>
            </w:r>
            <w:r w:rsidRPr="00162702">
              <w:rPr>
                <w:color w:val="000000"/>
                <w:sz w:val="22"/>
                <w:szCs w:val="18"/>
              </w:rPr>
              <w:t>:</w:t>
            </w:r>
          </w:p>
        </w:tc>
        <w:tc>
          <w:tcPr>
            <w:tcW w:w="1198" w:type="pct"/>
            <w:shd w:val="clear" w:color="auto" w:fill="auto"/>
            <w:noWrap/>
            <w:vAlign w:val="bottom"/>
          </w:tcPr>
          <w:p w14:paraId="2BB2FB70" w14:textId="77777777" w:rsidR="00C31F16" w:rsidRPr="00162702" w:rsidRDefault="00C31F16" w:rsidP="00704836">
            <w:pPr>
              <w:spacing w:before="40"/>
              <w:jc w:val="right"/>
              <w:rPr>
                <w:b/>
                <w:bCs/>
                <w:sz w:val="22"/>
                <w:szCs w:val="18"/>
              </w:rPr>
            </w:pPr>
          </w:p>
        </w:tc>
        <w:tc>
          <w:tcPr>
            <w:tcW w:w="1197" w:type="pct"/>
            <w:shd w:val="clear" w:color="auto" w:fill="auto"/>
            <w:noWrap/>
            <w:vAlign w:val="bottom"/>
          </w:tcPr>
          <w:p w14:paraId="0F3D8275" w14:textId="77777777" w:rsidR="00C31F16" w:rsidRPr="00162702" w:rsidRDefault="00C31F16" w:rsidP="00704836">
            <w:pPr>
              <w:spacing w:before="40"/>
              <w:jc w:val="right"/>
              <w:rPr>
                <w:sz w:val="22"/>
                <w:szCs w:val="18"/>
              </w:rPr>
            </w:pPr>
          </w:p>
        </w:tc>
      </w:tr>
      <w:tr w:rsidR="00FE1379" w:rsidRPr="00162702" w14:paraId="01143FDB" w14:textId="77777777" w:rsidTr="005101BC">
        <w:trPr>
          <w:trHeight w:val="283"/>
        </w:trPr>
        <w:tc>
          <w:tcPr>
            <w:tcW w:w="2605" w:type="pct"/>
            <w:shd w:val="clear" w:color="auto" w:fill="auto"/>
            <w:vAlign w:val="bottom"/>
          </w:tcPr>
          <w:p w14:paraId="4F351B5D" w14:textId="77777777" w:rsidR="00FE1379" w:rsidRPr="00162702" w:rsidRDefault="00FE1379" w:rsidP="00FE1379">
            <w:pPr>
              <w:spacing w:before="40"/>
              <w:rPr>
                <w:color w:val="000000"/>
                <w:sz w:val="22"/>
                <w:szCs w:val="18"/>
              </w:rPr>
            </w:pPr>
            <w:r w:rsidRPr="00162702">
              <w:rPr>
                <w:color w:val="000000"/>
                <w:sz w:val="22"/>
                <w:szCs w:val="18"/>
              </w:rPr>
              <w:t>Interest rate swap</w:t>
            </w:r>
          </w:p>
        </w:tc>
        <w:tc>
          <w:tcPr>
            <w:tcW w:w="1198" w:type="pct"/>
            <w:shd w:val="clear" w:color="auto" w:fill="auto"/>
            <w:noWrap/>
          </w:tcPr>
          <w:p w14:paraId="4367ADAE" w14:textId="54DE14EE" w:rsidR="00FE1379" w:rsidRPr="00FE1379" w:rsidRDefault="00FE1379" w:rsidP="00FE1379">
            <w:pPr>
              <w:spacing w:before="40"/>
              <w:jc w:val="right"/>
              <w:rPr>
                <w:sz w:val="22"/>
                <w:szCs w:val="22"/>
              </w:rPr>
            </w:pPr>
            <w:r w:rsidRPr="00FE1379">
              <w:rPr>
                <w:sz w:val="22"/>
                <w:szCs w:val="22"/>
              </w:rPr>
              <w:t>8,314</w:t>
            </w:r>
          </w:p>
        </w:tc>
        <w:tc>
          <w:tcPr>
            <w:tcW w:w="1197" w:type="pct"/>
            <w:shd w:val="clear" w:color="auto" w:fill="auto"/>
            <w:noWrap/>
            <w:vAlign w:val="bottom"/>
          </w:tcPr>
          <w:p w14:paraId="4883BDC6" w14:textId="18933FFA" w:rsidR="00FE1379" w:rsidRPr="00162702" w:rsidRDefault="00FE1379" w:rsidP="00FE1379">
            <w:pPr>
              <w:spacing w:before="40"/>
              <w:jc w:val="right"/>
              <w:rPr>
                <w:sz w:val="22"/>
                <w:szCs w:val="18"/>
              </w:rPr>
            </w:pPr>
            <w:r w:rsidRPr="00CF372C">
              <w:rPr>
                <w:sz w:val="22"/>
                <w:szCs w:val="22"/>
              </w:rPr>
              <w:t>21,197</w:t>
            </w:r>
          </w:p>
        </w:tc>
      </w:tr>
      <w:tr w:rsidR="00FE1379" w:rsidRPr="00E26DAF" w14:paraId="1523E5F3" w14:textId="77777777" w:rsidTr="005101BC">
        <w:trPr>
          <w:trHeight w:val="283"/>
        </w:trPr>
        <w:tc>
          <w:tcPr>
            <w:tcW w:w="2605" w:type="pct"/>
            <w:shd w:val="clear" w:color="auto" w:fill="auto"/>
            <w:vAlign w:val="bottom"/>
          </w:tcPr>
          <w:p w14:paraId="00E26FC2" w14:textId="77777777" w:rsidR="00FE1379" w:rsidRPr="00162702" w:rsidRDefault="00FE1379" w:rsidP="00FE1379">
            <w:pPr>
              <w:spacing w:before="40"/>
              <w:rPr>
                <w:color w:val="000000"/>
                <w:sz w:val="22"/>
                <w:szCs w:val="18"/>
              </w:rPr>
            </w:pPr>
            <w:r w:rsidRPr="00162702">
              <w:rPr>
                <w:color w:val="000000"/>
                <w:sz w:val="22"/>
                <w:szCs w:val="18"/>
              </w:rPr>
              <w:t>Interest cap rate</w:t>
            </w:r>
          </w:p>
        </w:tc>
        <w:tc>
          <w:tcPr>
            <w:tcW w:w="1198" w:type="pct"/>
            <w:shd w:val="clear" w:color="auto" w:fill="auto"/>
            <w:noWrap/>
          </w:tcPr>
          <w:p w14:paraId="09E605A0" w14:textId="66D5CC45" w:rsidR="00FE1379" w:rsidRPr="00FE1379" w:rsidRDefault="00FE1379" w:rsidP="00FE1379">
            <w:pPr>
              <w:spacing w:before="40"/>
              <w:jc w:val="right"/>
              <w:rPr>
                <w:sz w:val="22"/>
                <w:szCs w:val="22"/>
              </w:rPr>
            </w:pPr>
            <w:r w:rsidRPr="00FE1379">
              <w:rPr>
                <w:sz w:val="22"/>
                <w:szCs w:val="22"/>
              </w:rPr>
              <w:t>194</w:t>
            </w:r>
          </w:p>
        </w:tc>
        <w:tc>
          <w:tcPr>
            <w:tcW w:w="1197" w:type="pct"/>
            <w:shd w:val="clear" w:color="auto" w:fill="auto"/>
            <w:noWrap/>
            <w:vAlign w:val="bottom"/>
          </w:tcPr>
          <w:p w14:paraId="3CB8B5D1" w14:textId="7153A6C7" w:rsidR="00FE1379" w:rsidRPr="00162702" w:rsidRDefault="00FE1379" w:rsidP="00FE1379">
            <w:pPr>
              <w:spacing w:before="40"/>
              <w:jc w:val="right"/>
              <w:rPr>
                <w:sz w:val="22"/>
                <w:szCs w:val="18"/>
              </w:rPr>
            </w:pPr>
            <w:r w:rsidRPr="00CF372C">
              <w:rPr>
                <w:sz w:val="22"/>
                <w:szCs w:val="22"/>
              </w:rPr>
              <w:t>3,523</w:t>
            </w:r>
          </w:p>
        </w:tc>
      </w:tr>
      <w:tr w:rsidR="00FE1379" w:rsidRPr="00E26DAF" w14:paraId="465C4DF9" w14:textId="77777777" w:rsidTr="005101BC">
        <w:trPr>
          <w:trHeight w:val="283"/>
        </w:trPr>
        <w:tc>
          <w:tcPr>
            <w:tcW w:w="2605" w:type="pct"/>
            <w:shd w:val="clear" w:color="auto" w:fill="auto"/>
            <w:vAlign w:val="bottom"/>
          </w:tcPr>
          <w:p w14:paraId="1D3958A5" w14:textId="77777777" w:rsidR="00FE1379" w:rsidRPr="00162702" w:rsidRDefault="00FE1379" w:rsidP="00FE1379">
            <w:pPr>
              <w:spacing w:before="40"/>
              <w:rPr>
                <w:color w:val="000000"/>
                <w:sz w:val="22"/>
                <w:szCs w:val="18"/>
              </w:rPr>
            </w:pPr>
            <w:r w:rsidRPr="00162702">
              <w:rPr>
                <w:color w:val="000000"/>
                <w:sz w:val="22"/>
                <w:szCs w:val="18"/>
                <w:u w:val="single"/>
              </w:rPr>
              <w:t>Financial liabilities</w:t>
            </w:r>
            <w:r w:rsidRPr="00162702">
              <w:rPr>
                <w:color w:val="000000"/>
                <w:sz w:val="22"/>
                <w:szCs w:val="18"/>
              </w:rPr>
              <w:t>:</w:t>
            </w:r>
          </w:p>
        </w:tc>
        <w:tc>
          <w:tcPr>
            <w:tcW w:w="1198" w:type="pct"/>
            <w:shd w:val="clear" w:color="auto" w:fill="auto"/>
            <w:noWrap/>
          </w:tcPr>
          <w:p w14:paraId="3C0A82B7" w14:textId="77777777" w:rsidR="00FE1379" w:rsidRPr="00FE1379" w:rsidRDefault="00FE1379" w:rsidP="00FE1379">
            <w:pPr>
              <w:spacing w:before="40"/>
              <w:jc w:val="right"/>
              <w:rPr>
                <w:sz w:val="22"/>
                <w:szCs w:val="22"/>
              </w:rPr>
            </w:pPr>
          </w:p>
        </w:tc>
        <w:tc>
          <w:tcPr>
            <w:tcW w:w="1197" w:type="pct"/>
            <w:shd w:val="clear" w:color="auto" w:fill="auto"/>
            <w:noWrap/>
            <w:vAlign w:val="bottom"/>
          </w:tcPr>
          <w:p w14:paraId="563EE822" w14:textId="77777777" w:rsidR="00FE1379" w:rsidRPr="00162702" w:rsidRDefault="00FE1379" w:rsidP="00FE1379">
            <w:pPr>
              <w:spacing w:before="40"/>
              <w:jc w:val="right"/>
              <w:rPr>
                <w:sz w:val="22"/>
                <w:szCs w:val="18"/>
              </w:rPr>
            </w:pPr>
          </w:p>
        </w:tc>
      </w:tr>
      <w:tr w:rsidR="00FE1379" w:rsidRPr="00E26DAF" w14:paraId="7455B70E" w14:textId="77777777" w:rsidTr="005101BC">
        <w:trPr>
          <w:trHeight w:val="283"/>
        </w:trPr>
        <w:tc>
          <w:tcPr>
            <w:tcW w:w="2605" w:type="pct"/>
            <w:shd w:val="clear" w:color="auto" w:fill="auto"/>
            <w:vAlign w:val="bottom"/>
          </w:tcPr>
          <w:p w14:paraId="792237D4" w14:textId="51502A71" w:rsidR="00FE1379" w:rsidRPr="00162702" w:rsidRDefault="00FE1379" w:rsidP="00FE1379">
            <w:pPr>
              <w:spacing w:before="40"/>
              <w:rPr>
                <w:color w:val="000000"/>
                <w:sz w:val="22"/>
                <w:szCs w:val="18"/>
                <w:u w:val="single"/>
              </w:rPr>
            </w:pPr>
            <w:r w:rsidRPr="00162702">
              <w:rPr>
                <w:color w:val="000000"/>
                <w:sz w:val="22"/>
                <w:szCs w:val="18"/>
              </w:rPr>
              <w:t>Cross currency Swap</w:t>
            </w:r>
          </w:p>
        </w:tc>
        <w:tc>
          <w:tcPr>
            <w:tcW w:w="1198" w:type="pct"/>
            <w:shd w:val="clear" w:color="auto" w:fill="auto"/>
            <w:noWrap/>
          </w:tcPr>
          <w:p w14:paraId="30C4A9F7" w14:textId="330A5CCB" w:rsidR="00FE1379" w:rsidRPr="00FE1379" w:rsidRDefault="00FE1379" w:rsidP="00FE1379">
            <w:pPr>
              <w:spacing w:before="40"/>
              <w:jc w:val="right"/>
              <w:rPr>
                <w:sz w:val="22"/>
                <w:szCs w:val="22"/>
              </w:rPr>
            </w:pPr>
            <w:r w:rsidRPr="00FE1379">
              <w:rPr>
                <w:sz w:val="22"/>
                <w:szCs w:val="22"/>
              </w:rPr>
              <w:t>1,106</w:t>
            </w:r>
          </w:p>
        </w:tc>
        <w:tc>
          <w:tcPr>
            <w:tcW w:w="1197" w:type="pct"/>
            <w:shd w:val="clear" w:color="auto" w:fill="auto"/>
            <w:noWrap/>
            <w:vAlign w:val="bottom"/>
          </w:tcPr>
          <w:p w14:paraId="03B93C94" w14:textId="69B109EB" w:rsidR="00FE1379" w:rsidRPr="00162702" w:rsidRDefault="00FE1379" w:rsidP="00FE1379">
            <w:pPr>
              <w:spacing w:before="40"/>
              <w:jc w:val="right"/>
              <w:rPr>
                <w:sz w:val="22"/>
                <w:szCs w:val="18"/>
              </w:rPr>
            </w:pPr>
            <w:r w:rsidRPr="00CF372C">
              <w:rPr>
                <w:sz w:val="22"/>
                <w:szCs w:val="22"/>
              </w:rPr>
              <w:t>6,200</w:t>
            </w:r>
          </w:p>
        </w:tc>
      </w:tr>
      <w:tr w:rsidR="00FE1379" w:rsidRPr="00E26DAF" w14:paraId="633CCFBE" w14:textId="77777777" w:rsidTr="005101BC">
        <w:trPr>
          <w:trHeight w:val="283"/>
        </w:trPr>
        <w:tc>
          <w:tcPr>
            <w:tcW w:w="2605" w:type="pct"/>
            <w:shd w:val="clear" w:color="auto" w:fill="auto"/>
            <w:vAlign w:val="bottom"/>
            <w:hideMark/>
          </w:tcPr>
          <w:p w14:paraId="5E281954" w14:textId="61B5ECE8" w:rsidR="00FE1379" w:rsidRPr="00162702" w:rsidRDefault="00FE1379" w:rsidP="00FE1379">
            <w:pPr>
              <w:spacing w:before="40"/>
              <w:rPr>
                <w:sz w:val="22"/>
                <w:szCs w:val="18"/>
              </w:rPr>
            </w:pPr>
            <w:r w:rsidRPr="00162702">
              <w:rPr>
                <w:color w:val="000000"/>
                <w:sz w:val="22"/>
                <w:szCs w:val="18"/>
              </w:rPr>
              <w:t>Interest rate swap</w:t>
            </w:r>
          </w:p>
        </w:tc>
        <w:tc>
          <w:tcPr>
            <w:tcW w:w="1198" w:type="pct"/>
            <w:shd w:val="clear" w:color="auto" w:fill="auto"/>
            <w:noWrap/>
          </w:tcPr>
          <w:p w14:paraId="43609D7B" w14:textId="2F96968A" w:rsidR="00FE1379" w:rsidRPr="00FE1379" w:rsidRDefault="00FE1379" w:rsidP="00FE1379">
            <w:pPr>
              <w:spacing w:before="40"/>
              <w:jc w:val="right"/>
              <w:rPr>
                <w:sz w:val="22"/>
                <w:szCs w:val="22"/>
              </w:rPr>
            </w:pPr>
            <w:r w:rsidRPr="00FE1379">
              <w:rPr>
                <w:sz w:val="22"/>
                <w:szCs w:val="22"/>
              </w:rPr>
              <w:t>4,348</w:t>
            </w:r>
          </w:p>
        </w:tc>
        <w:tc>
          <w:tcPr>
            <w:tcW w:w="1197" w:type="pct"/>
            <w:shd w:val="clear" w:color="auto" w:fill="auto"/>
            <w:noWrap/>
            <w:vAlign w:val="bottom"/>
          </w:tcPr>
          <w:p w14:paraId="7987A11D" w14:textId="0787A6D5" w:rsidR="00FE1379" w:rsidRPr="00162702" w:rsidRDefault="00FE1379" w:rsidP="00FE1379">
            <w:pPr>
              <w:spacing w:before="40"/>
              <w:jc w:val="right"/>
              <w:rPr>
                <w:sz w:val="22"/>
                <w:szCs w:val="18"/>
              </w:rPr>
            </w:pPr>
            <w:r w:rsidRPr="00CF372C">
              <w:rPr>
                <w:sz w:val="22"/>
                <w:szCs w:val="22"/>
              </w:rPr>
              <w:t>2,433</w:t>
            </w:r>
          </w:p>
        </w:tc>
      </w:tr>
    </w:tbl>
    <w:p w14:paraId="6A69334A" w14:textId="77777777" w:rsidR="004048E7" w:rsidRPr="007519AC" w:rsidRDefault="004048E7" w:rsidP="0020502A">
      <w:pPr>
        <w:spacing w:after="200"/>
        <w:ind w:left="720"/>
        <w:jc w:val="both"/>
        <w:rPr>
          <w:b/>
          <w:bCs/>
          <w:sz w:val="4"/>
          <w:szCs w:val="4"/>
        </w:rPr>
      </w:pPr>
    </w:p>
    <w:p w14:paraId="5D69AFE2" w14:textId="48860DAA" w:rsidR="00C31F16" w:rsidRDefault="00C31F16" w:rsidP="0020502A">
      <w:pPr>
        <w:spacing w:after="200"/>
        <w:ind w:left="720"/>
        <w:jc w:val="both"/>
        <w:rPr>
          <w:sz w:val="22"/>
          <w:szCs w:val="18"/>
        </w:rPr>
      </w:pPr>
      <w:r w:rsidRPr="00E26DAF">
        <w:rPr>
          <w:sz w:val="22"/>
          <w:szCs w:val="18"/>
        </w:rPr>
        <w:t xml:space="preserve">Fair value of IRS and interest cap rate is measured </w:t>
      </w:r>
      <w:proofErr w:type="gramStart"/>
      <w:r w:rsidRPr="00E26DAF">
        <w:rPr>
          <w:sz w:val="22"/>
          <w:szCs w:val="18"/>
        </w:rPr>
        <w:t>on the basis of</w:t>
      </w:r>
      <w:proofErr w:type="gramEnd"/>
      <w:r w:rsidRPr="00E26DAF">
        <w:rPr>
          <w:sz w:val="22"/>
          <w:szCs w:val="18"/>
        </w:rPr>
        <w:t xml:space="preserve"> the capitalization of the difference between the forward price in the contract and the current price for the residual period until redemption using appropriate interest curves used for derivative pricing and based on short-term </w:t>
      </w:r>
      <w:r w:rsidR="007F4089">
        <w:rPr>
          <w:sz w:val="22"/>
          <w:szCs w:val="18"/>
        </w:rPr>
        <w:t>Euribor</w:t>
      </w:r>
      <w:r w:rsidR="007F4089" w:rsidRPr="00E26DAF">
        <w:rPr>
          <w:sz w:val="22"/>
          <w:szCs w:val="18"/>
        </w:rPr>
        <w:t xml:space="preserve"> </w:t>
      </w:r>
      <w:r w:rsidRPr="00E26DAF">
        <w:rPr>
          <w:sz w:val="22"/>
          <w:szCs w:val="18"/>
        </w:rPr>
        <w:t xml:space="preserve">interest rates and long-term IRS transactions. </w:t>
      </w:r>
    </w:p>
    <w:p w14:paraId="62FE58EA" w14:textId="77777777" w:rsidR="007F4089" w:rsidRPr="00E84234" w:rsidRDefault="007F4089" w:rsidP="00E43187">
      <w:pPr>
        <w:spacing w:after="200"/>
        <w:ind w:left="720"/>
        <w:jc w:val="both"/>
        <w:rPr>
          <w:sz w:val="22"/>
          <w:szCs w:val="18"/>
        </w:rPr>
      </w:pPr>
      <w:r w:rsidRPr="00497889">
        <w:rPr>
          <w:sz w:val="22"/>
          <w:szCs w:val="18"/>
        </w:rPr>
        <w:t xml:space="preserve">Fair value of cross currency swap is measured on the basis of the capitalization of the difference between the payment in Euro currency that the Company is expected to pay and the payment in Israeli Shekels (“ILS”) currency that the Company is expected to receive according to the difference between the expected exchange rate on the day of the contract execution (using Euro and ILS interest rate curves for the time of the calculation) and the rate determined on the day the transaction was concluded). </w:t>
      </w:r>
    </w:p>
    <w:p w14:paraId="62B5A8E2" w14:textId="77777777" w:rsidR="007F4089" w:rsidRDefault="007F4089" w:rsidP="0020502A">
      <w:pPr>
        <w:spacing w:after="200"/>
        <w:ind w:left="720"/>
        <w:jc w:val="both"/>
        <w:rPr>
          <w:sz w:val="22"/>
          <w:szCs w:val="18"/>
        </w:rPr>
      </w:pPr>
    </w:p>
    <w:p w14:paraId="55DDF2C6" w14:textId="77777777" w:rsidR="007F4089" w:rsidRDefault="007F4089" w:rsidP="0020502A">
      <w:pPr>
        <w:spacing w:after="200"/>
        <w:ind w:left="720"/>
        <w:jc w:val="both"/>
        <w:rPr>
          <w:sz w:val="22"/>
          <w:szCs w:val="18"/>
        </w:rPr>
      </w:pPr>
    </w:p>
    <w:p w14:paraId="6DF7C4A0" w14:textId="77777777" w:rsidR="00A95416" w:rsidRDefault="00A95416">
      <w:pPr>
        <w:rPr>
          <w:rStyle w:val="Koteret"/>
          <w:b w:val="0"/>
          <w:bCs/>
          <w:i/>
          <w:iCs/>
        </w:rPr>
      </w:pPr>
      <w:r>
        <w:rPr>
          <w:rStyle w:val="Koteret"/>
          <w:b w:val="0"/>
          <w:bCs/>
          <w:i/>
          <w:iCs/>
        </w:rPr>
        <w:br w:type="page"/>
      </w:r>
    </w:p>
    <w:p w14:paraId="0CD42BA2" w14:textId="77777777" w:rsidR="00A95416" w:rsidRDefault="00A95416" w:rsidP="00A95416">
      <w:pPr>
        <w:ind w:left="720"/>
        <w:jc w:val="both"/>
        <w:rPr>
          <w:b/>
          <w:bCs/>
          <w:sz w:val="22"/>
          <w:szCs w:val="22"/>
        </w:rPr>
      </w:pPr>
    </w:p>
    <w:p w14:paraId="429A919C" w14:textId="77777777" w:rsidR="00A95416" w:rsidRPr="00513BE8" w:rsidRDefault="00A95416" w:rsidP="00A95416">
      <w:pPr>
        <w:rPr>
          <w:b/>
          <w:bCs/>
          <w:sz w:val="22"/>
          <w:szCs w:val="22"/>
        </w:rPr>
      </w:pPr>
      <w:r w:rsidRPr="00513BE8">
        <w:rPr>
          <w:b/>
          <w:bCs/>
          <w:sz w:val="22"/>
          <w:szCs w:val="22"/>
        </w:rPr>
        <w:t>Note 21 - Financial Instruments (cont’d)</w:t>
      </w:r>
    </w:p>
    <w:p w14:paraId="216153BF" w14:textId="77777777" w:rsidR="00A95416" w:rsidRPr="00F02921" w:rsidRDefault="00A95416" w:rsidP="00A95416">
      <w:pPr>
        <w:ind w:left="720"/>
        <w:jc w:val="both"/>
        <w:rPr>
          <w:b/>
          <w:bCs/>
          <w:sz w:val="22"/>
          <w:szCs w:val="22"/>
        </w:rPr>
      </w:pPr>
    </w:p>
    <w:p w14:paraId="2DD691B1" w14:textId="77777777" w:rsidR="00A95416" w:rsidRPr="00F02921" w:rsidRDefault="00A95416" w:rsidP="006C5CAB">
      <w:pPr>
        <w:ind w:left="567" w:hanging="567"/>
        <w:jc w:val="both"/>
        <w:rPr>
          <w:b/>
          <w:bCs/>
          <w:sz w:val="22"/>
          <w:szCs w:val="22"/>
        </w:rPr>
      </w:pPr>
      <w:r>
        <w:rPr>
          <w:b/>
          <w:bCs/>
          <w:sz w:val="22"/>
          <w:szCs w:val="22"/>
        </w:rPr>
        <w:t>E</w:t>
      </w:r>
      <w:r w:rsidRPr="00C435F7">
        <w:rPr>
          <w:b/>
          <w:bCs/>
          <w:sz w:val="22"/>
          <w:szCs w:val="22"/>
        </w:rPr>
        <w:t>.</w:t>
      </w:r>
      <w:r w:rsidRPr="00C435F7">
        <w:rPr>
          <w:b/>
          <w:bCs/>
          <w:sz w:val="22"/>
          <w:szCs w:val="22"/>
        </w:rPr>
        <w:tab/>
      </w:r>
      <w:r w:rsidRPr="00F02921">
        <w:rPr>
          <w:b/>
          <w:bCs/>
          <w:sz w:val="22"/>
          <w:szCs w:val="22"/>
        </w:rPr>
        <w:t>Fair values</w:t>
      </w:r>
      <w:r>
        <w:rPr>
          <w:b/>
          <w:bCs/>
          <w:sz w:val="22"/>
          <w:szCs w:val="22"/>
        </w:rPr>
        <w:t xml:space="preserve"> (Cont.)</w:t>
      </w:r>
    </w:p>
    <w:p w14:paraId="1B9FFBD5" w14:textId="77777777" w:rsidR="00A95416" w:rsidRPr="00F02921" w:rsidRDefault="00A95416" w:rsidP="00A95416">
      <w:pPr>
        <w:rPr>
          <w:sz w:val="22"/>
          <w:szCs w:val="22"/>
        </w:rPr>
      </w:pPr>
    </w:p>
    <w:p w14:paraId="302FAA62" w14:textId="37D49A44" w:rsidR="00E22605" w:rsidRDefault="00E22605" w:rsidP="00E22605">
      <w:pPr>
        <w:ind w:left="720"/>
        <w:jc w:val="both"/>
        <w:rPr>
          <w:rStyle w:val="Koteret"/>
          <w:b w:val="0"/>
          <w:bCs/>
          <w:i/>
          <w:iCs/>
        </w:rPr>
      </w:pPr>
      <w:r w:rsidRPr="00D16828">
        <w:rPr>
          <w:rStyle w:val="Koteret"/>
          <w:b w:val="0"/>
          <w:bCs/>
          <w:i/>
          <w:iCs/>
        </w:rPr>
        <w:t>In thousands of Euros</w:t>
      </w:r>
    </w:p>
    <w:tbl>
      <w:tblPr>
        <w:tblW w:w="9561" w:type="dxa"/>
        <w:tblInd w:w="720" w:type="dxa"/>
        <w:tblLayout w:type="fixed"/>
        <w:tblLook w:val="06A0" w:firstRow="1" w:lastRow="0" w:firstColumn="1" w:lastColumn="0" w:noHBand="1" w:noVBand="1"/>
        <w:tblCaption w:val="AHR02"/>
        <w:tblDescription w:val="Financial instruments measured at fair value - Derivative financial instruments"/>
      </w:tblPr>
      <w:tblGrid>
        <w:gridCol w:w="1961"/>
        <w:gridCol w:w="1572"/>
        <w:gridCol w:w="1134"/>
        <w:gridCol w:w="1701"/>
        <w:gridCol w:w="1134"/>
        <w:gridCol w:w="925"/>
        <w:gridCol w:w="1134"/>
      </w:tblGrid>
      <w:tr w:rsidR="00DB42E2" w:rsidRPr="002B51C1" w14:paraId="0E793685" w14:textId="77777777" w:rsidTr="005101BC">
        <w:trPr>
          <w:trHeight w:val="20"/>
          <w:tblHeader/>
        </w:trPr>
        <w:tc>
          <w:tcPr>
            <w:tcW w:w="9561" w:type="dxa"/>
            <w:gridSpan w:val="7"/>
            <w:shd w:val="clear" w:color="auto" w:fill="auto"/>
            <w:noWrap/>
            <w:vAlign w:val="bottom"/>
          </w:tcPr>
          <w:p w14:paraId="4F91265A" w14:textId="498A6E0A" w:rsidR="00DB42E2" w:rsidRPr="002B51C1" w:rsidRDefault="00DB42E2" w:rsidP="00FB6AD4">
            <w:pPr>
              <w:pBdr>
                <w:bottom w:val="single" w:sz="4" w:space="1" w:color="auto"/>
              </w:pBdr>
              <w:bidi/>
              <w:spacing w:before="40"/>
              <w:ind w:left="57"/>
              <w:jc w:val="center"/>
              <w:rPr>
                <w:b/>
                <w:bCs/>
                <w:color w:val="000000"/>
                <w:sz w:val="20"/>
                <w:rtl/>
                <w:lang w:bidi="he-IL"/>
              </w:rPr>
            </w:pPr>
            <w:bookmarkStart w:id="215" w:name="Title_61" w:colFirst="0" w:colLast="0"/>
            <w:r>
              <w:rPr>
                <w:b/>
                <w:bCs/>
                <w:color w:val="000000"/>
                <w:sz w:val="20"/>
              </w:rPr>
              <w:t xml:space="preserve">As of December 31, </w:t>
            </w:r>
            <w:r w:rsidR="00AD1E41">
              <w:rPr>
                <w:b/>
                <w:bCs/>
                <w:color w:val="000000"/>
                <w:sz w:val="20"/>
                <w:lang w:bidi="he-IL"/>
              </w:rPr>
              <w:t>202</w:t>
            </w:r>
            <w:r w:rsidR="00A95416">
              <w:rPr>
                <w:b/>
                <w:bCs/>
                <w:color w:val="000000"/>
                <w:sz w:val="20"/>
                <w:lang w:bidi="he-IL"/>
              </w:rPr>
              <w:t>4</w:t>
            </w:r>
          </w:p>
        </w:tc>
      </w:tr>
      <w:bookmarkEnd w:id="215"/>
      <w:tr w:rsidR="00244E9B" w:rsidRPr="002B51C1" w14:paraId="0F5A7252" w14:textId="77777777" w:rsidTr="005101BC">
        <w:trPr>
          <w:trHeight w:val="20"/>
          <w:tblHeader/>
        </w:trPr>
        <w:tc>
          <w:tcPr>
            <w:tcW w:w="1961" w:type="dxa"/>
            <w:shd w:val="clear" w:color="auto" w:fill="auto"/>
            <w:noWrap/>
            <w:vAlign w:val="bottom"/>
            <w:hideMark/>
          </w:tcPr>
          <w:p w14:paraId="657D0A11" w14:textId="77777777" w:rsidR="00244E9B" w:rsidRPr="002B51C1" w:rsidRDefault="00244E9B">
            <w:pPr>
              <w:spacing w:before="40"/>
              <w:rPr>
                <w:rFonts w:ascii="Arial" w:eastAsia="Arial" w:hAnsi="Arial" w:cs="Arial"/>
                <w:sz w:val="20"/>
              </w:rPr>
            </w:pPr>
          </w:p>
        </w:tc>
        <w:tc>
          <w:tcPr>
            <w:tcW w:w="1572" w:type="dxa"/>
            <w:shd w:val="clear" w:color="auto" w:fill="auto"/>
            <w:noWrap/>
            <w:vAlign w:val="bottom"/>
            <w:hideMark/>
          </w:tcPr>
          <w:p w14:paraId="6612F111" w14:textId="77777777" w:rsidR="00244E9B" w:rsidRPr="002B51C1" w:rsidRDefault="00244E9B" w:rsidP="00FB6AD4">
            <w:pPr>
              <w:spacing w:before="40"/>
              <w:jc w:val="center"/>
              <w:rPr>
                <w:b/>
                <w:bCs/>
                <w:sz w:val="20"/>
              </w:rPr>
            </w:pPr>
            <w:r w:rsidRPr="002B51C1">
              <w:rPr>
                <w:b/>
                <w:bCs/>
                <w:color w:val="000000"/>
                <w:sz w:val="20"/>
              </w:rPr>
              <w:t>Interest</w:t>
            </w:r>
          </w:p>
          <w:p w14:paraId="08F81E59" w14:textId="7FB7103C" w:rsidR="00244E9B" w:rsidRPr="002B51C1" w:rsidRDefault="00244E9B" w:rsidP="00FB6AD4">
            <w:pPr>
              <w:pBdr>
                <w:bottom w:val="single" w:sz="4" w:space="0" w:color="000000"/>
              </w:pBdr>
              <w:spacing w:before="40"/>
              <w:jc w:val="center"/>
              <w:rPr>
                <w:b/>
                <w:bCs/>
                <w:sz w:val="20"/>
              </w:rPr>
            </w:pPr>
            <w:r w:rsidRPr="002B51C1">
              <w:rPr>
                <w:b/>
                <w:bCs/>
                <w:color w:val="000000"/>
                <w:sz w:val="20"/>
              </w:rPr>
              <w:t>Receivable</w:t>
            </w:r>
          </w:p>
        </w:tc>
        <w:tc>
          <w:tcPr>
            <w:tcW w:w="1134" w:type="dxa"/>
            <w:shd w:val="clear" w:color="auto" w:fill="auto"/>
            <w:noWrap/>
            <w:vAlign w:val="bottom"/>
            <w:hideMark/>
          </w:tcPr>
          <w:p w14:paraId="20BB0A78" w14:textId="77777777" w:rsidR="00244E9B" w:rsidRPr="002B51C1" w:rsidRDefault="00244E9B" w:rsidP="00FB6AD4">
            <w:pPr>
              <w:spacing w:before="40"/>
              <w:jc w:val="center"/>
              <w:rPr>
                <w:b/>
                <w:bCs/>
                <w:sz w:val="20"/>
              </w:rPr>
            </w:pPr>
            <w:r w:rsidRPr="002B51C1">
              <w:rPr>
                <w:b/>
                <w:bCs/>
                <w:color w:val="000000"/>
                <w:sz w:val="20"/>
              </w:rPr>
              <w:t>Interest</w:t>
            </w:r>
          </w:p>
          <w:p w14:paraId="31B0EC96" w14:textId="428D5A96" w:rsidR="00244E9B" w:rsidRPr="002B51C1" w:rsidRDefault="00244E9B" w:rsidP="00FB6AD4">
            <w:pPr>
              <w:pBdr>
                <w:bottom w:val="single" w:sz="4" w:space="0" w:color="000000"/>
              </w:pBdr>
              <w:spacing w:before="40"/>
              <w:jc w:val="center"/>
              <w:rPr>
                <w:b/>
                <w:bCs/>
                <w:sz w:val="20"/>
              </w:rPr>
            </w:pPr>
            <w:r w:rsidRPr="002B51C1">
              <w:rPr>
                <w:b/>
                <w:bCs/>
                <w:color w:val="000000"/>
                <w:sz w:val="20"/>
              </w:rPr>
              <w:t>payable</w:t>
            </w:r>
          </w:p>
        </w:tc>
        <w:tc>
          <w:tcPr>
            <w:tcW w:w="1701" w:type="dxa"/>
            <w:shd w:val="clear" w:color="auto" w:fill="auto"/>
            <w:noWrap/>
            <w:vAlign w:val="bottom"/>
            <w:hideMark/>
          </w:tcPr>
          <w:p w14:paraId="5B12D50D" w14:textId="77777777" w:rsidR="00244E9B" w:rsidRPr="002B51C1" w:rsidRDefault="00244E9B" w:rsidP="00FB6AD4">
            <w:pPr>
              <w:spacing w:before="40"/>
              <w:jc w:val="center"/>
              <w:rPr>
                <w:b/>
                <w:bCs/>
                <w:sz w:val="20"/>
              </w:rPr>
            </w:pPr>
            <w:r w:rsidRPr="002B51C1">
              <w:rPr>
                <w:b/>
                <w:bCs/>
                <w:color w:val="000000"/>
                <w:sz w:val="20"/>
              </w:rPr>
              <w:t>Expiration</w:t>
            </w:r>
          </w:p>
          <w:p w14:paraId="7C844370" w14:textId="77777777" w:rsidR="00244E9B" w:rsidRPr="002B51C1" w:rsidRDefault="00244E9B" w:rsidP="00FB6AD4">
            <w:pPr>
              <w:spacing w:before="40"/>
              <w:jc w:val="center"/>
              <w:rPr>
                <w:b/>
                <w:bCs/>
                <w:sz w:val="20"/>
              </w:rPr>
            </w:pPr>
            <w:r w:rsidRPr="002B51C1">
              <w:rPr>
                <w:b/>
                <w:bCs/>
                <w:color w:val="000000"/>
                <w:sz w:val="20"/>
              </w:rPr>
              <w:t>exercise</w:t>
            </w:r>
          </w:p>
          <w:p w14:paraId="6B710F6E" w14:textId="164A501F" w:rsidR="00244E9B" w:rsidRPr="002B51C1" w:rsidRDefault="00244E9B" w:rsidP="00FB6AD4">
            <w:pPr>
              <w:pBdr>
                <w:bottom w:val="single" w:sz="4" w:space="0" w:color="000000"/>
              </w:pBdr>
              <w:spacing w:before="40"/>
              <w:jc w:val="center"/>
              <w:rPr>
                <w:b/>
                <w:bCs/>
                <w:sz w:val="20"/>
              </w:rPr>
            </w:pPr>
            <w:r w:rsidRPr="002B51C1">
              <w:rPr>
                <w:b/>
                <w:bCs/>
                <w:color w:val="000000"/>
                <w:sz w:val="20"/>
              </w:rPr>
              <w:t>date</w:t>
            </w:r>
          </w:p>
        </w:tc>
        <w:tc>
          <w:tcPr>
            <w:tcW w:w="1134" w:type="dxa"/>
            <w:shd w:val="clear" w:color="auto" w:fill="auto"/>
            <w:noWrap/>
            <w:vAlign w:val="bottom"/>
            <w:hideMark/>
          </w:tcPr>
          <w:p w14:paraId="6B69E01A" w14:textId="6B5764AC" w:rsidR="00244E9B" w:rsidRPr="002B51C1" w:rsidRDefault="00244E9B" w:rsidP="00FB6AD4">
            <w:pPr>
              <w:pBdr>
                <w:bottom w:val="single" w:sz="4" w:space="0" w:color="000000"/>
              </w:pBdr>
              <w:spacing w:before="40"/>
              <w:jc w:val="center"/>
              <w:rPr>
                <w:b/>
                <w:bCs/>
                <w:sz w:val="20"/>
              </w:rPr>
            </w:pPr>
            <w:r w:rsidRPr="002B51C1">
              <w:rPr>
                <w:b/>
                <w:bCs/>
                <w:color w:val="000000"/>
                <w:sz w:val="20"/>
              </w:rPr>
              <w:t>Amount</w:t>
            </w:r>
          </w:p>
        </w:tc>
        <w:tc>
          <w:tcPr>
            <w:tcW w:w="925" w:type="dxa"/>
            <w:shd w:val="clear" w:color="auto" w:fill="auto"/>
            <w:noWrap/>
            <w:vAlign w:val="bottom"/>
            <w:hideMark/>
          </w:tcPr>
          <w:p w14:paraId="63E09937" w14:textId="77777777" w:rsidR="00244E9B" w:rsidRPr="002B51C1" w:rsidRDefault="00244E9B" w:rsidP="00FB6AD4">
            <w:pPr>
              <w:spacing w:before="40"/>
              <w:jc w:val="center"/>
              <w:rPr>
                <w:b/>
                <w:bCs/>
                <w:sz w:val="20"/>
              </w:rPr>
            </w:pPr>
            <w:r w:rsidRPr="002B51C1">
              <w:rPr>
                <w:b/>
                <w:bCs/>
                <w:color w:val="000000"/>
                <w:sz w:val="20"/>
              </w:rPr>
              <w:t>Fair</w:t>
            </w:r>
          </w:p>
          <w:p w14:paraId="57C72A13" w14:textId="3A62B3DD" w:rsidR="00244E9B" w:rsidRPr="002B51C1" w:rsidRDefault="00244E9B" w:rsidP="00FB6AD4">
            <w:pPr>
              <w:pBdr>
                <w:bottom w:val="single" w:sz="4" w:space="0" w:color="000000"/>
              </w:pBdr>
              <w:spacing w:before="40"/>
              <w:jc w:val="center"/>
              <w:rPr>
                <w:b/>
                <w:bCs/>
                <w:sz w:val="20"/>
              </w:rPr>
            </w:pPr>
            <w:r w:rsidRPr="002B51C1">
              <w:rPr>
                <w:b/>
                <w:bCs/>
                <w:color w:val="000000"/>
                <w:sz w:val="20"/>
              </w:rPr>
              <w:t>value</w:t>
            </w:r>
          </w:p>
        </w:tc>
        <w:tc>
          <w:tcPr>
            <w:tcW w:w="1134" w:type="dxa"/>
            <w:shd w:val="clear" w:color="auto" w:fill="auto"/>
            <w:noWrap/>
            <w:vAlign w:val="bottom"/>
            <w:hideMark/>
          </w:tcPr>
          <w:p w14:paraId="77F4B788" w14:textId="77777777" w:rsidR="00244E9B" w:rsidRPr="002B51C1" w:rsidRDefault="00244E9B" w:rsidP="00FB6AD4">
            <w:pPr>
              <w:spacing w:before="40"/>
              <w:jc w:val="center"/>
              <w:rPr>
                <w:b/>
                <w:bCs/>
                <w:sz w:val="20"/>
              </w:rPr>
            </w:pPr>
            <w:r w:rsidRPr="002B51C1">
              <w:rPr>
                <w:b/>
                <w:bCs/>
                <w:color w:val="000000"/>
                <w:sz w:val="20"/>
              </w:rPr>
              <w:t>Effective</w:t>
            </w:r>
          </w:p>
          <w:p w14:paraId="0231CA08" w14:textId="77777777" w:rsidR="00244E9B" w:rsidRPr="002B51C1" w:rsidRDefault="00244E9B" w:rsidP="00FB6AD4">
            <w:pPr>
              <w:spacing w:before="40"/>
              <w:jc w:val="center"/>
              <w:rPr>
                <w:b/>
                <w:bCs/>
                <w:sz w:val="20"/>
              </w:rPr>
            </w:pPr>
            <w:r w:rsidRPr="002B51C1">
              <w:rPr>
                <w:b/>
                <w:bCs/>
                <w:color w:val="000000"/>
                <w:sz w:val="20"/>
              </w:rPr>
              <w:t>Hedge</w:t>
            </w:r>
          </w:p>
          <w:p w14:paraId="0EA5F2A6" w14:textId="4B203E7E" w:rsidR="00244E9B" w:rsidRPr="002B51C1" w:rsidRDefault="00244E9B" w:rsidP="00FB6AD4">
            <w:pPr>
              <w:pBdr>
                <w:bottom w:val="single" w:sz="4" w:space="0" w:color="000000"/>
              </w:pBdr>
              <w:spacing w:before="40"/>
              <w:jc w:val="center"/>
              <w:rPr>
                <w:b/>
                <w:bCs/>
                <w:sz w:val="20"/>
              </w:rPr>
            </w:pPr>
            <w:r w:rsidRPr="002B51C1">
              <w:rPr>
                <w:b/>
                <w:bCs/>
                <w:color w:val="000000"/>
                <w:sz w:val="20"/>
              </w:rPr>
              <w:t>net of Tax</w:t>
            </w:r>
          </w:p>
        </w:tc>
      </w:tr>
      <w:tr w:rsidR="00FE1379" w:rsidRPr="002B51C1" w14:paraId="31A2097B" w14:textId="77777777" w:rsidTr="005101BC">
        <w:trPr>
          <w:trHeight w:val="20"/>
        </w:trPr>
        <w:tc>
          <w:tcPr>
            <w:tcW w:w="1961" w:type="dxa"/>
            <w:shd w:val="clear" w:color="auto" w:fill="auto"/>
            <w:vAlign w:val="bottom"/>
            <w:hideMark/>
          </w:tcPr>
          <w:p w14:paraId="0F1E0809" w14:textId="77777777" w:rsidR="00FE1379" w:rsidRPr="002B51C1" w:rsidRDefault="00FE1379" w:rsidP="00FE1379">
            <w:pPr>
              <w:spacing w:before="40"/>
              <w:rPr>
                <w:sz w:val="22"/>
                <w:szCs w:val="22"/>
              </w:rPr>
            </w:pPr>
            <w:r w:rsidRPr="002B51C1">
              <w:rPr>
                <w:color w:val="000000"/>
                <w:sz w:val="22"/>
                <w:szCs w:val="22"/>
              </w:rPr>
              <w:t xml:space="preserve">Interest rate swap </w:t>
            </w:r>
          </w:p>
        </w:tc>
        <w:tc>
          <w:tcPr>
            <w:tcW w:w="1572" w:type="dxa"/>
            <w:shd w:val="clear" w:color="auto" w:fill="auto"/>
            <w:noWrap/>
            <w:vAlign w:val="bottom"/>
          </w:tcPr>
          <w:p w14:paraId="0E26EA7C" w14:textId="4EC40010" w:rsidR="00FE1379" w:rsidRPr="00C31906" w:rsidRDefault="00FE1379" w:rsidP="00FE1379">
            <w:pPr>
              <w:spacing w:before="40"/>
              <w:jc w:val="center"/>
              <w:rPr>
                <w:b/>
                <w:bCs/>
                <w:sz w:val="22"/>
                <w:szCs w:val="22"/>
              </w:rPr>
            </w:pPr>
            <w:r>
              <w:rPr>
                <w:color w:val="000000"/>
                <w:sz w:val="22"/>
                <w:szCs w:val="22"/>
              </w:rPr>
              <w:t>3M Euribor</w:t>
            </w:r>
          </w:p>
        </w:tc>
        <w:tc>
          <w:tcPr>
            <w:tcW w:w="1134" w:type="dxa"/>
            <w:shd w:val="clear" w:color="auto" w:fill="auto"/>
            <w:noWrap/>
          </w:tcPr>
          <w:p w14:paraId="05FE46C8" w14:textId="4F338CDD" w:rsidR="00FE1379" w:rsidRPr="001D04E9" w:rsidRDefault="008439D5" w:rsidP="00FE1379">
            <w:pPr>
              <w:spacing w:before="40"/>
              <w:jc w:val="center"/>
              <w:rPr>
                <w:b/>
                <w:bCs/>
                <w:sz w:val="22"/>
                <w:szCs w:val="22"/>
              </w:rPr>
            </w:pPr>
            <w:r>
              <w:rPr>
                <w:sz w:val="22"/>
                <w:szCs w:val="22"/>
              </w:rPr>
              <w:t>(</w:t>
            </w:r>
            <w:r w:rsidR="00FE1379" w:rsidRPr="001D04E9">
              <w:rPr>
                <w:sz w:val="22"/>
                <w:szCs w:val="22"/>
              </w:rPr>
              <w:t>0.</w:t>
            </w:r>
            <w:r w:rsidRPr="001D04E9">
              <w:rPr>
                <w:sz w:val="22"/>
                <w:szCs w:val="22"/>
              </w:rPr>
              <w:t>0</w:t>
            </w:r>
            <w:r>
              <w:rPr>
                <w:sz w:val="22"/>
                <w:szCs w:val="22"/>
              </w:rPr>
              <w:t>75</w:t>
            </w:r>
            <w:r w:rsidR="00FE1379" w:rsidRPr="001D04E9">
              <w:rPr>
                <w:sz w:val="22"/>
                <w:szCs w:val="22"/>
              </w:rPr>
              <w:t>%</w:t>
            </w:r>
            <w:r>
              <w:rPr>
                <w:sz w:val="22"/>
                <w:szCs w:val="22"/>
              </w:rPr>
              <w:t>)</w:t>
            </w:r>
          </w:p>
        </w:tc>
        <w:tc>
          <w:tcPr>
            <w:tcW w:w="1701" w:type="dxa"/>
            <w:shd w:val="clear" w:color="auto" w:fill="auto"/>
            <w:noWrap/>
          </w:tcPr>
          <w:p w14:paraId="06EE0ED2" w14:textId="778FD645" w:rsidR="00FE1379" w:rsidRPr="001D04E9" w:rsidRDefault="00FE1379" w:rsidP="00FE1379">
            <w:pPr>
              <w:spacing w:before="40"/>
              <w:jc w:val="center"/>
              <w:rPr>
                <w:b/>
                <w:bCs/>
                <w:sz w:val="22"/>
                <w:szCs w:val="22"/>
              </w:rPr>
            </w:pPr>
            <w:r w:rsidRPr="001D04E9">
              <w:rPr>
                <w:sz w:val="22"/>
                <w:szCs w:val="22"/>
              </w:rPr>
              <w:t>01/08/2025</w:t>
            </w:r>
          </w:p>
        </w:tc>
        <w:tc>
          <w:tcPr>
            <w:tcW w:w="1134" w:type="dxa"/>
            <w:shd w:val="clear" w:color="auto" w:fill="auto"/>
            <w:noWrap/>
          </w:tcPr>
          <w:p w14:paraId="75BB4F8C" w14:textId="641BFF8A" w:rsidR="00FE1379" w:rsidRPr="001D04E9" w:rsidRDefault="00FE1379" w:rsidP="00FE1379">
            <w:pPr>
              <w:spacing w:before="40"/>
              <w:jc w:val="right"/>
              <w:rPr>
                <w:b/>
                <w:bCs/>
                <w:sz w:val="22"/>
                <w:szCs w:val="22"/>
                <w:highlight w:val="yellow"/>
              </w:rPr>
            </w:pPr>
            <w:r w:rsidRPr="001D04E9">
              <w:rPr>
                <w:sz w:val="22"/>
                <w:szCs w:val="22"/>
              </w:rPr>
              <w:t xml:space="preserve"> 148,325 </w:t>
            </w:r>
          </w:p>
        </w:tc>
        <w:tc>
          <w:tcPr>
            <w:tcW w:w="925" w:type="dxa"/>
            <w:shd w:val="clear" w:color="auto" w:fill="auto"/>
            <w:noWrap/>
          </w:tcPr>
          <w:p w14:paraId="2DE7B615" w14:textId="21272F52" w:rsidR="00FE1379" w:rsidRPr="001D04E9" w:rsidRDefault="00FE1379" w:rsidP="00FE1379">
            <w:pPr>
              <w:spacing w:before="40"/>
              <w:jc w:val="right"/>
              <w:rPr>
                <w:b/>
                <w:bCs/>
                <w:sz w:val="22"/>
                <w:szCs w:val="22"/>
                <w:highlight w:val="yellow"/>
              </w:rPr>
            </w:pPr>
            <w:r w:rsidRPr="001D04E9">
              <w:rPr>
                <w:sz w:val="22"/>
                <w:szCs w:val="22"/>
              </w:rPr>
              <w:t xml:space="preserve"> 2,228 </w:t>
            </w:r>
          </w:p>
        </w:tc>
        <w:tc>
          <w:tcPr>
            <w:tcW w:w="1134" w:type="dxa"/>
            <w:shd w:val="clear" w:color="auto" w:fill="auto"/>
            <w:noWrap/>
          </w:tcPr>
          <w:p w14:paraId="2D40FFCC" w14:textId="774F1CA0" w:rsidR="00FE1379" w:rsidRPr="001D04E9" w:rsidRDefault="00FE1379" w:rsidP="00FE1379">
            <w:pPr>
              <w:spacing w:before="40"/>
              <w:jc w:val="right"/>
              <w:rPr>
                <w:b/>
                <w:bCs/>
                <w:sz w:val="22"/>
                <w:szCs w:val="22"/>
                <w:highlight w:val="yellow"/>
              </w:rPr>
            </w:pPr>
            <w:r w:rsidRPr="001D04E9">
              <w:rPr>
                <w:sz w:val="22"/>
                <w:szCs w:val="22"/>
              </w:rPr>
              <w:t xml:space="preserve"> 1,873 </w:t>
            </w:r>
          </w:p>
        </w:tc>
      </w:tr>
      <w:tr w:rsidR="00FE1379" w:rsidRPr="002B51C1" w14:paraId="0E90AC03" w14:textId="77777777" w:rsidTr="005101BC">
        <w:trPr>
          <w:trHeight w:val="20"/>
        </w:trPr>
        <w:tc>
          <w:tcPr>
            <w:tcW w:w="1961" w:type="dxa"/>
            <w:shd w:val="clear" w:color="auto" w:fill="auto"/>
            <w:vAlign w:val="bottom"/>
            <w:hideMark/>
          </w:tcPr>
          <w:p w14:paraId="30527B64" w14:textId="77777777" w:rsidR="00FE1379" w:rsidRPr="002B51C1" w:rsidRDefault="00FE1379" w:rsidP="00FE1379">
            <w:pPr>
              <w:spacing w:before="40"/>
              <w:rPr>
                <w:sz w:val="22"/>
                <w:szCs w:val="22"/>
              </w:rPr>
            </w:pPr>
            <w:r w:rsidRPr="002B51C1">
              <w:rPr>
                <w:color w:val="000000"/>
                <w:sz w:val="22"/>
                <w:szCs w:val="22"/>
              </w:rPr>
              <w:t>Interest rate swap</w:t>
            </w:r>
          </w:p>
        </w:tc>
        <w:tc>
          <w:tcPr>
            <w:tcW w:w="1572" w:type="dxa"/>
            <w:shd w:val="clear" w:color="auto" w:fill="auto"/>
            <w:noWrap/>
            <w:vAlign w:val="bottom"/>
          </w:tcPr>
          <w:p w14:paraId="67547EA5" w14:textId="2181745B" w:rsidR="00FE1379" w:rsidRPr="00C31906" w:rsidRDefault="00FE1379" w:rsidP="00FE1379">
            <w:pPr>
              <w:spacing w:before="40"/>
              <w:jc w:val="center"/>
              <w:rPr>
                <w:b/>
                <w:bCs/>
                <w:sz w:val="22"/>
                <w:szCs w:val="22"/>
              </w:rPr>
            </w:pPr>
            <w:r>
              <w:rPr>
                <w:color w:val="000000"/>
                <w:sz w:val="22"/>
                <w:szCs w:val="22"/>
              </w:rPr>
              <w:t>3M Euribor</w:t>
            </w:r>
          </w:p>
        </w:tc>
        <w:tc>
          <w:tcPr>
            <w:tcW w:w="1134" w:type="dxa"/>
            <w:shd w:val="clear" w:color="auto" w:fill="auto"/>
            <w:noWrap/>
          </w:tcPr>
          <w:p w14:paraId="2F8B7F8C" w14:textId="07AFCA2A" w:rsidR="00FE1379" w:rsidRPr="001D04E9" w:rsidRDefault="00FE1379" w:rsidP="00FE1379">
            <w:pPr>
              <w:spacing w:before="40"/>
              <w:jc w:val="center"/>
              <w:rPr>
                <w:b/>
                <w:bCs/>
                <w:sz w:val="22"/>
                <w:szCs w:val="22"/>
              </w:rPr>
            </w:pPr>
            <w:r w:rsidRPr="001D04E9">
              <w:rPr>
                <w:sz w:val="22"/>
                <w:szCs w:val="22"/>
              </w:rPr>
              <w:t>2.</w:t>
            </w:r>
            <w:r w:rsidR="008439D5" w:rsidRPr="001D04E9">
              <w:rPr>
                <w:sz w:val="22"/>
                <w:szCs w:val="22"/>
              </w:rPr>
              <w:t>9</w:t>
            </w:r>
            <w:r w:rsidR="008439D5">
              <w:rPr>
                <w:sz w:val="22"/>
                <w:szCs w:val="22"/>
              </w:rPr>
              <w:t>25</w:t>
            </w:r>
            <w:r w:rsidRPr="001D04E9">
              <w:rPr>
                <w:sz w:val="22"/>
                <w:szCs w:val="22"/>
              </w:rPr>
              <w:t>%</w:t>
            </w:r>
          </w:p>
        </w:tc>
        <w:tc>
          <w:tcPr>
            <w:tcW w:w="1701" w:type="dxa"/>
            <w:shd w:val="clear" w:color="auto" w:fill="auto"/>
            <w:noWrap/>
          </w:tcPr>
          <w:p w14:paraId="15A8DE27" w14:textId="6C08C64C" w:rsidR="00FE1379" w:rsidRPr="001D04E9" w:rsidRDefault="00FE1379" w:rsidP="00FE1379">
            <w:pPr>
              <w:spacing w:before="40"/>
              <w:jc w:val="center"/>
              <w:rPr>
                <w:b/>
                <w:bCs/>
                <w:sz w:val="22"/>
                <w:szCs w:val="22"/>
              </w:rPr>
            </w:pPr>
            <w:r w:rsidRPr="001D04E9">
              <w:rPr>
                <w:sz w:val="22"/>
                <w:szCs w:val="22"/>
              </w:rPr>
              <w:t>25/01/2027</w:t>
            </w:r>
          </w:p>
        </w:tc>
        <w:tc>
          <w:tcPr>
            <w:tcW w:w="1134" w:type="dxa"/>
            <w:shd w:val="clear" w:color="auto" w:fill="auto"/>
            <w:noWrap/>
          </w:tcPr>
          <w:p w14:paraId="0A5F2BCE" w14:textId="27AC3E42" w:rsidR="00FE1379" w:rsidRPr="001D04E9" w:rsidRDefault="00FE1379" w:rsidP="00FE1379">
            <w:pPr>
              <w:spacing w:before="40"/>
              <w:jc w:val="right"/>
              <w:rPr>
                <w:b/>
                <w:bCs/>
                <w:sz w:val="22"/>
                <w:szCs w:val="22"/>
                <w:highlight w:val="yellow"/>
              </w:rPr>
            </w:pPr>
            <w:r w:rsidRPr="001D04E9">
              <w:rPr>
                <w:sz w:val="22"/>
                <w:szCs w:val="22"/>
              </w:rPr>
              <w:t xml:space="preserve"> 12,326 </w:t>
            </w:r>
          </w:p>
        </w:tc>
        <w:tc>
          <w:tcPr>
            <w:tcW w:w="925" w:type="dxa"/>
            <w:shd w:val="clear" w:color="auto" w:fill="auto"/>
            <w:noWrap/>
          </w:tcPr>
          <w:p w14:paraId="002022B4" w14:textId="15DD2C24" w:rsidR="00FE1379" w:rsidRPr="001D04E9" w:rsidRDefault="00FE1379" w:rsidP="00FE1379">
            <w:pPr>
              <w:spacing w:before="40"/>
              <w:jc w:val="right"/>
              <w:rPr>
                <w:b/>
                <w:bCs/>
                <w:sz w:val="22"/>
                <w:szCs w:val="22"/>
                <w:highlight w:val="yellow"/>
              </w:rPr>
            </w:pPr>
            <w:r w:rsidRPr="001D04E9">
              <w:rPr>
                <w:sz w:val="22"/>
                <w:szCs w:val="22"/>
              </w:rPr>
              <w:t xml:space="preserve"> (207)</w:t>
            </w:r>
          </w:p>
        </w:tc>
        <w:tc>
          <w:tcPr>
            <w:tcW w:w="1134" w:type="dxa"/>
            <w:shd w:val="clear" w:color="auto" w:fill="auto"/>
            <w:noWrap/>
          </w:tcPr>
          <w:p w14:paraId="6BE014F3" w14:textId="60F32377" w:rsidR="00FE1379" w:rsidRPr="001D04E9" w:rsidRDefault="00FE1379" w:rsidP="00FE1379">
            <w:pPr>
              <w:spacing w:before="40"/>
              <w:jc w:val="right"/>
              <w:rPr>
                <w:b/>
                <w:bCs/>
                <w:sz w:val="22"/>
                <w:szCs w:val="22"/>
                <w:highlight w:val="yellow"/>
              </w:rPr>
            </w:pPr>
            <w:r w:rsidRPr="001D04E9">
              <w:rPr>
                <w:sz w:val="22"/>
                <w:szCs w:val="22"/>
              </w:rPr>
              <w:t xml:space="preserve"> (174)</w:t>
            </w:r>
          </w:p>
        </w:tc>
      </w:tr>
      <w:tr w:rsidR="008439D5" w:rsidRPr="002B51C1" w14:paraId="098B5414" w14:textId="77777777" w:rsidTr="005101BC">
        <w:trPr>
          <w:trHeight w:val="20"/>
        </w:trPr>
        <w:tc>
          <w:tcPr>
            <w:tcW w:w="1961" w:type="dxa"/>
            <w:shd w:val="clear" w:color="auto" w:fill="auto"/>
            <w:vAlign w:val="bottom"/>
            <w:hideMark/>
          </w:tcPr>
          <w:p w14:paraId="57734D96" w14:textId="77777777" w:rsidR="008439D5" w:rsidRPr="002B51C1" w:rsidRDefault="008439D5" w:rsidP="008439D5">
            <w:pPr>
              <w:spacing w:before="40"/>
              <w:rPr>
                <w:sz w:val="22"/>
                <w:szCs w:val="22"/>
              </w:rPr>
            </w:pPr>
            <w:r w:rsidRPr="002B51C1">
              <w:rPr>
                <w:color w:val="000000"/>
                <w:sz w:val="22"/>
                <w:szCs w:val="22"/>
              </w:rPr>
              <w:t>Interest rate swap</w:t>
            </w:r>
          </w:p>
        </w:tc>
        <w:tc>
          <w:tcPr>
            <w:tcW w:w="1572" w:type="dxa"/>
            <w:shd w:val="clear" w:color="auto" w:fill="auto"/>
            <w:noWrap/>
            <w:vAlign w:val="bottom"/>
          </w:tcPr>
          <w:p w14:paraId="7D745C2A" w14:textId="430A09B5" w:rsidR="008439D5" w:rsidRPr="00C31906" w:rsidRDefault="008439D5" w:rsidP="008439D5">
            <w:pPr>
              <w:spacing w:before="40"/>
              <w:jc w:val="center"/>
              <w:rPr>
                <w:b/>
                <w:bCs/>
                <w:sz w:val="22"/>
                <w:szCs w:val="22"/>
              </w:rPr>
            </w:pPr>
            <w:r>
              <w:rPr>
                <w:color w:val="000000"/>
                <w:sz w:val="22"/>
                <w:szCs w:val="22"/>
              </w:rPr>
              <w:t>3M Euribor</w:t>
            </w:r>
          </w:p>
        </w:tc>
        <w:tc>
          <w:tcPr>
            <w:tcW w:w="1134" w:type="dxa"/>
            <w:shd w:val="clear" w:color="auto" w:fill="auto"/>
            <w:noWrap/>
          </w:tcPr>
          <w:p w14:paraId="7400ADF1" w14:textId="7DEB527E" w:rsidR="008439D5" w:rsidRPr="001D04E9" w:rsidRDefault="008439D5" w:rsidP="008439D5">
            <w:pPr>
              <w:spacing w:before="40"/>
              <w:jc w:val="center"/>
              <w:rPr>
                <w:b/>
                <w:bCs/>
                <w:sz w:val="22"/>
                <w:szCs w:val="22"/>
              </w:rPr>
            </w:pPr>
            <w:r w:rsidRPr="001D04E9">
              <w:rPr>
                <w:sz w:val="22"/>
                <w:szCs w:val="22"/>
              </w:rPr>
              <w:t>2.9</w:t>
            </w:r>
            <w:r>
              <w:rPr>
                <w:sz w:val="22"/>
                <w:szCs w:val="22"/>
              </w:rPr>
              <w:t>25</w:t>
            </w:r>
            <w:r w:rsidRPr="001D04E9">
              <w:rPr>
                <w:sz w:val="22"/>
                <w:szCs w:val="22"/>
              </w:rPr>
              <w:t>%</w:t>
            </w:r>
          </w:p>
        </w:tc>
        <w:tc>
          <w:tcPr>
            <w:tcW w:w="1701" w:type="dxa"/>
            <w:shd w:val="clear" w:color="auto" w:fill="auto"/>
            <w:noWrap/>
          </w:tcPr>
          <w:p w14:paraId="591DEBF6" w14:textId="3F8AD69C" w:rsidR="008439D5" w:rsidRPr="001D04E9" w:rsidRDefault="008439D5" w:rsidP="008439D5">
            <w:pPr>
              <w:spacing w:before="40"/>
              <w:jc w:val="center"/>
              <w:rPr>
                <w:b/>
                <w:bCs/>
                <w:sz w:val="22"/>
                <w:szCs w:val="22"/>
              </w:rPr>
            </w:pPr>
            <w:r w:rsidRPr="001D04E9">
              <w:rPr>
                <w:sz w:val="22"/>
                <w:szCs w:val="22"/>
              </w:rPr>
              <w:t>25/01/2027</w:t>
            </w:r>
          </w:p>
        </w:tc>
        <w:tc>
          <w:tcPr>
            <w:tcW w:w="1134" w:type="dxa"/>
            <w:shd w:val="clear" w:color="auto" w:fill="auto"/>
            <w:noWrap/>
          </w:tcPr>
          <w:p w14:paraId="6BF22E7B" w14:textId="4C57EAB9" w:rsidR="008439D5" w:rsidRPr="001D04E9" w:rsidRDefault="008439D5" w:rsidP="008439D5">
            <w:pPr>
              <w:spacing w:before="40"/>
              <w:jc w:val="right"/>
              <w:rPr>
                <w:b/>
                <w:bCs/>
                <w:sz w:val="22"/>
                <w:szCs w:val="22"/>
                <w:highlight w:val="yellow"/>
              </w:rPr>
            </w:pPr>
            <w:r w:rsidRPr="001D04E9">
              <w:rPr>
                <w:sz w:val="22"/>
                <w:szCs w:val="22"/>
              </w:rPr>
              <w:t xml:space="preserve"> 13,428 </w:t>
            </w:r>
          </w:p>
        </w:tc>
        <w:tc>
          <w:tcPr>
            <w:tcW w:w="925" w:type="dxa"/>
            <w:shd w:val="clear" w:color="auto" w:fill="auto"/>
            <w:noWrap/>
          </w:tcPr>
          <w:p w14:paraId="44EE1706" w14:textId="63D4A30E" w:rsidR="008439D5" w:rsidRPr="001D04E9" w:rsidRDefault="008439D5" w:rsidP="008439D5">
            <w:pPr>
              <w:spacing w:before="40"/>
              <w:jc w:val="right"/>
              <w:rPr>
                <w:b/>
                <w:bCs/>
                <w:sz w:val="22"/>
                <w:szCs w:val="22"/>
                <w:highlight w:val="yellow"/>
              </w:rPr>
            </w:pPr>
            <w:r w:rsidRPr="001D04E9">
              <w:rPr>
                <w:sz w:val="22"/>
                <w:szCs w:val="22"/>
              </w:rPr>
              <w:t xml:space="preserve"> (226)</w:t>
            </w:r>
          </w:p>
        </w:tc>
        <w:tc>
          <w:tcPr>
            <w:tcW w:w="1134" w:type="dxa"/>
            <w:shd w:val="clear" w:color="auto" w:fill="auto"/>
            <w:noWrap/>
          </w:tcPr>
          <w:p w14:paraId="7CF62235" w14:textId="6F8046D8" w:rsidR="008439D5" w:rsidRPr="001D04E9" w:rsidRDefault="008439D5" w:rsidP="008439D5">
            <w:pPr>
              <w:spacing w:before="40"/>
              <w:jc w:val="right"/>
              <w:rPr>
                <w:b/>
                <w:bCs/>
                <w:sz w:val="22"/>
                <w:szCs w:val="22"/>
                <w:highlight w:val="yellow"/>
              </w:rPr>
            </w:pPr>
            <w:r w:rsidRPr="001D04E9">
              <w:rPr>
                <w:sz w:val="22"/>
                <w:szCs w:val="22"/>
              </w:rPr>
              <w:t xml:space="preserve"> (190)</w:t>
            </w:r>
          </w:p>
        </w:tc>
      </w:tr>
      <w:tr w:rsidR="008439D5" w:rsidRPr="002B51C1" w14:paraId="040A989B" w14:textId="77777777" w:rsidTr="005101BC">
        <w:trPr>
          <w:trHeight w:val="20"/>
        </w:trPr>
        <w:tc>
          <w:tcPr>
            <w:tcW w:w="1961" w:type="dxa"/>
            <w:shd w:val="clear" w:color="auto" w:fill="auto"/>
            <w:vAlign w:val="bottom"/>
          </w:tcPr>
          <w:p w14:paraId="71FF27C4" w14:textId="1291BBE3" w:rsidR="008439D5" w:rsidRPr="002B51C1" w:rsidRDefault="008439D5" w:rsidP="008439D5">
            <w:pPr>
              <w:spacing w:before="40"/>
              <w:rPr>
                <w:color w:val="000000"/>
                <w:sz w:val="22"/>
                <w:szCs w:val="22"/>
              </w:rPr>
            </w:pPr>
            <w:r w:rsidRPr="002B51C1">
              <w:rPr>
                <w:color w:val="000000"/>
                <w:sz w:val="22"/>
                <w:szCs w:val="22"/>
              </w:rPr>
              <w:t>Interest rate swap</w:t>
            </w:r>
          </w:p>
        </w:tc>
        <w:tc>
          <w:tcPr>
            <w:tcW w:w="1572" w:type="dxa"/>
            <w:shd w:val="clear" w:color="auto" w:fill="auto"/>
            <w:noWrap/>
            <w:vAlign w:val="bottom"/>
          </w:tcPr>
          <w:p w14:paraId="64A56E75" w14:textId="1265909B" w:rsidR="008439D5" w:rsidRPr="00C31906" w:rsidRDefault="008439D5" w:rsidP="008439D5">
            <w:pPr>
              <w:spacing w:before="40"/>
              <w:jc w:val="center"/>
              <w:rPr>
                <w:b/>
                <w:bCs/>
                <w:color w:val="000000"/>
                <w:sz w:val="22"/>
                <w:szCs w:val="22"/>
              </w:rPr>
            </w:pPr>
            <w:r>
              <w:rPr>
                <w:color w:val="000000"/>
                <w:sz w:val="22"/>
                <w:szCs w:val="22"/>
              </w:rPr>
              <w:t>3M Euribor</w:t>
            </w:r>
          </w:p>
        </w:tc>
        <w:tc>
          <w:tcPr>
            <w:tcW w:w="1134" w:type="dxa"/>
            <w:shd w:val="clear" w:color="auto" w:fill="auto"/>
            <w:noWrap/>
          </w:tcPr>
          <w:p w14:paraId="398B59D8" w14:textId="47C8B68A" w:rsidR="008439D5" w:rsidRPr="001D04E9" w:rsidRDefault="008439D5" w:rsidP="008439D5">
            <w:pPr>
              <w:spacing w:before="40"/>
              <w:jc w:val="center"/>
              <w:rPr>
                <w:b/>
                <w:bCs/>
                <w:sz w:val="22"/>
                <w:szCs w:val="22"/>
              </w:rPr>
            </w:pPr>
            <w:r w:rsidRPr="001D04E9">
              <w:rPr>
                <w:sz w:val="22"/>
                <w:szCs w:val="22"/>
              </w:rPr>
              <w:t>2.9</w:t>
            </w:r>
            <w:r>
              <w:rPr>
                <w:sz w:val="22"/>
                <w:szCs w:val="22"/>
              </w:rPr>
              <w:t>25</w:t>
            </w:r>
            <w:r w:rsidRPr="001D04E9">
              <w:rPr>
                <w:sz w:val="22"/>
                <w:szCs w:val="22"/>
              </w:rPr>
              <w:t>%</w:t>
            </w:r>
          </w:p>
        </w:tc>
        <w:tc>
          <w:tcPr>
            <w:tcW w:w="1701" w:type="dxa"/>
            <w:shd w:val="clear" w:color="auto" w:fill="auto"/>
            <w:noWrap/>
          </w:tcPr>
          <w:p w14:paraId="3202770E" w14:textId="2F681AC1" w:rsidR="008439D5" w:rsidRPr="001D04E9" w:rsidRDefault="008439D5" w:rsidP="008439D5">
            <w:pPr>
              <w:spacing w:before="40"/>
              <w:jc w:val="center"/>
              <w:rPr>
                <w:b/>
                <w:bCs/>
                <w:sz w:val="22"/>
                <w:szCs w:val="22"/>
              </w:rPr>
            </w:pPr>
            <w:r w:rsidRPr="001D04E9">
              <w:rPr>
                <w:sz w:val="22"/>
                <w:szCs w:val="22"/>
              </w:rPr>
              <w:t>25/01/2027</w:t>
            </w:r>
          </w:p>
        </w:tc>
        <w:tc>
          <w:tcPr>
            <w:tcW w:w="1134" w:type="dxa"/>
            <w:shd w:val="clear" w:color="auto" w:fill="auto"/>
            <w:noWrap/>
          </w:tcPr>
          <w:p w14:paraId="239E27C8" w14:textId="47D7237F" w:rsidR="008439D5" w:rsidRPr="001D04E9" w:rsidRDefault="008439D5" w:rsidP="008439D5">
            <w:pPr>
              <w:spacing w:before="40"/>
              <w:jc w:val="right"/>
              <w:rPr>
                <w:b/>
                <w:bCs/>
                <w:sz w:val="22"/>
                <w:szCs w:val="22"/>
                <w:highlight w:val="yellow"/>
              </w:rPr>
            </w:pPr>
            <w:r w:rsidRPr="001D04E9">
              <w:rPr>
                <w:sz w:val="22"/>
                <w:szCs w:val="22"/>
              </w:rPr>
              <w:t xml:space="preserve"> 13,766 </w:t>
            </w:r>
          </w:p>
        </w:tc>
        <w:tc>
          <w:tcPr>
            <w:tcW w:w="925" w:type="dxa"/>
            <w:shd w:val="clear" w:color="auto" w:fill="auto"/>
            <w:noWrap/>
          </w:tcPr>
          <w:p w14:paraId="0568F961" w14:textId="2379A09F" w:rsidR="008439D5" w:rsidRPr="001D04E9" w:rsidRDefault="008439D5" w:rsidP="008439D5">
            <w:pPr>
              <w:spacing w:before="40"/>
              <w:jc w:val="right"/>
              <w:rPr>
                <w:b/>
                <w:bCs/>
                <w:sz w:val="22"/>
                <w:szCs w:val="22"/>
                <w:highlight w:val="yellow"/>
              </w:rPr>
            </w:pPr>
            <w:r w:rsidRPr="001D04E9">
              <w:rPr>
                <w:sz w:val="22"/>
                <w:szCs w:val="22"/>
              </w:rPr>
              <w:t xml:space="preserve"> (232)</w:t>
            </w:r>
          </w:p>
        </w:tc>
        <w:tc>
          <w:tcPr>
            <w:tcW w:w="1134" w:type="dxa"/>
            <w:shd w:val="clear" w:color="auto" w:fill="auto"/>
            <w:noWrap/>
          </w:tcPr>
          <w:p w14:paraId="2733A9EC" w14:textId="0C13B34E" w:rsidR="008439D5" w:rsidRPr="001D04E9" w:rsidRDefault="008439D5" w:rsidP="008439D5">
            <w:pPr>
              <w:spacing w:before="40"/>
              <w:jc w:val="right"/>
              <w:rPr>
                <w:b/>
                <w:bCs/>
                <w:sz w:val="22"/>
                <w:szCs w:val="22"/>
                <w:highlight w:val="yellow"/>
              </w:rPr>
            </w:pPr>
            <w:r w:rsidRPr="001D04E9">
              <w:rPr>
                <w:sz w:val="22"/>
                <w:szCs w:val="22"/>
              </w:rPr>
              <w:t xml:space="preserve"> (194)</w:t>
            </w:r>
          </w:p>
        </w:tc>
      </w:tr>
      <w:tr w:rsidR="008439D5" w:rsidRPr="002B51C1" w14:paraId="64D7859A" w14:textId="77777777" w:rsidTr="005101BC">
        <w:trPr>
          <w:trHeight w:val="20"/>
        </w:trPr>
        <w:tc>
          <w:tcPr>
            <w:tcW w:w="1961" w:type="dxa"/>
            <w:shd w:val="clear" w:color="auto" w:fill="auto"/>
            <w:vAlign w:val="bottom"/>
            <w:hideMark/>
          </w:tcPr>
          <w:p w14:paraId="41252A74" w14:textId="77777777" w:rsidR="008439D5" w:rsidRPr="002B51C1" w:rsidRDefault="008439D5" w:rsidP="008439D5">
            <w:pPr>
              <w:spacing w:before="40"/>
              <w:rPr>
                <w:sz w:val="22"/>
                <w:szCs w:val="22"/>
              </w:rPr>
            </w:pPr>
            <w:r w:rsidRPr="002B51C1">
              <w:rPr>
                <w:color w:val="000000"/>
                <w:sz w:val="22"/>
                <w:szCs w:val="22"/>
              </w:rPr>
              <w:t>Interest rate swap</w:t>
            </w:r>
          </w:p>
        </w:tc>
        <w:tc>
          <w:tcPr>
            <w:tcW w:w="1572" w:type="dxa"/>
            <w:shd w:val="clear" w:color="auto" w:fill="auto"/>
            <w:noWrap/>
            <w:vAlign w:val="bottom"/>
          </w:tcPr>
          <w:p w14:paraId="49DA7DE8" w14:textId="611D63C4" w:rsidR="008439D5" w:rsidRPr="00C31906" w:rsidRDefault="008439D5" w:rsidP="008439D5">
            <w:pPr>
              <w:spacing w:before="40"/>
              <w:jc w:val="center"/>
              <w:rPr>
                <w:b/>
                <w:bCs/>
                <w:sz w:val="22"/>
                <w:szCs w:val="22"/>
              </w:rPr>
            </w:pPr>
            <w:r>
              <w:rPr>
                <w:color w:val="000000"/>
                <w:sz w:val="22"/>
                <w:szCs w:val="22"/>
              </w:rPr>
              <w:t>3M Euribor</w:t>
            </w:r>
          </w:p>
        </w:tc>
        <w:tc>
          <w:tcPr>
            <w:tcW w:w="1134" w:type="dxa"/>
            <w:shd w:val="clear" w:color="auto" w:fill="auto"/>
            <w:noWrap/>
          </w:tcPr>
          <w:p w14:paraId="5E1CF7FC" w14:textId="7A0FB541" w:rsidR="008439D5" w:rsidRPr="001D04E9" w:rsidRDefault="008439D5" w:rsidP="008439D5">
            <w:pPr>
              <w:spacing w:before="40"/>
              <w:jc w:val="center"/>
              <w:rPr>
                <w:b/>
                <w:bCs/>
                <w:sz w:val="22"/>
                <w:szCs w:val="22"/>
              </w:rPr>
            </w:pPr>
            <w:r w:rsidRPr="001D04E9">
              <w:rPr>
                <w:sz w:val="22"/>
                <w:szCs w:val="22"/>
              </w:rPr>
              <w:t>2.9</w:t>
            </w:r>
            <w:r>
              <w:rPr>
                <w:sz w:val="22"/>
                <w:szCs w:val="22"/>
              </w:rPr>
              <w:t>25</w:t>
            </w:r>
            <w:r w:rsidRPr="001D04E9">
              <w:rPr>
                <w:sz w:val="22"/>
                <w:szCs w:val="22"/>
              </w:rPr>
              <w:t>%</w:t>
            </w:r>
          </w:p>
        </w:tc>
        <w:tc>
          <w:tcPr>
            <w:tcW w:w="1701" w:type="dxa"/>
            <w:shd w:val="clear" w:color="auto" w:fill="auto"/>
            <w:noWrap/>
          </w:tcPr>
          <w:p w14:paraId="18625C0F" w14:textId="25867D2B" w:rsidR="008439D5" w:rsidRPr="001D04E9" w:rsidRDefault="008439D5" w:rsidP="008439D5">
            <w:pPr>
              <w:spacing w:before="40"/>
              <w:jc w:val="center"/>
              <w:rPr>
                <w:b/>
                <w:bCs/>
                <w:sz w:val="22"/>
                <w:szCs w:val="22"/>
              </w:rPr>
            </w:pPr>
            <w:r w:rsidRPr="001D04E9">
              <w:rPr>
                <w:sz w:val="22"/>
                <w:szCs w:val="22"/>
              </w:rPr>
              <w:t>25/01/2027</w:t>
            </w:r>
          </w:p>
        </w:tc>
        <w:tc>
          <w:tcPr>
            <w:tcW w:w="1134" w:type="dxa"/>
            <w:shd w:val="clear" w:color="auto" w:fill="auto"/>
            <w:noWrap/>
          </w:tcPr>
          <w:p w14:paraId="1072794E" w14:textId="337C9896" w:rsidR="008439D5" w:rsidRPr="001D04E9" w:rsidRDefault="008439D5" w:rsidP="008439D5">
            <w:pPr>
              <w:spacing w:before="40"/>
              <w:jc w:val="right"/>
              <w:rPr>
                <w:b/>
                <w:bCs/>
                <w:sz w:val="22"/>
                <w:szCs w:val="22"/>
                <w:highlight w:val="yellow"/>
              </w:rPr>
            </w:pPr>
            <w:r w:rsidRPr="001D04E9">
              <w:rPr>
                <w:sz w:val="22"/>
                <w:szCs w:val="22"/>
              </w:rPr>
              <w:t xml:space="preserve"> 33,231 </w:t>
            </w:r>
          </w:p>
        </w:tc>
        <w:tc>
          <w:tcPr>
            <w:tcW w:w="925" w:type="dxa"/>
            <w:shd w:val="clear" w:color="auto" w:fill="auto"/>
            <w:noWrap/>
          </w:tcPr>
          <w:p w14:paraId="12A44E40" w14:textId="4DF694A6" w:rsidR="008439D5" w:rsidRPr="001D04E9" w:rsidRDefault="008439D5" w:rsidP="008439D5">
            <w:pPr>
              <w:spacing w:before="40"/>
              <w:jc w:val="right"/>
              <w:rPr>
                <w:b/>
                <w:bCs/>
                <w:sz w:val="22"/>
                <w:szCs w:val="22"/>
                <w:highlight w:val="yellow"/>
              </w:rPr>
            </w:pPr>
            <w:r w:rsidRPr="001D04E9">
              <w:rPr>
                <w:sz w:val="22"/>
                <w:szCs w:val="22"/>
              </w:rPr>
              <w:t xml:space="preserve"> (558)</w:t>
            </w:r>
          </w:p>
        </w:tc>
        <w:tc>
          <w:tcPr>
            <w:tcW w:w="1134" w:type="dxa"/>
            <w:shd w:val="clear" w:color="auto" w:fill="auto"/>
            <w:noWrap/>
          </w:tcPr>
          <w:p w14:paraId="445AA778" w14:textId="07B17C33" w:rsidR="008439D5" w:rsidRPr="001D04E9" w:rsidRDefault="008439D5" w:rsidP="008439D5">
            <w:pPr>
              <w:spacing w:before="40"/>
              <w:jc w:val="right"/>
              <w:rPr>
                <w:b/>
                <w:bCs/>
                <w:sz w:val="22"/>
                <w:szCs w:val="22"/>
                <w:highlight w:val="yellow"/>
              </w:rPr>
            </w:pPr>
            <w:r w:rsidRPr="001D04E9">
              <w:rPr>
                <w:sz w:val="22"/>
                <w:szCs w:val="22"/>
              </w:rPr>
              <w:t xml:space="preserve"> (469)</w:t>
            </w:r>
          </w:p>
        </w:tc>
      </w:tr>
      <w:tr w:rsidR="00FE1379" w:rsidRPr="002B51C1" w14:paraId="2EDF51F4" w14:textId="77777777" w:rsidTr="005101BC">
        <w:trPr>
          <w:trHeight w:val="20"/>
        </w:trPr>
        <w:tc>
          <w:tcPr>
            <w:tcW w:w="1961" w:type="dxa"/>
            <w:shd w:val="clear" w:color="auto" w:fill="auto"/>
            <w:vAlign w:val="bottom"/>
          </w:tcPr>
          <w:p w14:paraId="693A0A76" w14:textId="33552204" w:rsidR="00FE1379" w:rsidRPr="002B51C1" w:rsidRDefault="00FE1379" w:rsidP="00FE1379">
            <w:pPr>
              <w:spacing w:before="40"/>
              <w:rPr>
                <w:color w:val="000000"/>
                <w:sz w:val="22"/>
                <w:szCs w:val="22"/>
              </w:rPr>
            </w:pPr>
            <w:r w:rsidRPr="002B51C1">
              <w:rPr>
                <w:color w:val="000000"/>
                <w:sz w:val="22"/>
                <w:szCs w:val="22"/>
              </w:rPr>
              <w:t>Interest rate swap</w:t>
            </w:r>
          </w:p>
        </w:tc>
        <w:tc>
          <w:tcPr>
            <w:tcW w:w="1572" w:type="dxa"/>
            <w:shd w:val="clear" w:color="auto" w:fill="auto"/>
            <w:noWrap/>
            <w:vAlign w:val="bottom"/>
          </w:tcPr>
          <w:p w14:paraId="72B03D5C" w14:textId="2BE5CBF1" w:rsidR="00FE1379" w:rsidRPr="00C31906" w:rsidRDefault="00FE1379" w:rsidP="00FE1379">
            <w:pPr>
              <w:spacing w:before="40"/>
              <w:jc w:val="center"/>
              <w:rPr>
                <w:b/>
                <w:bCs/>
                <w:sz w:val="22"/>
                <w:szCs w:val="22"/>
              </w:rPr>
            </w:pPr>
            <w:r>
              <w:rPr>
                <w:color w:val="000000"/>
                <w:sz w:val="22"/>
                <w:szCs w:val="22"/>
              </w:rPr>
              <w:t>3M Euribor</w:t>
            </w:r>
          </w:p>
        </w:tc>
        <w:tc>
          <w:tcPr>
            <w:tcW w:w="1134" w:type="dxa"/>
            <w:shd w:val="clear" w:color="auto" w:fill="auto"/>
            <w:noWrap/>
          </w:tcPr>
          <w:p w14:paraId="6E2EF339" w14:textId="3EF6667A" w:rsidR="00FE1379" w:rsidRPr="001D04E9" w:rsidRDefault="00FE1379" w:rsidP="00FE1379">
            <w:pPr>
              <w:spacing w:before="40"/>
              <w:jc w:val="center"/>
              <w:rPr>
                <w:b/>
                <w:bCs/>
                <w:sz w:val="22"/>
                <w:szCs w:val="22"/>
              </w:rPr>
            </w:pPr>
            <w:r w:rsidRPr="001D04E9">
              <w:rPr>
                <w:sz w:val="22"/>
                <w:szCs w:val="22"/>
              </w:rPr>
              <w:t>2.32%</w:t>
            </w:r>
          </w:p>
        </w:tc>
        <w:tc>
          <w:tcPr>
            <w:tcW w:w="1701" w:type="dxa"/>
            <w:shd w:val="clear" w:color="auto" w:fill="auto"/>
            <w:noWrap/>
          </w:tcPr>
          <w:p w14:paraId="1A35B4D7" w14:textId="0DC627C5" w:rsidR="00FE1379" w:rsidRPr="001D04E9" w:rsidRDefault="00FE1379" w:rsidP="00FE1379">
            <w:pPr>
              <w:spacing w:before="40"/>
              <w:jc w:val="center"/>
              <w:rPr>
                <w:b/>
                <w:bCs/>
                <w:sz w:val="22"/>
                <w:szCs w:val="22"/>
              </w:rPr>
            </w:pPr>
            <w:r w:rsidRPr="001D04E9">
              <w:rPr>
                <w:sz w:val="22"/>
                <w:szCs w:val="22"/>
              </w:rPr>
              <w:t>25/10/2029</w:t>
            </w:r>
          </w:p>
        </w:tc>
        <w:tc>
          <w:tcPr>
            <w:tcW w:w="1134" w:type="dxa"/>
            <w:shd w:val="clear" w:color="auto" w:fill="auto"/>
            <w:noWrap/>
          </w:tcPr>
          <w:p w14:paraId="19675B93" w14:textId="05F0750E" w:rsidR="00FE1379" w:rsidRPr="001D04E9" w:rsidRDefault="00FE1379" w:rsidP="00FE1379">
            <w:pPr>
              <w:spacing w:before="40"/>
              <w:jc w:val="right"/>
              <w:rPr>
                <w:b/>
                <w:bCs/>
                <w:sz w:val="22"/>
                <w:szCs w:val="22"/>
                <w:highlight w:val="yellow"/>
              </w:rPr>
            </w:pPr>
            <w:r w:rsidRPr="001D04E9">
              <w:rPr>
                <w:sz w:val="22"/>
                <w:szCs w:val="22"/>
              </w:rPr>
              <w:t xml:space="preserve"> 29,500 </w:t>
            </w:r>
          </w:p>
        </w:tc>
        <w:tc>
          <w:tcPr>
            <w:tcW w:w="925" w:type="dxa"/>
            <w:shd w:val="clear" w:color="auto" w:fill="auto"/>
            <w:noWrap/>
          </w:tcPr>
          <w:p w14:paraId="2D30C41C" w14:textId="74C74E4F" w:rsidR="00FE1379" w:rsidRPr="001D04E9" w:rsidRDefault="00FE1379" w:rsidP="00FE1379">
            <w:pPr>
              <w:spacing w:before="40"/>
              <w:jc w:val="right"/>
              <w:rPr>
                <w:b/>
                <w:bCs/>
                <w:sz w:val="22"/>
                <w:szCs w:val="22"/>
                <w:highlight w:val="yellow"/>
              </w:rPr>
            </w:pPr>
            <w:r w:rsidRPr="001D04E9">
              <w:rPr>
                <w:sz w:val="22"/>
                <w:szCs w:val="22"/>
              </w:rPr>
              <w:t xml:space="preserve"> (178)</w:t>
            </w:r>
          </w:p>
        </w:tc>
        <w:tc>
          <w:tcPr>
            <w:tcW w:w="1134" w:type="dxa"/>
            <w:shd w:val="clear" w:color="auto" w:fill="auto"/>
            <w:noWrap/>
          </w:tcPr>
          <w:p w14:paraId="42E0385E" w14:textId="1D141DB2" w:rsidR="00FE1379" w:rsidRPr="001D04E9" w:rsidRDefault="00FE1379" w:rsidP="00FE1379">
            <w:pPr>
              <w:spacing w:before="40"/>
              <w:jc w:val="right"/>
              <w:rPr>
                <w:b/>
                <w:bCs/>
                <w:sz w:val="22"/>
                <w:szCs w:val="22"/>
                <w:highlight w:val="yellow"/>
              </w:rPr>
            </w:pPr>
            <w:r w:rsidRPr="001D04E9">
              <w:rPr>
                <w:sz w:val="22"/>
                <w:szCs w:val="22"/>
              </w:rPr>
              <w:t xml:space="preserve"> (150)</w:t>
            </w:r>
          </w:p>
        </w:tc>
      </w:tr>
      <w:tr w:rsidR="00FE1379" w:rsidRPr="002B51C1" w14:paraId="385665BA" w14:textId="77777777" w:rsidTr="005101BC">
        <w:trPr>
          <w:trHeight w:val="20"/>
        </w:trPr>
        <w:tc>
          <w:tcPr>
            <w:tcW w:w="1961" w:type="dxa"/>
            <w:shd w:val="clear" w:color="auto" w:fill="auto"/>
            <w:vAlign w:val="bottom"/>
          </w:tcPr>
          <w:p w14:paraId="01C4A47B" w14:textId="704712B9" w:rsidR="00FE1379" w:rsidRPr="002B51C1" w:rsidRDefault="00FE1379" w:rsidP="00FE1379">
            <w:pPr>
              <w:spacing w:before="40"/>
              <w:rPr>
                <w:color w:val="000000"/>
                <w:sz w:val="22"/>
                <w:szCs w:val="22"/>
              </w:rPr>
            </w:pPr>
            <w:r w:rsidRPr="002B51C1">
              <w:rPr>
                <w:color w:val="000000"/>
                <w:sz w:val="22"/>
                <w:szCs w:val="22"/>
              </w:rPr>
              <w:t>Interest rate swap</w:t>
            </w:r>
          </w:p>
        </w:tc>
        <w:tc>
          <w:tcPr>
            <w:tcW w:w="1572" w:type="dxa"/>
            <w:shd w:val="clear" w:color="auto" w:fill="auto"/>
            <w:noWrap/>
            <w:vAlign w:val="bottom"/>
          </w:tcPr>
          <w:p w14:paraId="6FE6BB40" w14:textId="5EC25711" w:rsidR="00FE1379" w:rsidRPr="00C31906" w:rsidRDefault="00FE1379" w:rsidP="00FE1379">
            <w:pPr>
              <w:spacing w:before="40"/>
              <w:jc w:val="center"/>
              <w:rPr>
                <w:b/>
                <w:bCs/>
                <w:sz w:val="22"/>
                <w:szCs w:val="22"/>
              </w:rPr>
            </w:pPr>
            <w:r>
              <w:rPr>
                <w:color w:val="000000"/>
                <w:sz w:val="22"/>
                <w:szCs w:val="22"/>
              </w:rPr>
              <w:t>3M Euribor</w:t>
            </w:r>
          </w:p>
        </w:tc>
        <w:tc>
          <w:tcPr>
            <w:tcW w:w="1134" w:type="dxa"/>
            <w:shd w:val="clear" w:color="auto" w:fill="auto"/>
            <w:noWrap/>
          </w:tcPr>
          <w:p w14:paraId="01AA8BC7" w14:textId="47A978BF" w:rsidR="00FE1379" w:rsidRPr="001D04E9" w:rsidRDefault="008439D5" w:rsidP="00FE1379">
            <w:pPr>
              <w:spacing w:before="40"/>
              <w:jc w:val="center"/>
              <w:rPr>
                <w:b/>
                <w:bCs/>
                <w:sz w:val="22"/>
                <w:szCs w:val="22"/>
              </w:rPr>
            </w:pPr>
            <w:r>
              <w:rPr>
                <w:sz w:val="22"/>
                <w:szCs w:val="22"/>
              </w:rPr>
              <w:t>(</w:t>
            </w:r>
            <w:r w:rsidR="00FE1379" w:rsidRPr="001D04E9">
              <w:rPr>
                <w:sz w:val="22"/>
                <w:szCs w:val="22"/>
              </w:rPr>
              <w:t>0.37</w:t>
            </w:r>
            <w:r>
              <w:rPr>
                <w:sz w:val="22"/>
                <w:szCs w:val="22"/>
              </w:rPr>
              <w:t>2</w:t>
            </w:r>
            <w:r w:rsidR="00FE1379" w:rsidRPr="001D04E9">
              <w:rPr>
                <w:sz w:val="22"/>
                <w:szCs w:val="22"/>
              </w:rPr>
              <w:t>%</w:t>
            </w:r>
            <w:r>
              <w:rPr>
                <w:sz w:val="22"/>
                <w:szCs w:val="22"/>
              </w:rPr>
              <w:t>)</w:t>
            </w:r>
          </w:p>
        </w:tc>
        <w:tc>
          <w:tcPr>
            <w:tcW w:w="1701" w:type="dxa"/>
            <w:shd w:val="clear" w:color="auto" w:fill="auto"/>
            <w:noWrap/>
          </w:tcPr>
          <w:p w14:paraId="06C10FB6" w14:textId="21556171" w:rsidR="00FE1379" w:rsidRPr="001D04E9" w:rsidRDefault="00FE1379" w:rsidP="00FE1379">
            <w:pPr>
              <w:spacing w:before="40"/>
              <w:jc w:val="center"/>
              <w:rPr>
                <w:b/>
                <w:bCs/>
                <w:sz w:val="22"/>
                <w:szCs w:val="22"/>
              </w:rPr>
            </w:pPr>
            <w:r w:rsidRPr="001D04E9">
              <w:rPr>
                <w:sz w:val="22"/>
                <w:szCs w:val="22"/>
              </w:rPr>
              <w:t>11/12/2025</w:t>
            </w:r>
          </w:p>
        </w:tc>
        <w:tc>
          <w:tcPr>
            <w:tcW w:w="1134" w:type="dxa"/>
            <w:shd w:val="clear" w:color="auto" w:fill="auto"/>
            <w:noWrap/>
          </w:tcPr>
          <w:p w14:paraId="3784785C" w14:textId="6387FAF3" w:rsidR="00FE1379" w:rsidRPr="001D04E9" w:rsidRDefault="00FE1379" w:rsidP="00FE1379">
            <w:pPr>
              <w:spacing w:before="40"/>
              <w:jc w:val="right"/>
              <w:rPr>
                <w:b/>
                <w:bCs/>
                <w:sz w:val="22"/>
                <w:szCs w:val="22"/>
                <w:highlight w:val="yellow"/>
              </w:rPr>
            </w:pPr>
            <w:r w:rsidRPr="001D04E9">
              <w:rPr>
                <w:sz w:val="22"/>
                <w:szCs w:val="22"/>
              </w:rPr>
              <w:t xml:space="preserve"> 55,278 </w:t>
            </w:r>
          </w:p>
        </w:tc>
        <w:tc>
          <w:tcPr>
            <w:tcW w:w="925" w:type="dxa"/>
            <w:shd w:val="clear" w:color="auto" w:fill="auto"/>
            <w:noWrap/>
          </w:tcPr>
          <w:p w14:paraId="700A3794" w14:textId="72B32061" w:rsidR="00FE1379" w:rsidRPr="001D04E9" w:rsidRDefault="00FE1379" w:rsidP="00FE1379">
            <w:pPr>
              <w:spacing w:before="40"/>
              <w:jc w:val="right"/>
              <w:rPr>
                <w:b/>
                <w:bCs/>
                <w:sz w:val="22"/>
                <w:szCs w:val="22"/>
                <w:highlight w:val="yellow"/>
              </w:rPr>
            </w:pPr>
            <w:r w:rsidRPr="001D04E9">
              <w:rPr>
                <w:sz w:val="22"/>
                <w:szCs w:val="22"/>
              </w:rPr>
              <w:t xml:space="preserve"> 1,341 </w:t>
            </w:r>
          </w:p>
        </w:tc>
        <w:tc>
          <w:tcPr>
            <w:tcW w:w="1134" w:type="dxa"/>
            <w:shd w:val="clear" w:color="auto" w:fill="auto"/>
            <w:noWrap/>
          </w:tcPr>
          <w:p w14:paraId="53031556" w14:textId="5CEE1CDA" w:rsidR="00FE1379" w:rsidRPr="001D04E9" w:rsidRDefault="00FE1379" w:rsidP="00FE1379">
            <w:pPr>
              <w:spacing w:before="40"/>
              <w:jc w:val="right"/>
              <w:rPr>
                <w:b/>
                <w:bCs/>
                <w:sz w:val="22"/>
                <w:szCs w:val="22"/>
                <w:highlight w:val="yellow"/>
              </w:rPr>
            </w:pPr>
            <w:r w:rsidRPr="001D04E9">
              <w:rPr>
                <w:sz w:val="22"/>
                <w:szCs w:val="22"/>
              </w:rPr>
              <w:t xml:space="preserve"> 1,086 </w:t>
            </w:r>
          </w:p>
        </w:tc>
      </w:tr>
      <w:tr w:rsidR="00FE1379" w:rsidRPr="002B51C1" w14:paraId="03C97D1C" w14:textId="77777777" w:rsidTr="005101BC">
        <w:trPr>
          <w:trHeight w:val="20"/>
        </w:trPr>
        <w:tc>
          <w:tcPr>
            <w:tcW w:w="1961" w:type="dxa"/>
            <w:shd w:val="clear" w:color="auto" w:fill="auto"/>
            <w:vAlign w:val="bottom"/>
          </w:tcPr>
          <w:p w14:paraId="0B1C2B4E" w14:textId="07D363C0" w:rsidR="00FE1379" w:rsidRPr="002B51C1" w:rsidRDefault="00FE1379" w:rsidP="00FE1379">
            <w:pPr>
              <w:spacing w:before="40"/>
              <w:rPr>
                <w:color w:val="000000"/>
                <w:sz w:val="22"/>
                <w:szCs w:val="22"/>
              </w:rPr>
            </w:pPr>
            <w:r w:rsidRPr="002B51C1">
              <w:rPr>
                <w:color w:val="000000"/>
                <w:sz w:val="22"/>
                <w:szCs w:val="22"/>
              </w:rPr>
              <w:t>Interest rate swap</w:t>
            </w:r>
          </w:p>
        </w:tc>
        <w:tc>
          <w:tcPr>
            <w:tcW w:w="1572" w:type="dxa"/>
            <w:shd w:val="clear" w:color="auto" w:fill="auto"/>
            <w:noWrap/>
            <w:vAlign w:val="bottom"/>
          </w:tcPr>
          <w:p w14:paraId="52B5FA58" w14:textId="17A3F280" w:rsidR="00FE1379" w:rsidRPr="00C31906" w:rsidRDefault="00FE1379" w:rsidP="00FE1379">
            <w:pPr>
              <w:spacing w:before="40"/>
              <w:jc w:val="center"/>
              <w:rPr>
                <w:b/>
                <w:bCs/>
                <w:sz w:val="22"/>
                <w:szCs w:val="22"/>
              </w:rPr>
            </w:pPr>
            <w:r>
              <w:rPr>
                <w:color w:val="000000"/>
                <w:sz w:val="22"/>
                <w:szCs w:val="22"/>
              </w:rPr>
              <w:t>3M Euribor</w:t>
            </w:r>
          </w:p>
        </w:tc>
        <w:tc>
          <w:tcPr>
            <w:tcW w:w="1134" w:type="dxa"/>
            <w:shd w:val="clear" w:color="auto" w:fill="auto"/>
            <w:noWrap/>
          </w:tcPr>
          <w:p w14:paraId="2A51E5DA" w14:textId="35D5BB86" w:rsidR="00FE1379" w:rsidRPr="001D04E9" w:rsidRDefault="00FE1379" w:rsidP="00FE1379">
            <w:pPr>
              <w:spacing w:before="40"/>
              <w:jc w:val="center"/>
              <w:rPr>
                <w:b/>
                <w:bCs/>
                <w:sz w:val="22"/>
                <w:szCs w:val="22"/>
              </w:rPr>
            </w:pPr>
            <w:r w:rsidRPr="001D04E9">
              <w:rPr>
                <w:sz w:val="22"/>
                <w:szCs w:val="22"/>
              </w:rPr>
              <w:t>3.05%</w:t>
            </w:r>
          </w:p>
        </w:tc>
        <w:tc>
          <w:tcPr>
            <w:tcW w:w="1701" w:type="dxa"/>
            <w:shd w:val="clear" w:color="auto" w:fill="auto"/>
            <w:noWrap/>
          </w:tcPr>
          <w:p w14:paraId="22EB948B" w14:textId="6387E5D5" w:rsidR="00FE1379" w:rsidRPr="001D04E9" w:rsidRDefault="00FE1379" w:rsidP="00FE1379">
            <w:pPr>
              <w:spacing w:before="40"/>
              <w:jc w:val="center"/>
              <w:rPr>
                <w:b/>
                <w:bCs/>
                <w:sz w:val="22"/>
                <w:szCs w:val="22"/>
              </w:rPr>
            </w:pPr>
            <w:r w:rsidRPr="001D04E9">
              <w:rPr>
                <w:sz w:val="22"/>
                <w:szCs w:val="22"/>
              </w:rPr>
              <w:t>27/11/2026</w:t>
            </w:r>
          </w:p>
        </w:tc>
        <w:tc>
          <w:tcPr>
            <w:tcW w:w="1134" w:type="dxa"/>
            <w:shd w:val="clear" w:color="auto" w:fill="auto"/>
            <w:noWrap/>
          </w:tcPr>
          <w:p w14:paraId="42AE62C0" w14:textId="6F891AA1" w:rsidR="00FE1379" w:rsidRPr="001D04E9" w:rsidRDefault="00FE1379" w:rsidP="00FE1379">
            <w:pPr>
              <w:spacing w:before="40"/>
              <w:jc w:val="right"/>
              <w:rPr>
                <w:b/>
                <w:bCs/>
                <w:sz w:val="22"/>
                <w:szCs w:val="22"/>
                <w:highlight w:val="yellow"/>
              </w:rPr>
            </w:pPr>
            <w:r w:rsidRPr="001D04E9">
              <w:rPr>
                <w:sz w:val="22"/>
                <w:szCs w:val="22"/>
              </w:rPr>
              <w:t xml:space="preserve"> 39,420 </w:t>
            </w:r>
          </w:p>
        </w:tc>
        <w:tc>
          <w:tcPr>
            <w:tcW w:w="925" w:type="dxa"/>
            <w:shd w:val="clear" w:color="auto" w:fill="auto"/>
            <w:noWrap/>
          </w:tcPr>
          <w:p w14:paraId="370F39D1" w14:textId="79CF9529" w:rsidR="00FE1379" w:rsidRPr="001D04E9" w:rsidRDefault="00FE1379" w:rsidP="00FE1379">
            <w:pPr>
              <w:spacing w:before="40"/>
              <w:jc w:val="right"/>
              <w:rPr>
                <w:b/>
                <w:bCs/>
                <w:sz w:val="22"/>
                <w:szCs w:val="22"/>
                <w:highlight w:val="yellow"/>
              </w:rPr>
            </w:pPr>
            <w:r w:rsidRPr="001D04E9">
              <w:rPr>
                <w:sz w:val="22"/>
                <w:szCs w:val="22"/>
              </w:rPr>
              <w:t xml:space="preserve"> (717)</w:t>
            </w:r>
          </w:p>
        </w:tc>
        <w:tc>
          <w:tcPr>
            <w:tcW w:w="1134" w:type="dxa"/>
            <w:shd w:val="clear" w:color="auto" w:fill="auto"/>
            <w:noWrap/>
          </w:tcPr>
          <w:p w14:paraId="5E29C723" w14:textId="2B9A3DB5" w:rsidR="00FE1379" w:rsidRPr="001D04E9" w:rsidRDefault="00FE1379" w:rsidP="00FE1379">
            <w:pPr>
              <w:spacing w:before="40"/>
              <w:jc w:val="right"/>
              <w:rPr>
                <w:b/>
                <w:bCs/>
                <w:sz w:val="22"/>
                <w:szCs w:val="22"/>
                <w:highlight w:val="yellow"/>
              </w:rPr>
            </w:pPr>
            <w:r w:rsidRPr="001D04E9">
              <w:rPr>
                <w:sz w:val="22"/>
                <w:szCs w:val="22"/>
              </w:rPr>
              <w:t xml:space="preserve"> (566)</w:t>
            </w:r>
          </w:p>
        </w:tc>
      </w:tr>
      <w:tr w:rsidR="00FE1379" w:rsidRPr="002B51C1" w14:paraId="3A591907" w14:textId="77777777" w:rsidTr="005101BC">
        <w:trPr>
          <w:trHeight w:val="20"/>
        </w:trPr>
        <w:tc>
          <w:tcPr>
            <w:tcW w:w="1961" w:type="dxa"/>
            <w:shd w:val="clear" w:color="auto" w:fill="auto"/>
            <w:vAlign w:val="bottom"/>
          </w:tcPr>
          <w:p w14:paraId="37EE4ABD" w14:textId="53A67D1D" w:rsidR="00FE1379" w:rsidRPr="002B51C1" w:rsidRDefault="00FE1379" w:rsidP="00FE1379">
            <w:pPr>
              <w:spacing w:before="40"/>
              <w:rPr>
                <w:color w:val="000000"/>
                <w:sz w:val="22"/>
                <w:szCs w:val="22"/>
              </w:rPr>
            </w:pPr>
            <w:r w:rsidRPr="002B51C1">
              <w:rPr>
                <w:color w:val="000000"/>
                <w:sz w:val="22"/>
                <w:szCs w:val="22"/>
              </w:rPr>
              <w:t>Interest rate swap</w:t>
            </w:r>
          </w:p>
        </w:tc>
        <w:tc>
          <w:tcPr>
            <w:tcW w:w="1572" w:type="dxa"/>
            <w:shd w:val="clear" w:color="auto" w:fill="auto"/>
            <w:noWrap/>
            <w:vAlign w:val="bottom"/>
          </w:tcPr>
          <w:p w14:paraId="4BB601FC" w14:textId="78806022" w:rsidR="00FE1379" w:rsidRPr="00C31906" w:rsidRDefault="00FE1379" w:rsidP="00FE1379">
            <w:pPr>
              <w:spacing w:before="40"/>
              <w:jc w:val="center"/>
              <w:rPr>
                <w:b/>
                <w:bCs/>
                <w:sz w:val="22"/>
                <w:szCs w:val="22"/>
              </w:rPr>
            </w:pPr>
            <w:r>
              <w:rPr>
                <w:color w:val="000000"/>
                <w:sz w:val="22"/>
                <w:szCs w:val="22"/>
              </w:rPr>
              <w:t>3M Euribor</w:t>
            </w:r>
          </w:p>
        </w:tc>
        <w:tc>
          <w:tcPr>
            <w:tcW w:w="1134" w:type="dxa"/>
            <w:shd w:val="clear" w:color="auto" w:fill="auto"/>
            <w:noWrap/>
          </w:tcPr>
          <w:p w14:paraId="20770BC6" w14:textId="4B8A1439" w:rsidR="00FE1379" w:rsidRPr="001D04E9" w:rsidRDefault="008439D5" w:rsidP="00FE1379">
            <w:pPr>
              <w:spacing w:before="40"/>
              <w:jc w:val="center"/>
              <w:rPr>
                <w:b/>
                <w:bCs/>
                <w:sz w:val="22"/>
                <w:szCs w:val="22"/>
              </w:rPr>
            </w:pPr>
            <w:r>
              <w:rPr>
                <w:sz w:val="22"/>
                <w:szCs w:val="22"/>
              </w:rPr>
              <w:t>(</w:t>
            </w:r>
            <w:r w:rsidR="00FE1379" w:rsidRPr="001D04E9">
              <w:rPr>
                <w:sz w:val="22"/>
                <w:szCs w:val="22"/>
              </w:rPr>
              <w:t>0.26%</w:t>
            </w:r>
            <w:r>
              <w:rPr>
                <w:sz w:val="22"/>
                <w:szCs w:val="22"/>
              </w:rPr>
              <w:t>)</w:t>
            </w:r>
          </w:p>
        </w:tc>
        <w:tc>
          <w:tcPr>
            <w:tcW w:w="1701" w:type="dxa"/>
            <w:shd w:val="clear" w:color="auto" w:fill="auto"/>
            <w:noWrap/>
          </w:tcPr>
          <w:p w14:paraId="120B5BA3" w14:textId="029197A0" w:rsidR="00FE1379" w:rsidRPr="001D04E9" w:rsidRDefault="00FE1379" w:rsidP="00FE1379">
            <w:pPr>
              <w:spacing w:before="40"/>
              <w:jc w:val="center"/>
              <w:rPr>
                <w:b/>
                <w:bCs/>
                <w:sz w:val="22"/>
                <w:szCs w:val="22"/>
              </w:rPr>
            </w:pPr>
            <w:r w:rsidRPr="001D04E9">
              <w:rPr>
                <w:sz w:val="22"/>
                <w:szCs w:val="22"/>
              </w:rPr>
              <w:t>28/05/2025</w:t>
            </w:r>
          </w:p>
        </w:tc>
        <w:tc>
          <w:tcPr>
            <w:tcW w:w="1134" w:type="dxa"/>
            <w:shd w:val="clear" w:color="auto" w:fill="auto"/>
            <w:noWrap/>
          </w:tcPr>
          <w:p w14:paraId="58C7323D" w14:textId="26727545" w:rsidR="00FE1379" w:rsidRPr="001D04E9" w:rsidRDefault="00FE1379" w:rsidP="00FE1379">
            <w:pPr>
              <w:spacing w:before="40"/>
              <w:jc w:val="right"/>
              <w:rPr>
                <w:b/>
                <w:bCs/>
                <w:sz w:val="22"/>
                <w:szCs w:val="22"/>
                <w:highlight w:val="yellow"/>
              </w:rPr>
            </w:pPr>
            <w:r w:rsidRPr="001D04E9">
              <w:rPr>
                <w:sz w:val="22"/>
                <w:szCs w:val="22"/>
              </w:rPr>
              <w:t xml:space="preserve"> 10,307 </w:t>
            </w:r>
          </w:p>
        </w:tc>
        <w:tc>
          <w:tcPr>
            <w:tcW w:w="925" w:type="dxa"/>
            <w:shd w:val="clear" w:color="auto" w:fill="auto"/>
            <w:noWrap/>
          </w:tcPr>
          <w:p w14:paraId="6CDF2693" w14:textId="1009AEFD" w:rsidR="00FE1379" w:rsidRPr="001D04E9" w:rsidRDefault="00FE1379" w:rsidP="00FE1379">
            <w:pPr>
              <w:spacing w:before="40"/>
              <w:jc w:val="right"/>
              <w:rPr>
                <w:b/>
                <w:bCs/>
                <w:sz w:val="22"/>
                <w:szCs w:val="22"/>
                <w:highlight w:val="yellow"/>
              </w:rPr>
            </w:pPr>
            <w:r w:rsidRPr="001D04E9">
              <w:rPr>
                <w:sz w:val="22"/>
                <w:szCs w:val="22"/>
              </w:rPr>
              <w:t xml:space="preserve"> 143 </w:t>
            </w:r>
          </w:p>
        </w:tc>
        <w:tc>
          <w:tcPr>
            <w:tcW w:w="1134" w:type="dxa"/>
            <w:shd w:val="clear" w:color="auto" w:fill="auto"/>
            <w:noWrap/>
          </w:tcPr>
          <w:p w14:paraId="47D7BC21" w14:textId="5E8ADF00" w:rsidR="00FE1379" w:rsidRPr="001D04E9" w:rsidRDefault="00FE1379" w:rsidP="00FE1379">
            <w:pPr>
              <w:spacing w:before="40"/>
              <w:jc w:val="right"/>
              <w:rPr>
                <w:b/>
                <w:bCs/>
                <w:sz w:val="22"/>
                <w:szCs w:val="22"/>
                <w:highlight w:val="yellow"/>
              </w:rPr>
            </w:pPr>
            <w:r w:rsidRPr="001D04E9">
              <w:rPr>
                <w:sz w:val="22"/>
                <w:szCs w:val="22"/>
              </w:rPr>
              <w:t xml:space="preserve"> 122 </w:t>
            </w:r>
          </w:p>
        </w:tc>
      </w:tr>
      <w:tr w:rsidR="00FE1379" w:rsidRPr="002B51C1" w14:paraId="2F802D7A" w14:textId="77777777" w:rsidTr="005101BC">
        <w:trPr>
          <w:trHeight w:val="20"/>
        </w:trPr>
        <w:tc>
          <w:tcPr>
            <w:tcW w:w="1961" w:type="dxa"/>
            <w:shd w:val="clear" w:color="auto" w:fill="auto"/>
            <w:vAlign w:val="bottom"/>
          </w:tcPr>
          <w:p w14:paraId="0488030F" w14:textId="351A9C80" w:rsidR="00FE1379" w:rsidRPr="002B51C1" w:rsidRDefault="00FE1379" w:rsidP="00FE1379">
            <w:pPr>
              <w:spacing w:before="40"/>
              <w:rPr>
                <w:color w:val="000000"/>
                <w:sz w:val="22"/>
                <w:szCs w:val="22"/>
              </w:rPr>
            </w:pPr>
            <w:r w:rsidRPr="002B51C1">
              <w:rPr>
                <w:color w:val="000000"/>
                <w:sz w:val="22"/>
                <w:szCs w:val="22"/>
              </w:rPr>
              <w:t>Interest rate swap</w:t>
            </w:r>
          </w:p>
        </w:tc>
        <w:tc>
          <w:tcPr>
            <w:tcW w:w="1572" w:type="dxa"/>
            <w:shd w:val="clear" w:color="auto" w:fill="auto"/>
            <w:noWrap/>
            <w:vAlign w:val="bottom"/>
          </w:tcPr>
          <w:p w14:paraId="70EA0CB2" w14:textId="556BED13" w:rsidR="00FE1379" w:rsidRPr="00C31906" w:rsidRDefault="00FE1379" w:rsidP="00FE1379">
            <w:pPr>
              <w:spacing w:before="40"/>
              <w:jc w:val="center"/>
              <w:rPr>
                <w:b/>
                <w:bCs/>
                <w:sz w:val="22"/>
                <w:szCs w:val="22"/>
              </w:rPr>
            </w:pPr>
            <w:r>
              <w:rPr>
                <w:color w:val="000000"/>
                <w:sz w:val="22"/>
                <w:szCs w:val="22"/>
              </w:rPr>
              <w:t>3M Euribor</w:t>
            </w:r>
          </w:p>
        </w:tc>
        <w:tc>
          <w:tcPr>
            <w:tcW w:w="1134" w:type="dxa"/>
            <w:shd w:val="clear" w:color="auto" w:fill="auto"/>
            <w:noWrap/>
          </w:tcPr>
          <w:p w14:paraId="5DF5F5FC" w14:textId="1099DA98" w:rsidR="00FE1379" w:rsidRPr="001D04E9" w:rsidRDefault="00FE1379" w:rsidP="00FE1379">
            <w:pPr>
              <w:spacing w:before="40"/>
              <w:jc w:val="center"/>
              <w:rPr>
                <w:b/>
                <w:bCs/>
                <w:sz w:val="22"/>
                <w:szCs w:val="22"/>
              </w:rPr>
            </w:pPr>
            <w:r w:rsidRPr="001D04E9">
              <w:rPr>
                <w:sz w:val="22"/>
                <w:szCs w:val="22"/>
              </w:rPr>
              <w:t>2.50%</w:t>
            </w:r>
          </w:p>
        </w:tc>
        <w:tc>
          <w:tcPr>
            <w:tcW w:w="1701" w:type="dxa"/>
            <w:shd w:val="clear" w:color="auto" w:fill="auto"/>
            <w:noWrap/>
          </w:tcPr>
          <w:p w14:paraId="3FEA9EFC" w14:textId="7963B9A7" w:rsidR="00FE1379" w:rsidRPr="001D04E9" w:rsidRDefault="00FE1379" w:rsidP="00FE1379">
            <w:pPr>
              <w:spacing w:before="40"/>
              <w:jc w:val="center"/>
              <w:rPr>
                <w:b/>
                <w:bCs/>
                <w:sz w:val="22"/>
                <w:szCs w:val="22"/>
              </w:rPr>
            </w:pPr>
            <w:r w:rsidRPr="001D04E9">
              <w:rPr>
                <w:sz w:val="22"/>
                <w:szCs w:val="22"/>
              </w:rPr>
              <w:t>27/09/2027</w:t>
            </w:r>
          </w:p>
        </w:tc>
        <w:tc>
          <w:tcPr>
            <w:tcW w:w="1134" w:type="dxa"/>
            <w:shd w:val="clear" w:color="auto" w:fill="auto"/>
            <w:noWrap/>
          </w:tcPr>
          <w:p w14:paraId="26E20C9B" w14:textId="01D643F7" w:rsidR="00FE1379" w:rsidRPr="001D04E9" w:rsidRDefault="00FE1379" w:rsidP="00FE1379">
            <w:pPr>
              <w:spacing w:before="40"/>
              <w:jc w:val="right"/>
              <w:rPr>
                <w:b/>
                <w:bCs/>
                <w:sz w:val="22"/>
                <w:szCs w:val="22"/>
                <w:highlight w:val="yellow"/>
              </w:rPr>
            </w:pPr>
            <w:r w:rsidRPr="001D04E9">
              <w:rPr>
                <w:sz w:val="22"/>
                <w:szCs w:val="22"/>
              </w:rPr>
              <w:t xml:space="preserve"> 47,713 </w:t>
            </w:r>
          </w:p>
        </w:tc>
        <w:tc>
          <w:tcPr>
            <w:tcW w:w="925" w:type="dxa"/>
            <w:shd w:val="clear" w:color="auto" w:fill="auto"/>
            <w:noWrap/>
          </w:tcPr>
          <w:p w14:paraId="490A4EBB" w14:textId="13FA1DCB" w:rsidR="00FE1379" w:rsidRPr="001D04E9" w:rsidRDefault="00FE1379" w:rsidP="00FE1379">
            <w:pPr>
              <w:spacing w:before="40"/>
              <w:jc w:val="right"/>
              <w:rPr>
                <w:b/>
                <w:bCs/>
                <w:sz w:val="22"/>
                <w:szCs w:val="22"/>
                <w:highlight w:val="yellow"/>
              </w:rPr>
            </w:pPr>
            <w:r w:rsidRPr="001D04E9">
              <w:rPr>
                <w:sz w:val="22"/>
                <w:szCs w:val="22"/>
              </w:rPr>
              <w:t xml:space="preserve"> (439)</w:t>
            </w:r>
          </w:p>
        </w:tc>
        <w:tc>
          <w:tcPr>
            <w:tcW w:w="1134" w:type="dxa"/>
            <w:shd w:val="clear" w:color="auto" w:fill="auto"/>
            <w:noWrap/>
          </w:tcPr>
          <w:p w14:paraId="2B7B2D28" w14:textId="7D55BE06" w:rsidR="00FE1379" w:rsidRPr="001D04E9" w:rsidRDefault="00FE1379" w:rsidP="00FE1379">
            <w:pPr>
              <w:spacing w:before="40"/>
              <w:jc w:val="right"/>
              <w:rPr>
                <w:b/>
                <w:bCs/>
                <w:sz w:val="22"/>
                <w:szCs w:val="22"/>
                <w:highlight w:val="yellow"/>
              </w:rPr>
            </w:pPr>
            <w:r w:rsidRPr="001D04E9">
              <w:rPr>
                <w:sz w:val="22"/>
                <w:szCs w:val="22"/>
              </w:rPr>
              <w:t xml:space="preserve"> (1,402)</w:t>
            </w:r>
          </w:p>
        </w:tc>
      </w:tr>
      <w:tr w:rsidR="00FE1379" w:rsidRPr="002B51C1" w14:paraId="539FD592" w14:textId="77777777" w:rsidTr="005101BC">
        <w:trPr>
          <w:trHeight w:val="20"/>
        </w:trPr>
        <w:tc>
          <w:tcPr>
            <w:tcW w:w="1961" w:type="dxa"/>
            <w:shd w:val="clear" w:color="auto" w:fill="auto"/>
            <w:vAlign w:val="bottom"/>
          </w:tcPr>
          <w:p w14:paraId="348D9081" w14:textId="58F2A19B" w:rsidR="00FE1379" w:rsidRPr="002B51C1" w:rsidRDefault="00FE1379" w:rsidP="00FE1379">
            <w:pPr>
              <w:spacing w:before="40"/>
              <w:rPr>
                <w:color w:val="000000"/>
                <w:sz w:val="22"/>
                <w:szCs w:val="22"/>
              </w:rPr>
            </w:pPr>
            <w:r w:rsidRPr="002B51C1">
              <w:rPr>
                <w:color w:val="000000"/>
                <w:sz w:val="22"/>
                <w:szCs w:val="22"/>
              </w:rPr>
              <w:t>Interest rate swap</w:t>
            </w:r>
          </w:p>
        </w:tc>
        <w:tc>
          <w:tcPr>
            <w:tcW w:w="1572" w:type="dxa"/>
            <w:shd w:val="clear" w:color="auto" w:fill="auto"/>
            <w:noWrap/>
            <w:vAlign w:val="bottom"/>
          </w:tcPr>
          <w:p w14:paraId="35ED62D4" w14:textId="48B57E5F" w:rsidR="00FE1379" w:rsidRPr="00C31906" w:rsidRDefault="00FE1379" w:rsidP="00FE1379">
            <w:pPr>
              <w:spacing w:before="40"/>
              <w:jc w:val="center"/>
              <w:rPr>
                <w:b/>
                <w:bCs/>
                <w:sz w:val="22"/>
                <w:szCs w:val="22"/>
              </w:rPr>
            </w:pPr>
            <w:r>
              <w:rPr>
                <w:color w:val="000000"/>
                <w:sz w:val="22"/>
                <w:szCs w:val="22"/>
              </w:rPr>
              <w:t>3M Euribor</w:t>
            </w:r>
          </w:p>
        </w:tc>
        <w:tc>
          <w:tcPr>
            <w:tcW w:w="1134" w:type="dxa"/>
            <w:shd w:val="clear" w:color="auto" w:fill="auto"/>
            <w:noWrap/>
          </w:tcPr>
          <w:p w14:paraId="6EF5412B" w14:textId="5D67F5BF" w:rsidR="00FE1379" w:rsidRPr="001D04E9" w:rsidRDefault="00FE1379" w:rsidP="00FE1379">
            <w:pPr>
              <w:spacing w:before="40"/>
              <w:jc w:val="center"/>
              <w:rPr>
                <w:b/>
                <w:bCs/>
                <w:sz w:val="22"/>
                <w:szCs w:val="22"/>
              </w:rPr>
            </w:pPr>
            <w:r w:rsidRPr="001D04E9">
              <w:rPr>
                <w:sz w:val="22"/>
                <w:szCs w:val="22"/>
              </w:rPr>
              <w:t>2.18%</w:t>
            </w:r>
          </w:p>
        </w:tc>
        <w:tc>
          <w:tcPr>
            <w:tcW w:w="1701" w:type="dxa"/>
            <w:shd w:val="clear" w:color="auto" w:fill="auto"/>
            <w:noWrap/>
          </w:tcPr>
          <w:p w14:paraId="51D20CE0" w14:textId="784B8D1B" w:rsidR="00FE1379" w:rsidRPr="001D04E9" w:rsidRDefault="00FE1379" w:rsidP="00FE1379">
            <w:pPr>
              <w:spacing w:before="40"/>
              <w:jc w:val="center"/>
              <w:rPr>
                <w:b/>
                <w:bCs/>
                <w:sz w:val="22"/>
                <w:szCs w:val="22"/>
              </w:rPr>
            </w:pPr>
            <w:r w:rsidRPr="001D04E9">
              <w:rPr>
                <w:sz w:val="22"/>
                <w:szCs w:val="22"/>
              </w:rPr>
              <w:t>28/09/2029</w:t>
            </w:r>
          </w:p>
        </w:tc>
        <w:tc>
          <w:tcPr>
            <w:tcW w:w="1134" w:type="dxa"/>
            <w:shd w:val="clear" w:color="auto" w:fill="auto"/>
            <w:noWrap/>
          </w:tcPr>
          <w:p w14:paraId="0244C9C4" w14:textId="05713428" w:rsidR="00FE1379" w:rsidRPr="001D04E9" w:rsidRDefault="00FE1379" w:rsidP="00FE1379">
            <w:pPr>
              <w:spacing w:before="40"/>
              <w:jc w:val="right"/>
              <w:rPr>
                <w:b/>
                <w:bCs/>
                <w:sz w:val="22"/>
                <w:szCs w:val="22"/>
                <w:highlight w:val="yellow"/>
              </w:rPr>
            </w:pPr>
            <w:r w:rsidRPr="001D04E9">
              <w:rPr>
                <w:sz w:val="22"/>
                <w:szCs w:val="22"/>
              </w:rPr>
              <w:t xml:space="preserve"> 30,791 </w:t>
            </w:r>
          </w:p>
        </w:tc>
        <w:tc>
          <w:tcPr>
            <w:tcW w:w="925" w:type="dxa"/>
            <w:shd w:val="clear" w:color="auto" w:fill="auto"/>
            <w:noWrap/>
          </w:tcPr>
          <w:p w14:paraId="23FD1642" w14:textId="62EA9302" w:rsidR="00FE1379" w:rsidRPr="001D04E9" w:rsidRDefault="00FE1379" w:rsidP="00FE1379">
            <w:pPr>
              <w:spacing w:before="40"/>
              <w:jc w:val="right"/>
              <w:rPr>
                <w:b/>
                <w:bCs/>
                <w:sz w:val="22"/>
                <w:szCs w:val="22"/>
                <w:highlight w:val="yellow"/>
              </w:rPr>
            </w:pPr>
            <w:r w:rsidRPr="001D04E9">
              <w:rPr>
                <w:sz w:val="22"/>
                <w:szCs w:val="22"/>
              </w:rPr>
              <w:t xml:space="preserve"> (36)</w:t>
            </w:r>
          </w:p>
        </w:tc>
        <w:tc>
          <w:tcPr>
            <w:tcW w:w="1134" w:type="dxa"/>
            <w:shd w:val="clear" w:color="auto" w:fill="auto"/>
            <w:noWrap/>
          </w:tcPr>
          <w:p w14:paraId="3F4BA258" w14:textId="5C16A192" w:rsidR="00FE1379" w:rsidRPr="001D04E9" w:rsidRDefault="00FE1379" w:rsidP="00FE1379">
            <w:pPr>
              <w:spacing w:before="40"/>
              <w:jc w:val="right"/>
              <w:rPr>
                <w:b/>
                <w:bCs/>
                <w:sz w:val="22"/>
                <w:szCs w:val="22"/>
                <w:highlight w:val="yellow"/>
              </w:rPr>
            </w:pPr>
            <w:r w:rsidRPr="001D04E9">
              <w:rPr>
                <w:sz w:val="22"/>
                <w:szCs w:val="22"/>
              </w:rPr>
              <w:t xml:space="preserve"> (29)</w:t>
            </w:r>
          </w:p>
        </w:tc>
      </w:tr>
      <w:tr w:rsidR="00FE1379" w:rsidRPr="002B51C1" w14:paraId="38757106" w14:textId="77777777" w:rsidTr="005101BC">
        <w:trPr>
          <w:trHeight w:val="20"/>
        </w:trPr>
        <w:tc>
          <w:tcPr>
            <w:tcW w:w="1961" w:type="dxa"/>
            <w:shd w:val="clear" w:color="auto" w:fill="auto"/>
            <w:vAlign w:val="bottom"/>
          </w:tcPr>
          <w:p w14:paraId="49CC7968" w14:textId="0FD7231A" w:rsidR="00FE1379" w:rsidRPr="002B51C1" w:rsidRDefault="00FE1379" w:rsidP="00FE1379">
            <w:pPr>
              <w:spacing w:before="40"/>
              <w:rPr>
                <w:color w:val="000000"/>
                <w:sz w:val="22"/>
                <w:szCs w:val="22"/>
              </w:rPr>
            </w:pPr>
            <w:r w:rsidRPr="002B51C1">
              <w:rPr>
                <w:color w:val="000000"/>
                <w:sz w:val="22"/>
                <w:szCs w:val="22"/>
              </w:rPr>
              <w:t>Interest rate swap</w:t>
            </w:r>
          </w:p>
        </w:tc>
        <w:tc>
          <w:tcPr>
            <w:tcW w:w="1572" w:type="dxa"/>
            <w:shd w:val="clear" w:color="auto" w:fill="auto"/>
            <w:noWrap/>
            <w:vAlign w:val="bottom"/>
          </w:tcPr>
          <w:p w14:paraId="445A73AF" w14:textId="4CD65AE2" w:rsidR="00FE1379" w:rsidRPr="00C31906" w:rsidRDefault="00FE1379" w:rsidP="00FE1379">
            <w:pPr>
              <w:spacing w:before="40"/>
              <w:jc w:val="center"/>
              <w:rPr>
                <w:b/>
                <w:bCs/>
                <w:sz w:val="22"/>
                <w:szCs w:val="22"/>
              </w:rPr>
            </w:pPr>
            <w:r>
              <w:rPr>
                <w:color w:val="000000"/>
                <w:sz w:val="22"/>
                <w:szCs w:val="22"/>
              </w:rPr>
              <w:t>3M Euribor</w:t>
            </w:r>
          </w:p>
        </w:tc>
        <w:tc>
          <w:tcPr>
            <w:tcW w:w="1134" w:type="dxa"/>
            <w:shd w:val="clear" w:color="auto" w:fill="auto"/>
            <w:noWrap/>
          </w:tcPr>
          <w:p w14:paraId="5D14CDD3" w14:textId="0B36AA93" w:rsidR="00FE1379" w:rsidRPr="001D04E9" w:rsidRDefault="008439D5" w:rsidP="00FE1379">
            <w:pPr>
              <w:spacing w:before="40"/>
              <w:jc w:val="center"/>
              <w:rPr>
                <w:b/>
                <w:bCs/>
                <w:sz w:val="22"/>
                <w:szCs w:val="22"/>
              </w:rPr>
            </w:pPr>
            <w:r>
              <w:rPr>
                <w:sz w:val="22"/>
                <w:szCs w:val="22"/>
              </w:rPr>
              <w:t>(</w:t>
            </w:r>
            <w:r w:rsidR="00FE1379" w:rsidRPr="001D04E9">
              <w:rPr>
                <w:sz w:val="22"/>
                <w:szCs w:val="22"/>
              </w:rPr>
              <w:t>0.17%</w:t>
            </w:r>
            <w:r>
              <w:rPr>
                <w:sz w:val="22"/>
                <w:szCs w:val="22"/>
              </w:rPr>
              <w:t>)</w:t>
            </w:r>
          </w:p>
        </w:tc>
        <w:tc>
          <w:tcPr>
            <w:tcW w:w="1701" w:type="dxa"/>
            <w:shd w:val="clear" w:color="auto" w:fill="auto"/>
            <w:noWrap/>
          </w:tcPr>
          <w:p w14:paraId="0228FBE9" w14:textId="41AD3187" w:rsidR="00FE1379" w:rsidRPr="001D04E9" w:rsidRDefault="00FE1379" w:rsidP="00FE1379">
            <w:pPr>
              <w:spacing w:before="40"/>
              <w:jc w:val="center"/>
              <w:rPr>
                <w:b/>
                <w:bCs/>
                <w:sz w:val="22"/>
                <w:szCs w:val="22"/>
              </w:rPr>
            </w:pPr>
            <w:r w:rsidRPr="001D04E9">
              <w:rPr>
                <w:sz w:val="22"/>
                <w:szCs w:val="22"/>
              </w:rPr>
              <w:t>30/04/2026</w:t>
            </w:r>
          </w:p>
        </w:tc>
        <w:tc>
          <w:tcPr>
            <w:tcW w:w="1134" w:type="dxa"/>
            <w:shd w:val="clear" w:color="auto" w:fill="auto"/>
            <w:noWrap/>
          </w:tcPr>
          <w:p w14:paraId="7954CE77" w14:textId="2C51ED93" w:rsidR="00FE1379" w:rsidRPr="001D04E9" w:rsidRDefault="00FE1379" w:rsidP="00FE1379">
            <w:pPr>
              <w:spacing w:before="40"/>
              <w:jc w:val="right"/>
              <w:rPr>
                <w:b/>
                <w:bCs/>
                <w:sz w:val="22"/>
                <w:szCs w:val="22"/>
                <w:highlight w:val="yellow"/>
              </w:rPr>
            </w:pPr>
            <w:r w:rsidRPr="001D04E9">
              <w:rPr>
                <w:sz w:val="22"/>
                <w:szCs w:val="22"/>
              </w:rPr>
              <w:t xml:space="preserve"> 36,890 </w:t>
            </w:r>
          </w:p>
        </w:tc>
        <w:tc>
          <w:tcPr>
            <w:tcW w:w="925" w:type="dxa"/>
            <w:shd w:val="clear" w:color="auto" w:fill="auto"/>
            <w:noWrap/>
          </w:tcPr>
          <w:p w14:paraId="4581AD9C" w14:textId="5E13D899" w:rsidR="00FE1379" w:rsidRPr="001D04E9" w:rsidRDefault="00FE1379" w:rsidP="00FE1379">
            <w:pPr>
              <w:spacing w:before="40"/>
              <w:jc w:val="right"/>
              <w:rPr>
                <w:b/>
                <w:bCs/>
                <w:sz w:val="22"/>
                <w:szCs w:val="22"/>
                <w:highlight w:val="yellow"/>
              </w:rPr>
            </w:pPr>
            <w:r w:rsidRPr="001D04E9">
              <w:rPr>
                <w:sz w:val="22"/>
                <w:szCs w:val="22"/>
              </w:rPr>
              <w:t xml:space="preserve"> 1,111 </w:t>
            </w:r>
          </w:p>
        </w:tc>
        <w:tc>
          <w:tcPr>
            <w:tcW w:w="1134" w:type="dxa"/>
            <w:shd w:val="clear" w:color="auto" w:fill="auto"/>
            <w:noWrap/>
          </w:tcPr>
          <w:p w14:paraId="1AEE0653" w14:textId="3A694843" w:rsidR="00FE1379" w:rsidRPr="001D04E9" w:rsidRDefault="00FE1379" w:rsidP="00FE1379">
            <w:pPr>
              <w:spacing w:before="40"/>
              <w:jc w:val="right"/>
              <w:rPr>
                <w:b/>
                <w:bCs/>
                <w:sz w:val="22"/>
                <w:szCs w:val="22"/>
                <w:highlight w:val="yellow"/>
              </w:rPr>
            </w:pPr>
            <w:r w:rsidRPr="001D04E9">
              <w:rPr>
                <w:sz w:val="22"/>
                <w:szCs w:val="22"/>
              </w:rPr>
              <w:t xml:space="preserve"> 877 </w:t>
            </w:r>
          </w:p>
        </w:tc>
      </w:tr>
      <w:tr w:rsidR="00FE1379" w:rsidRPr="002B51C1" w14:paraId="2EFBA6D0" w14:textId="77777777" w:rsidTr="005101BC">
        <w:trPr>
          <w:trHeight w:val="20"/>
        </w:trPr>
        <w:tc>
          <w:tcPr>
            <w:tcW w:w="1961" w:type="dxa"/>
            <w:shd w:val="clear" w:color="auto" w:fill="auto"/>
            <w:vAlign w:val="bottom"/>
          </w:tcPr>
          <w:p w14:paraId="6165548C" w14:textId="040F8CF7" w:rsidR="00FE1379" w:rsidRPr="002B51C1" w:rsidRDefault="00FE1379" w:rsidP="00FE1379">
            <w:pPr>
              <w:spacing w:before="40"/>
              <w:rPr>
                <w:color w:val="000000"/>
                <w:sz w:val="22"/>
                <w:szCs w:val="22"/>
              </w:rPr>
            </w:pPr>
            <w:r w:rsidRPr="002B51C1">
              <w:rPr>
                <w:color w:val="000000"/>
                <w:sz w:val="22"/>
                <w:szCs w:val="22"/>
              </w:rPr>
              <w:t>Interest rate swap</w:t>
            </w:r>
          </w:p>
        </w:tc>
        <w:tc>
          <w:tcPr>
            <w:tcW w:w="1572" w:type="dxa"/>
            <w:shd w:val="clear" w:color="auto" w:fill="auto"/>
            <w:noWrap/>
            <w:vAlign w:val="bottom"/>
          </w:tcPr>
          <w:p w14:paraId="07696A76" w14:textId="639F96A7" w:rsidR="00FE1379" w:rsidRDefault="00FE1379" w:rsidP="00FE1379">
            <w:pPr>
              <w:spacing w:before="40"/>
              <w:jc w:val="center"/>
              <w:rPr>
                <w:color w:val="000000"/>
                <w:sz w:val="22"/>
                <w:szCs w:val="22"/>
              </w:rPr>
            </w:pPr>
            <w:r>
              <w:rPr>
                <w:color w:val="000000"/>
                <w:sz w:val="22"/>
                <w:szCs w:val="22"/>
              </w:rPr>
              <w:t>3M Euribor</w:t>
            </w:r>
          </w:p>
        </w:tc>
        <w:tc>
          <w:tcPr>
            <w:tcW w:w="1134" w:type="dxa"/>
            <w:shd w:val="clear" w:color="auto" w:fill="auto"/>
            <w:noWrap/>
          </w:tcPr>
          <w:p w14:paraId="7225DE0C" w14:textId="1C0F69D9" w:rsidR="00FE1379" w:rsidRPr="001D04E9" w:rsidRDefault="008439D5" w:rsidP="00FE1379">
            <w:pPr>
              <w:spacing w:before="40"/>
              <w:jc w:val="center"/>
              <w:rPr>
                <w:b/>
                <w:bCs/>
                <w:sz w:val="22"/>
                <w:szCs w:val="22"/>
              </w:rPr>
            </w:pPr>
            <w:r>
              <w:rPr>
                <w:sz w:val="22"/>
                <w:szCs w:val="22"/>
              </w:rPr>
              <w:t>(</w:t>
            </w:r>
            <w:r w:rsidR="00FE1379" w:rsidRPr="001D04E9">
              <w:rPr>
                <w:sz w:val="22"/>
                <w:szCs w:val="22"/>
              </w:rPr>
              <w:t>0.</w:t>
            </w:r>
            <w:r w:rsidRPr="001D04E9">
              <w:rPr>
                <w:sz w:val="22"/>
                <w:szCs w:val="22"/>
              </w:rPr>
              <w:t>2</w:t>
            </w:r>
            <w:r>
              <w:rPr>
                <w:sz w:val="22"/>
                <w:szCs w:val="22"/>
              </w:rPr>
              <w:t>05</w:t>
            </w:r>
            <w:r w:rsidR="00FE1379" w:rsidRPr="001D04E9">
              <w:rPr>
                <w:sz w:val="22"/>
                <w:szCs w:val="22"/>
              </w:rPr>
              <w:t>%</w:t>
            </w:r>
            <w:r>
              <w:rPr>
                <w:sz w:val="22"/>
                <w:szCs w:val="22"/>
              </w:rPr>
              <w:t>)</w:t>
            </w:r>
          </w:p>
        </w:tc>
        <w:tc>
          <w:tcPr>
            <w:tcW w:w="1701" w:type="dxa"/>
            <w:shd w:val="clear" w:color="auto" w:fill="auto"/>
            <w:noWrap/>
          </w:tcPr>
          <w:p w14:paraId="31C46081" w14:textId="2852E3C5" w:rsidR="00FE1379" w:rsidRPr="001D04E9" w:rsidRDefault="00FE1379" w:rsidP="00FE1379">
            <w:pPr>
              <w:spacing w:before="40"/>
              <w:jc w:val="center"/>
              <w:rPr>
                <w:b/>
                <w:bCs/>
                <w:sz w:val="22"/>
                <w:szCs w:val="22"/>
              </w:rPr>
            </w:pPr>
            <w:r w:rsidRPr="001D04E9">
              <w:rPr>
                <w:sz w:val="22"/>
                <w:szCs w:val="22"/>
              </w:rPr>
              <w:t>13/08/2026</w:t>
            </w:r>
          </w:p>
        </w:tc>
        <w:tc>
          <w:tcPr>
            <w:tcW w:w="1134" w:type="dxa"/>
            <w:shd w:val="clear" w:color="auto" w:fill="auto"/>
            <w:noWrap/>
          </w:tcPr>
          <w:p w14:paraId="55B70F4D" w14:textId="0EF8D0B7" w:rsidR="00FE1379" w:rsidRPr="001D04E9" w:rsidRDefault="00FE1379" w:rsidP="00FE1379">
            <w:pPr>
              <w:spacing w:before="40"/>
              <w:jc w:val="right"/>
              <w:rPr>
                <w:b/>
                <w:bCs/>
                <w:sz w:val="22"/>
                <w:szCs w:val="22"/>
                <w:highlight w:val="yellow"/>
              </w:rPr>
            </w:pPr>
            <w:r w:rsidRPr="001D04E9">
              <w:rPr>
                <w:sz w:val="22"/>
                <w:szCs w:val="22"/>
              </w:rPr>
              <w:t xml:space="preserve"> 47,676 </w:t>
            </w:r>
          </w:p>
        </w:tc>
        <w:tc>
          <w:tcPr>
            <w:tcW w:w="925" w:type="dxa"/>
            <w:shd w:val="clear" w:color="auto" w:fill="auto"/>
            <w:noWrap/>
          </w:tcPr>
          <w:p w14:paraId="6AD2E007" w14:textId="7A6BAF47" w:rsidR="00FE1379" w:rsidRPr="001D04E9" w:rsidRDefault="00FE1379" w:rsidP="00FE1379">
            <w:pPr>
              <w:spacing w:before="40"/>
              <w:jc w:val="right"/>
              <w:rPr>
                <w:b/>
                <w:bCs/>
                <w:sz w:val="22"/>
                <w:szCs w:val="22"/>
                <w:highlight w:val="yellow"/>
              </w:rPr>
            </w:pPr>
            <w:r w:rsidRPr="001D04E9">
              <w:rPr>
                <w:sz w:val="22"/>
                <w:szCs w:val="22"/>
              </w:rPr>
              <w:t xml:space="preserve"> 2,015 </w:t>
            </w:r>
          </w:p>
        </w:tc>
        <w:tc>
          <w:tcPr>
            <w:tcW w:w="1134" w:type="dxa"/>
            <w:shd w:val="clear" w:color="auto" w:fill="auto"/>
            <w:noWrap/>
          </w:tcPr>
          <w:p w14:paraId="36E94B54" w14:textId="10303CD8" w:rsidR="00FE1379" w:rsidRPr="001D04E9" w:rsidRDefault="00FE1379" w:rsidP="00FE1379">
            <w:pPr>
              <w:spacing w:before="40"/>
              <w:jc w:val="right"/>
              <w:rPr>
                <w:b/>
                <w:bCs/>
                <w:sz w:val="22"/>
                <w:szCs w:val="22"/>
                <w:highlight w:val="yellow"/>
              </w:rPr>
            </w:pPr>
            <w:r w:rsidRPr="001D04E9">
              <w:rPr>
                <w:sz w:val="22"/>
                <w:szCs w:val="22"/>
              </w:rPr>
              <w:t xml:space="preserve"> 1,592 </w:t>
            </w:r>
          </w:p>
        </w:tc>
      </w:tr>
      <w:tr w:rsidR="00FE1379" w:rsidRPr="002B51C1" w14:paraId="788D7FB3" w14:textId="77777777" w:rsidTr="005101BC">
        <w:trPr>
          <w:trHeight w:val="20"/>
        </w:trPr>
        <w:tc>
          <w:tcPr>
            <w:tcW w:w="1961" w:type="dxa"/>
            <w:shd w:val="clear" w:color="auto" w:fill="auto"/>
            <w:vAlign w:val="bottom"/>
          </w:tcPr>
          <w:p w14:paraId="073B567A" w14:textId="7C6363F9" w:rsidR="00FE1379" w:rsidRPr="002B51C1" w:rsidRDefault="00FE1379" w:rsidP="00FE1379">
            <w:pPr>
              <w:spacing w:before="40"/>
              <w:rPr>
                <w:color w:val="000000"/>
                <w:sz w:val="22"/>
                <w:szCs w:val="22"/>
              </w:rPr>
            </w:pPr>
            <w:r w:rsidRPr="002B51C1">
              <w:rPr>
                <w:color w:val="000000"/>
                <w:sz w:val="22"/>
                <w:szCs w:val="22"/>
              </w:rPr>
              <w:t>Interest rate swap</w:t>
            </w:r>
          </w:p>
        </w:tc>
        <w:tc>
          <w:tcPr>
            <w:tcW w:w="1572" w:type="dxa"/>
            <w:shd w:val="clear" w:color="auto" w:fill="auto"/>
            <w:noWrap/>
            <w:vAlign w:val="bottom"/>
          </w:tcPr>
          <w:p w14:paraId="0A7142CB" w14:textId="0BFF4976" w:rsidR="00FE1379" w:rsidRDefault="00FE1379" w:rsidP="00FE1379">
            <w:pPr>
              <w:spacing w:before="40"/>
              <w:jc w:val="center"/>
              <w:rPr>
                <w:color w:val="000000"/>
                <w:sz w:val="22"/>
                <w:szCs w:val="22"/>
              </w:rPr>
            </w:pPr>
            <w:r>
              <w:rPr>
                <w:color w:val="000000"/>
                <w:sz w:val="22"/>
                <w:szCs w:val="22"/>
              </w:rPr>
              <w:t>3M Euribor</w:t>
            </w:r>
          </w:p>
        </w:tc>
        <w:tc>
          <w:tcPr>
            <w:tcW w:w="1134" w:type="dxa"/>
            <w:shd w:val="clear" w:color="auto" w:fill="auto"/>
            <w:noWrap/>
          </w:tcPr>
          <w:p w14:paraId="361C0943" w14:textId="703AF3F4" w:rsidR="00FE1379" w:rsidRPr="001D04E9" w:rsidRDefault="008439D5" w:rsidP="00FE1379">
            <w:pPr>
              <w:spacing w:before="40"/>
              <w:jc w:val="center"/>
              <w:rPr>
                <w:b/>
                <w:bCs/>
                <w:sz w:val="22"/>
                <w:szCs w:val="22"/>
              </w:rPr>
            </w:pPr>
            <w:r>
              <w:rPr>
                <w:sz w:val="22"/>
                <w:szCs w:val="22"/>
              </w:rPr>
              <w:t>(</w:t>
            </w:r>
            <w:r w:rsidR="00FE1379" w:rsidRPr="001D04E9">
              <w:rPr>
                <w:sz w:val="22"/>
                <w:szCs w:val="22"/>
              </w:rPr>
              <w:t>0.</w:t>
            </w:r>
            <w:r w:rsidRPr="001D04E9">
              <w:rPr>
                <w:sz w:val="22"/>
                <w:szCs w:val="22"/>
              </w:rPr>
              <w:t>2</w:t>
            </w:r>
            <w:r>
              <w:rPr>
                <w:sz w:val="22"/>
                <w:szCs w:val="22"/>
              </w:rPr>
              <w:t>05</w:t>
            </w:r>
            <w:r w:rsidR="00FE1379" w:rsidRPr="001D04E9">
              <w:rPr>
                <w:sz w:val="22"/>
                <w:szCs w:val="22"/>
              </w:rPr>
              <w:t>%</w:t>
            </w:r>
            <w:r>
              <w:rPr>
                <w:sz w:val="22"/>
                <w:szCs w:val="22"/>
              </w:rPr>
              <w:t>)</w:t>
            </w:r>
          </w:p>
        </w:tc>
        <w:tc>
          <w:tcPr>
            <w:tcW w:w="1701" w:type="dxa"/>
            <w:shd w:val="clear" w:color="auto" w:fill="auto"/>
            <w:noWrap/>
          </w:tcPr>
          <w:p w14:paraId="6C9C2CEC" w14:textId="4102216E" w:rsidR="00FE1379" w:rsidRPr="001D04E9" w:rsidRDefault="00FE1379" w:rsidP="00FE1379">
            <w:pPr>
              <w:spacing w:before="40"/>
              <w:jc w:val="center"/>
              <w:rPr>
                <w:b/>
                <w:bCs/>
                <w:sz w:val="22"/>
                <w:szCs w:val="22"/>
              </w:rPr>
            </w:pPr>
            <w:r w:rsidRPr="001D04E9">
              <w:rPr>
                <w:sz w:val="22"/>
                <w:szCs w:val="22"/>
              </w:rPr>
              <w:t>13/08/2026</w:t>
            </w:r>
          </w:p>
        </w:tc>
        <w:tc>
          <w:tcPr>
            <w:tcW w:w="1134" w:type="dxa"/>
            <w:shd w:val="clear" w:color="auto" w:fill="auto"/>
            <w:noWrap/>
          </w:tcPr>
          <w:p w14:paraId="3E7454EB" w14:textId="09C9604A" w:rsidR="00FE1379" w:rsidRPr="001D04E9" w:rsidRDefault="00FE1379" w:rsidP="00FE1379">
            <w:pPr>
              <w:spacing w:before="40"/>
              <w:jc w:val="right"/>
              <w:rPr>
                <w:b/>
                <w:bCs/>
                <w:sz w:val="22"/>
                <w:szCs w:val="22"/>
                <w:highlight w:val="yellow"/>
              </w:rPr>
            </w:pPr>
            <w:r w:rsidRPr="001D04E9">
              <w:rPr>
                <w:sz w:val="22"/>
                <w:szCs w:val="22"/>
              </w:rPr>
              <w:t xml:space="preserve"> 28,252 </w:t>
            </w:r>
          </w:p>
        </w:tc>
        <w:tc>
          <w:tcPr>
            <w:tcW w:w="925" w:type="dxa"/>
            <w:shd w:val="clear" w:color="auto" w:fill="auto"/>
            <w:noWrap/>
          </w:tcPr>
          <w:p w14:paraId="0FEA8687" w14:textId="0D7FBCDF" w:rsidR="00FE1379" w:rsidRPr="001D04E9" w:rsidRDefault="00FE1379" w:rsidP="00FE1379">
            <w:pPr>
              <w:spacing w:before="40"/>
              <w:jc w:val="right"/>
              <w:rPr>
                <w:b/>
                <w:bCs/>
                <w:sz w:val="22"/>
                <w:szCs w:val="22"/>
                <w:highlight w:val="yellow"/>
              </w:rPr>
            </w:pPr>
            <w:r w:rsidRPr="001D04E9">
              <w:rPr>
                <w:sz w:val="22"/>
                <w:szCs w:val="22"/>
              </w:rPr>
              <w:t xml:space="preserve"> 1,197 </w:t>
            </w:r>
          </w:p>
        </w:tc>
        <w:tc>
          <w:tcPr>
            <w:tcW w:w="1134" w:type="dxa"/>
            <w:shd w:val="clear" w:color="auto" w:fill="auto"/>
            <w:noWrap/>
          </w:tcPr>
          <w:p w14:paraId="3337A3A3" w14:textId="787D5D26" w:rsidR="00FE1379" w:rsidRPr="001D04E9" w:rsidRDefault="00FE1379" w:rsidP="00FE1379">
            <w:pPr>
              <w:spacing w:before="40"/>
              <w:jc w:val="right"/>
              <w:rPr>
                <w:b/>
                <w:bCs/>
                <w:sz w:val="22"/>
                <w:szCs w:val="22"/>
                <w:highlight w:val="yellow"/>
              </w:rPr>
            </w:pPr>
            <w:r w:rsidRPr="001D04E9">
              <w:rPr>
                <w:sz w:val="22"/>
                <w:szCs w:val="22"/>
              </w:rPr>
              <w:t xml:space="preserve"> 945 </w:t>
            </w:r>
          </w:p>
        </w:tc>
      </w:tr>
      <w:tr w:rsidR="00FE1379" w:rsidRPr="002B51C1" w14:paraId="3E3C9AC8" w14:textId="77777777" w:rsidTr="005101BC">
        <w:trPr>
          <w:trHeight w:val="20"/>
        </w:trPr>
        <w:tc>
          <w:tcPr>
            <w:tcW w:w="1961" w:type="dxa"/>
            <w:shd w:val="clear" w:color="auto" w:fill="auto"/>
            <w:vAlign w:val="bottom"/>
          </w:tcPr>
          <w:p w14:paraId="6768EDE9" w14:textId="5BB1ED09" w:rsidR="00FE1379" w:rsidRPr="002B51C1" w:rsidRDefault="00FE1379" w:rsidP="00FE1379">
            <w:pPr>
              <w:spacing w:before="40"/>
              <w:rPr>
                <w:color w:val="000000"/>
                <w:sz w:val="22"/>
                <w:szCs w:val="22"/>
              </w:rPr>
            </w:pPr>
            <w:r w:rsidRPr="002B51C1">
              <w:rPr>
                <w:color w:val="000000"/>
                <w:sz w:val="22"/>
                <w:szCs w:val="22"/>
              </w:rPr>
              <w:t>Interest rate swap</w:t>
            </w:r>
          </w:p>
        </w:tc>
        <w:tc>
          <w:tcPr>
            <w:tcW w:w="1572" w:type="dxa"/>
            <w:shd w:val="clear" w:color="auto" w:fill="auto"/>
            <w:noWrap/>
            <w:vAlign w:val="bottom"/>
          </w:tcPr>
          <w:p w14:paraId="3F7BF576" w14:textId="53DF62D0" w:rsidR="00FE1379" w:rsidRDefault="00FE1379" w:rsidP="00FE1379">
            <w:pPr>
              <w:spacing w:before="40"/>
              <w:jc w:val="center"/>
              <w:rPr>
                <w:color w:val="000000"/>
                <w:sz w:val="22"/>
                <w:szCs w:val="22"/>
              </w:rPr>
            </w:pPr>
            <w:r>
              <w:rPr>
                <w:color w:val="000000"/>
                <w:sz w:val="22"/>
                <w:szCs w:val="22"/>
              </w:rPr>
              <w:t>3M Euribor</w:t>
            </w:r>
          </w:p>
        </w:tc>
        <w:tc>
          <w:tcPr>
            <w:tcW w:w="1134" w:type="dxa"/>
            <w:shd w:val="clear" w:color="auto" w:fill="auto"/>
            <w:noWrap/>
          </w:tcPr>
          <w:p w14:paraId="11848656" w14:textId="7C6B6619" w:rsidR="00FE1379" w:rsidRPr="001D04E9" w:rsidRDefault="00FE1379" w:rsidP="00FE1379">
            <w:pPr>
              <w:spacing w:before="40"/>
              <w:jc w:val="center"/>
              <w:rPr>
                <w:b/>
                <w:bCs/>
                <w:sz w:val="22"/>
                <w:szCs w:val="22"/>
              </w:rPr>
            </w:pPr>
            <w:r w:rsidRPr="001D04E9">
              <w:rPr>
                <w:sz w:val="22"/>
                <w:szCs w:val="22"/>
              </w:rPr>
              <w:t>1.43%</w:t>
            </w:r>
          </w:p>
        </w:tc>
        <w:tc>
          <w:tcPr>
            <w:tcW w:w="1701" w:type="dxa"/>
            <w:shd w:val="clear" w:color="auto" w:fill="auto"/>
            <w:noWrap/>
          </w:tcPr>
          <w:p w14:paraId="24225C3F" w14:textId="3F38D17B" w:rsidR="00FE1379" w:rsidRPr="001D04E9" w:rsidRDefault="00FE1379" w:rsidP="00FE1379">
            <w:pPr>
              <w:spacing w:before="40"/>
              <w:jc w:val="center"/>
              <w:rPr>
                <w:b/>
                <w:bCs/>
                <w:sz w:val="22"/>
                <w:szCs w:val="22"/>
              </w:rPr>
            </w:pPr>
            <w:r w:rsidRPr="001D04E9">
              <w:rPr>
                <w:sz w:val="22"/>
                <w:szCs w:val="22"/>
              </w:rPr>
              <w:t>26/11/2026</w:t>
            </w:r>
          </w:p>
        </w:tc>
        <w:tc>
          <w:tcPr>
            <w:tcW w:w="1134" w:type="dxa"/>
            <w:shd w:val="clear" w:color="auto" w:fill="auto"/>
            <w:noWrap/>
          </w:tcPr>
          <w:p w14:paraId="5539AFE8" w14:textId="01C93407" w:rsidR="00FE1379" w:rsidRPr="001D04E9" w:rsidRDefault="00FE1379" w:rsidP="00FE1379">
            <w:pPr>
              <w:spacing w:before="40"/>
              <w:jc w:val="right"/>
              <w:rPr>
                <w:b/>
                <w:bCs/>
                <w:sz w:val="22"/>
                <w:szCs w:val="22"/>
                <w:highlight w:val="yellow"/>
              </w:rPr>
            </w:pPr>
            <w:r w:rsidRPr="001D04E9">
              <w:rPr>
                <w:sz w:val="22"/>
                <w:szCs w:val="22"/>
              </w:rPr>
              <w:t xml:space="preserve"> 16,797 </w:t>
            </w:r>
          </w:p>
        </w:tc>
        <w:tc>
          <w:tcPr>
            <w:tcW w:w="925" w:type="dxa"/>
            <w:shd w:val="clear" w:color="auto" w:fill="auto"/>
            <w:noWrap/>
          </w:tcPr>
          <w:p w14:paraId="211E3B03" w14:textId="1EDDA9F1" w:rsidR="00FE1379" w:rsidRPr="001D04E9" w:rsidRDefault="00FE1379" w:rsidP="00FE1379">
            <w:pPr>
              <w:spacing w:before="40"/>
              <w:jc w:val="right"/>
              <w:rPr>
                <w:b/>
                <w:bCs/>
                <w:sz w:val="22"/>
                <w:szCs w:val="22"/>
                <w:highlight w:val="yellow"/>
              </w:rPr>
            </w:pPr>
            <w:r w:rsidRPr="001D04E9">
              <w:rPr>
                <w:sz w:val="22"/>
                <w:szCs w:val="22"/>
              </w:rPr>
              <w:t xml:space="preserve"> 268 </w:t>
            </w:r>
          </w:p>
        </w:tc>
        <w:tc>
          <w:tcPr>
            <w:tcW w:w="1134" w:type="dxa"/>
            <w:shd w:val="clear" w:color="auto" w:fill="auto"/>
            <w:noWrap/>
          </w:tcPr>
          <w:p w14:paraId="1FCAB2DD" w14:textId="38CD3B46" w:rsidR="00FE1379" w:rsidRPr="001D04E9" w:rsidRDefault="00FE1379" w:rsidP="00FE1379">
            <w:pPr>
              <w:spacing w:before="40"/>
              <w:jc w:val="right"/>
              <w:rPr>
                <w:b/>
                <w:bCs/>
                <w:sz w:val="22"/>
                <w:szCs w:val="22"/>
                <w:highlight w:val="yellow"/>
              </w:rPr>
            </w:pPr>
            <w:r w:rsidRPr="001D04E9">
              <w:rPr>
                <w:sz w:val="22"/>
                <w:szCs w:val="22"/>
              </w:rPr>
              <w:t xml:space="preserve"> 212 </w:t>
            </w:r>
          </w:p>
        </w:tc>
      </w:tr>
      <w:tr w:rsidR="00FE1379" w:rsidRPr="002B51C1" w14:paraId="2487C25D" w14:textId="77777777" w:rsidTr="005101BC">
        <w:trPr>
          <w:trHeight w:val="20"/>
        </w:trPr>
        <w:tc>
          <w:tcPr>
            <w:tcW w:w="1961" w:type="dxa"/>
            <w:shd w:val="clear" w:color="auto" w:fill="auto"/>
            <w:vAlign w:val="bottom"/>
          </w:tcPr>
          <w:p w14:paraId="360AC3F9" w14:textId="3BDE98A9" w:rsidR="00FE1379" w:rsidRPr="002B51C1" w:rsidRDefault="00FE1379" w:rsidP="00FE1379">
            <w:pPr>
              <w:spacing w:before="40"/>
              <w:rPr>
                <w:color w:val="000000"/>
                <w:sz w:val="22"/>
                <w:szCs w:val="22"/>
              </w:rPr>
            </w:pPr>
            <w:r w:rsidRPr="002B51C1">
              <w:rPr>
                <w:color w:val="000000"/>
                <w:sz w:val="22"/>
                <w:szCs w:val="22"/>
              </w:rPr>
              <w:t>Interest rate swap</w:t>
            </w:r>
          </w:p>
        </w:tc>
        <w:tc>
          <w:tcPr>
            <w:tcW w:w="1572" w:type="dxa"/>
            <w:shd w:val="clear" w:color="auto" w:fill="auto"/>
            <w:noWrap/>
            <w:vAlign w:val="bottom"/>
          </w:tcPr>
          <w:p w14:paraId="560CEEB6" w14:textId="65934FBA" w:rsidR="00FE1379" w:rsidRDefault="00FE1379" w:rsidP="00FE1379">
            <w:pPr>
              <w:spacing w:before="40"/>
              <w:jc w:val="center"/>
              <w:rPr>
                <w:color w:val="000000"/>
                <w:sz w:val="22"/>
                <w:szCs w:val="22"/>
              </w:rPr>
            </w:pPr>
            <w:r>
              <w:rPr>
                <w:color w:val="000000"/>
                <w:sz w:val="22"/>
                <w:szCs w:val="22"/>
              </w:rPr>
              <w:t>3M Euribor</w:t>
            </w:r>
          </w:p>
        </w:tc>
        <w:tc>
          <w:tcPr>
            <w:tcW w:w="1134" w:type="dxa"/>
            <w:shd w:val="clear" w:color="auto" w:fill="auto"/>
            <w:noWrap/>
          </w:tcPr>
          <w:p w14:paraId="492EB25B" w14:textId="3467CA2A" w:rsidR="00FE1379" w:rsidRPr="001D04E9" w:rsidRDefault="00FE1379" w:rsidP="00FE1379">
            <w:pPr>
              <w:spacing w:before="40"/>
              <w:jc w:val="center"/>
              <w:rPr>
                <w:b/>
                <w:bCs/>
                <w:sz w:val="22"/>
                <w:szCs w:val="22"/>
              </w:rPr>
            </w:pPr>
            <w:r w:rsidRPr="001D04E9">
              <w:rPr>
                <w:sz w:val="22"/>
                <w:szCs w:val="22"/>
              </w:rPr>
              <w:t>3.22%</w:t>
            </w:r>
          </w:p>
        </w:tc>
        <w:tc>
          <w:tcPr>
            <w:tcW w:w="1701" w:type="dxa"/>
            <w:shd w:val="clear" w:color="auto" w:fill="auto"/>
            <w:noWrap/>
          </w:tcPr>
          <w:p w14:paraId="1F7D18AA" w14:textId="0CC39004" w:rsidR="00FE1379" w:rsidRPr="001D04E9" w:rsidRDefault="00FE1379" w:rsidP="00FE1379">
            <w:pPr>
              <w:spacing w:before="40"/>
              <w:jc w:val="center"/>
              <w:rPr>
                <w:b/>
                <w:bCs/>
                <w:sz w:val="22"/>
                <w:szCs w:val="22"/>
              </w:rPr>
            </w:pPr>
            <w:r w:rsidRPr="001D04E9">
              <w:rPr>
                <w:sz w:val="22"/>
                <w:szCs w:val="22"/>
              </w:rPr>
              <w:t>02/10/2028</w:t>
            </w:r>
          </w:p>
        </w:tc>
        <w:tc>
          <w:tcPr>
            <w:tcW w:w="1134" w:type="dxa"/>
            <w:shd w:val="clear" w:color="auto" w:fill="auto"/>
            <w:noWrap/>
          </w:tcPr>
          <w:p w14:paraId="1D27EFCD" w14:textId="4578AC5D" w:rsidR="00FE1379" w:rsidRPr="001D04E9" w:rsidRDefault="00FE1379" w:rsidP="00FE1379">
            <w:pPr>
              <w:spacing w:before="40"/>
              <w:jc w:val="right"/>
              <w:rPr>
                <w:b/>
                <w:bCs/>
                <w:sz w:val="22"/>
                <w:szCs w:val="22"/>
                <w:highlight w:val="yellow"/>
              </w:rPr>
            </w:pPr>
            <w:r w:rsidRPr="001D04E9">
              <w:rPr>
                <w:sz w:val="22"/>
                <w:szCs w:val="22"/>
              </w:rPr>
              <w:t xml:space="preserve"> 19,180 </w:t>
            </w:r>
          </w:p>
        </w:tc>
        <w:tc>
          <w:tcPr>
            <w:tcW w:w="925" w:type="dxa"/>
            <w:shd w:val="clear" w:color="auto" w:fill="auto"/>
            <w:noWrap/>
          </w:tcPr>
          <w:p w14:paraId="20274E3C" w14:textId="41794D7E" w:rsidR="00FE1379" w:rsidRPr="001D04E9" w:rsidRDefault="00FE1379" w:rsidP="00FE1379">
            <w:pPr>
              <w:spacing w:before="40"/>
              <w:jc w:val="right"/>
              <w:rPr>
                <w:b/>
                <w:bCs/>
                <w:sz w:val="22"/>
                <w:szCs w:val="22"/>
                <w:highlight w:val="yellow"/>
              </w:rPr>
            </w:pPr>
            <w:r w:rsidRPr="001D04E9">
              <w:rPr>
                <w:sz w:val="22"/>
                <w:szCs w:val="22"/>
              </w:rPr>
              <w:t xml:space="preserve"> (776)</w:t>
            </w:r>
          </w:p>
        </w:tc>
        <w:tc>
          <w:tcPr>
            <w:tcW w:w="1134" w:type="dxa"/>
            <w:shd w:val="clear" w:color="auto" w:fill="auto"/>
            <w:noWrap/>
          </w:tcPr>
          <w:p w14:paraId="1EF12792" w14:textId="659EAF37" w:rsidR="00FE1379" w:rsidRPr="001D04E9" w:rsidRDefault="00FE1379" w:rsidP="00FE1379">
            <w:pPr>
              <w:spacing w:before="40"/>
              <w:jc w:val="right"/>
              <w:rPr>
                <w:b/>
                <w:bCs/>
                <w:sz w:val="22"/>
                <w:szCs w:val="22"/>
                <w:highlight w:val="yellow"/>
              </w:rPr>
            </w:pPr>
            <w:r w:rsidRPr="001D04E9">
              <w:rPr>
                <w:sz w:val="22"/>
                <w:szCs w:val="22"/>
              </w:rPr>
              <w:t xml:space="preserve"> (613)</w:t>
            </w:r>
          </w:p>
        </w:tc>
      </w:tr>
      <w:tr w:rsidR="00FE1379" w:rsidRPr="002B51C1" w14:paraId="1FAFB2E9" w14:textId="77777777" w:rsidTr="005101BC">
        <w:trPr>
          <w:trHeight w:val="20"/>
        </w:trPr>
        <w:tc>
          <w:tcPr>
            <w:tcW w:w="1961" w:type="dxa"/>
            <w:shd w:val="clear" w:color="auto" w:fill="auto"/>
            <w:vAlign w:val="bottom"/>
          </w:tcPr>
          <w:p w14:paraId="073837B7" w14:textId="5F668595" w:rsidR="00FE1379" w:rsidRPr="002B51C1" w:rsidRDefault="00FE1379" w:rsidP="00FE1379">
            <w:pPr>
              <w:spacing w:before="40"/>
              <w:rPr>
                <w:color w:val="000000"/>
                <w:sz w:val="22"/>
                <w:szCs w:val="22"/>
              </w:rPr>
            </w:pPr>
            <w:r w:rsidRPr="002B51C1">
              <w:rPr>
                <w:color w:val="000000"/>
                <w:sz w:val="22"/>
                <w:szCs w:val="22"/>
              </w:rPr>
              <w:t>Interest rate swap</w:t>
            </w:r>
          </w:p>
        </w:tc>
        <w:tc>
          <w:tcPr>
            <w:tcW w:w="1572" w:type="dxa"/>
            <w:shd w:val="clear" w:color="auto" w:fill="auto"/>
            <w:noWrap/>
            <w:vAlign w:val="bottom"/>
          </w:tcPr>
          <w:p w14:paraId="12BE175D" w14:textId="7B1F9E5C" w:rsidR="00FE1379" w:rsidRDefault="00FE1379" w:rsidP="00FE1379">
            <w:pPr>
              <w:spacing w:before="40"/>
              <w:jc w:val="center"/>
              <w:rPr>
                <w:color w:val="000000"/>
                <w:sz w:val="22"/>
                <w:szCs w:val="22"/>
              </w:rPr>
            </w:pPr>
            <w:r>
              <w:rPr>
                <w:color w:val="000000"/>
                <w:sz w:val="22"/>
                <w:szCs w:val="22"/>
              </w:rPr>
              <w:t>3M Euribor</w:t>
            </w:r>
          </w:p>
        </w:tc>
        <w:tc>
          <w:tcPr>
            <w:tcW w:w="1134" w:type="dxa"/>
            <w:shd w:val="clear" w:color="auto" w:fill="auto"/>
            <w:noWrap/>
          </w:tcPr>
          <w:p w14:paraId="219300E3" w14:textId="13B4C606" w:rsidR="00FE1379" w:rsidRPr="001D04E9" w:rsidRDefault="00FE1379" w:rsidP="00FE1379">
            <w:pPr>
              <w:spacing w:before="40"/>
              <w:jc w:val="center"/>
              <w:rPr>
                <w:b/>
                <w:bCs/>
                <w:sz w:val="22"/>
                <w:szCs w:val="22"/>
              </w:rPr>
            </w:pPr>
            <w:r w:rsidRPr="001D04E9">
              <w:rPr>
                <w:sz w:val="22"/>
                <w:szCs w:val="22"/>
              </w:rPr>
              <w:t>3.30%</w:t>
            </w:r>
          </w:p>
        </w:tc>
        <w:tc>
          <w:tcPr>
            <w:tcW w:w="1701" w:type="dxa"/>
            <w:shd w:val="clear" w:color="auto" w:fill="auto"/>
            <w:noWrap/>
          </w:tcPr>
          <w:p w14:paraId="1F95BD7D" w14:textId="191D7D05" w:rsidR="00FE1379" w:rsidRPr="001D04E9" w:rsidRDefault="00FE1379" w:rsidP="00FE1379">
            <w:pPr>
              <w:spacing w:before="40"/>
              <w:jc w:val="center"/>
              <w:rPr>
                <w:b/>
                <w:bCs/>
                <w:sz w:val="22"/>
                <w:szCs w:val="22"/>
              </w:rPr>
            </w:pPr>
            <w:r w:rsidRPr="001D04E9">
              <w:rPr>
                <w:sz w:val="22"/>
                <w:szCs w:val="22"/>
              </w:rPr>
              <w:t>02/10/2028</w:t>
            </w:r>
          </w:p>
        </w:tc>
        <w:tc>
          <w:tcPr>
            <w:tcW w:w="1134" w:type="dxa"/>
            <w:shd w:val="clear" w:color="auto" w:fill="auto"/>
            <w:noWrap/>
          </w:tcPr>
          <w:p w14:paraId="4E9320A7" w14:textId="1B51DC12" w:rsidR="00FE1379" w:rsidRPr="001D04E9" w:rsidRDefault="00FE1379" w:rsidP="00FE1379">
            <w:pPr>
              <w:spacing w:before="40"/>
              <w:jc w:val="right"/>
              <w:rPr>
                <w:b/>
                <w:bCs/>
                <w:sz w:val="22"/>
                <w:szCs w:val="22"/>
                <w:highlight w:val="yellow"/>
              </w:rPr>
            </w:pPr>
            <w:r w:rsidRPr="001D04E9">
              <w:rPr>
                <w:sz w:val="22"/>
                <w:szCs w:val="22"/>
              </w:rPr>
              <w:t xml:space="preserve"> 16,926 </w:t>
            </w:r>
          </w:p>
        </w:tc>
        <w:tc>
          <w:tcPr>
            <w:tcW w:w="925" w:type="dxa"/>
            <w:shd w:val="clear" w:color="auto" w:fill="auto"/>
            <w:noWrap/>
          </w:tcPr>
          <w:p w14:paraId="7D588201" w14:textId="2E745B4F" w:rsidR="00FE1379" w:rsidRPr="001D04E9" w:rsidRDefault="00FE1379" w:rsidP="00FE1379">
            <w:pPr>
              <w:spacing w:before="40"/>
              <w:jc w:val="right"/>
              <w:rPr>
                <w:b/>
                <w:bCs/>
                <w:sz w:val="22"/>
                <w:szCs w:val="22"/>
                <w:highlight w:val="yellow"/>
              </w:rPr>
            </w:pPr>
            <w:r w:rsidRPr="001D04E9">
              <w:rPr>
                <w:sz w:val="22"/>
                <w:szCs w:val="22"/>
              </w:rPr>
              <w:t xml:space="preserve"> (734)</w:t>
            </w:r>
          </w:p>
        </w:tc>
        <w:tc>
          <w:tcPr>
            <w:tcW w:w="1134" w:type="dxa"/>
            <w:shd w:val="clear" w:color="auto" w:fill="auto"/>
            <w:noWrap/>
          </w:tcPr>
          <w:p w14:paraId="47804A50" w14:textId="40DFA517" w:rsidR="00FE1379" w:rsidRPr="001D04E9" w:rsidRDefault="00FE1379" w:rsidP="00FE1379">
            <w:pPr>
              <w:spacing w:before="40"/>
              <w:jc w:val="right"/>
              <w:rPr>
                <w:b/>
                <w:bCs/>
                <w:sz w:val="22"/>
                <w:szCs w:val="22"/>
                <w:highlight w:val="yellow"/>
              </w:rPr>
            </w:pPr>
            <w:r w:rsidRPr="001D04E9">
              <w:rPr>
                <w:sz w:val="22"/>
                <w:szCs w:val="22"/>
              </w:rPr>
              <w:t xml:space="preserve"> (580)</w:t>
            </w:r>
          </w:p>
        </w:tc>
      </w:tr>
      <w:tr w:rsidR="00FE1379" w:rsidRPr="002B51C1" w14:paraId="472A35D2" w14:textId="77777777" w:rsidTr="005101BC">
        <w:trPr>
          <w:trHeight w:val="20"/>
        </w:trPr>
        <w:tc>
          <w:tcPr>
            <w:tcW w:w="1961" w:type="dxa"/>
            <w:shd w:val="clear" w:color="auto" w:fill="auto"/>
            <w:vAlign w:val="bottom"/>
          </w:tcPr>
          <w:p w14:paraId="326F51F0" w14:textId="070B2B95" w:rsidR="00FE1379" w:rsidRPr="002B51C1" w:rsidRDefault="00FE1379" w:rsidP="00FE1379">
            <w:pPr>
              <w:spacing w:before="40"/>
              <w:rPr>
                <w:color w:val="000000"/>
                <w:sz w:val="22"/>
                <w:szCs w:val="22"/>
              </w:rPr>
            </w:pPr>
            <w:r w:rsidRPr="002B51C1">
              <w:rPr>
                <w:color w:val="000000"/>
                <w:sz w:val="22"/>
                <w:szCs w:val="22"/>
              </w:rPr>
              <w:t>Interest rate swap</w:t>
            </w:r>
          </w:p>
        </w:tc>
        <w:tc>
          <w:tcPr>
            <w:tcW w:w="1572" w:type="dxa"/>
            <w:shd w:val="clear" w:color="auto" w:fill="auto"/>
            <w:noWrap/>
            <w:vAlign w:val="bottom"/>
          </w:tcPr>
          <w:p w14:paraId="73A72DFD" w14:textId="5293A5DB" w:rsidR="00FE1379" w:rsidRDefault="00FE1379" w:rsidP="00FE1379">
            <w:pPr>
              <w:spacing w:before="40"/>
              <w:jc w:val="center"/>
              <w:rPr>
                <w:color w:val="000000"/>
                <w:sz w:val="22"/>
                <w:szCs w:val="22"/>
              </w:rPr>
            </w:pPr>
            <w:r>
              <w:rPr>
                <w:color w:val="000000"/>
                <w:sz w:val="22"/>
                <w:szCs w:val="22"/>
              </w:rPr>
              <w:t>3M Euribor</w:t>
            </w:r>
          </w:p>
        </w:tc>
        <w:tc>
          <w:tcPr>
            <w:tcW w:w="1134" w:type="dxa"/>
            <w:shd w:val="clear" w:color="auto" w:fill="auto"/>
            <w:noWrap/>
          </w:tcPr>
          <w:p w14:paraId="6F9C3FE3" w14:textId="5ECD3075" w:rsidR="00FE1379" w:rsidRPr="001D04E9" w:rsidRDefault="00FE1379" w:rsidP="00FE1379">
            <w:pPr>
              <w:spacing w:before="40"/>
              <w:jc w:val="center"/>
              <w:rPr>
                <w:b/>
                <w:bCs/>
                <w:sz w:val="22"/>
                <w:szCs w:val="22"/>
              </w:rPr>
            </w:pPr>
            <w:r w:rsidRPr="001D04E9">
              <w:rPr>
                <w:sz w:val="22"/>
                <w:szCs w:val="22"/>
              </w:rPr>
              <w:t>3.30%</w:t>
            </w:r>
          </w:p>
        </w:tc>
        <w:tc>
          <w:tcPr>
            <w:tcW w:w="1701" w:type="dxa"/>
            <w:shd w:val="clear" w:color="auto" w:fill="auto"/>
            <w:noWrap/>
          </w:tcPr>
          <w:p w14:paraId="584BE6C4" w14:textId="00C8CED3" w:rsidR="00FE1379" w:rsidRPr="001D04E9" w:rsidRDefault="00FE1379" w:rsidP="00FE1379">
            <w:pPr>
              <w:spacing w:before="40"/>
              <w:jc w:val="center"/>
              <w:rPr>
                <w:b/>
                <w:bCs/>
                <w:sz w:val="22"/>
                <w:szCs w:val="22"/>
              </w:rPr>
            </w:pPr>
            <w:r w:rsidRPr="001D04E9">
              <w:rPr>
                <w:sz w:val="22"/>
                <w:szCs w:val="22"/>
              </w:rPr>
              <w:t>02/10/2028</w:t>
            </w:r>
          </w:p>
        </w:tc>
        <w:tc>
          <w:tcPr>
            <w:tcW w:w="1134" w:type="dxa"/>
            <w:shd w:val="clear" w:color="auto" w:fill="auto"/>
            <w:noWrap/>
          </w:tcPr>
          <w:p w14:paraId="72E0DE6B" w14:textId="32B331B8" w:rsidR="00FE1379" w:rsidRPr="001D04E9" w:rsidRDefault="00FE1379" w:rsidP="00FE1379">
            <w:pPr>
              <w:spacing w:before="40"/>
              <w:jc w:val="right"/>
              <w:rPr>
                <w:b/>
                <w:bCs/>
                <w:sz w:val="22"/>
                <w:szCs w:val="22"/>
                <w:highlight w:val="yellow"/>
              </w:rPr>
            </w:pPr>
            <w:r w:rsidRPr="001D04E9">
              <w:rPr>
                <w:sz w:val="22"/>
                <w:szCs w:val="22"/>
              </w:rPr>
              <w:t xml:space="preserve"> 5,355 </w:t>
            </w:r>
          </w:p>
        </w:tc>
        <w:tc>
          <w:tcPr>
            <w:tcW w:w="925" w:type="dxa"/>
            <w:shd w:val="clear" w:color="auto" w:fill="auto"/>
            <w:noWrap/>
          </w:tcPr>
          <w:p w14:paraId="37C19A52" w14:textId="1F873B1C" w:rsidR="00FE1379" w:rsidRPr="001D04E9" w:rsidRDefault="00FE1379" w:rsidP="00FE1379">
            <w:pPr>
              <w:spacing w:before="40"/>
              <w:jc w:val="right"/>
              <w:rPr>
                <w:b/>
                <w:bCs/>
                <w:sz w:val="22"/>
                <w:szCs w:val="22"/>
                <w:highlight w:val="yellow"/>
              </w:rPr>
            </w:pPr>
            <w:r w:rsidRPr="001D04E9">
              <w:rPr>
                <w:sz w:val="22"/>
                <w:szCs w:val="22"/>
              </w:rPr>
              <w:t xml:space="preserve"> (233)</w:t>
            </w:r>
          </w:p>
        </w:tc>
        <w:tc>
          <w:tcPr>
            <w:tcW w:w="1134" w:type="dxa"/>
            <w:shd w:val="clear" w:color="auto" w:fill="auto"/>
            <w:noWrap/>
          </w:tcPr>
          <w:p w14:paraId="194A018D" w14:textId="21F3694B" w:rsidR="00FE1379" w:rsidRPr="001D04E9" w:rsidRDefault="00FE1379" w:rsidP="00FE1379">
            <w:pPr>
              <w:spacing w:before="40"/>
              <w:jc w:val="right"/>
              <w:rPr>
                <w:b/>
                <w:bCs/>
                <w:sz w:val="22"/>
                <w:szCs w:val="22"/>
                <w:highlight w:val="yellow"/>
              </w:rPr>
            </w:pPr>
            <w:r w:rsidRPr="001D04E9">
              <w:rPr>
                <w:sz w:val="22"/>
                <w:szCs w:val="22"/>
              </w:rPr>
              <w:t xml:space="preserve"> (188)</w:t>
            </w:r>
          </w:p>
        </w:tc>
      </w:tr>
      <w:tr w:rsidR="00FE1379" w:rsidRPr="002B51C1" w14:paraId="56F57914" w14:textId="77777777" w:rsidTr="005101BC">
        <w:trPr>
          <w:trHeight w:val="20"/>
        </w:trPr>
        <w:tc>
          <w:tcPr>
            <w:tcW w:w="1961" w:type="dxa"/>
            <w:shd w:val="clear" w:color="auto" w:fill="auto"/>
            <w:vAlign w:val="bottom"/>
          </w:tcPr>
          <w:p w14:paraId="77142A03" w14:textId="121565F7" w:rsidR="00FE1379" w:rsidRPr="002B51C1" w:rsidRDefault="00FE1379" w:rsidP="00FE1379">
            <w:pPr>
              <w:spacing w:before="40"/>
              <w:rPr>
                <w:color w:val="000000"/>
                <w:sz w:val="22"/>
                <w:szCs w:val="22"/>
              </w:rPr>
            </w:pPr>
            <w:r>
              <w:rPr>
                <w:color w:val="000000"/>
                <w:sz w:val="22"/>
                <w:szCs w:val="22"/>
              </w:rPr>
              <w:t>Interest rate cap</w:t>
            </w:r>
          </w:p>
        </w:tc>
        <w:tc>
          <w:tcPr>
            <w:tcW w:w="1572" w:type="dxa"/>
            <w:shd w:val="clear" w:color="auto" w:fill="auto"/>
            <w:noWrap/>
            <w:vAlign w:val="bottom"/>
          </w:tcPr>
          <w:p w14:paraId="5B9CBB5C" w14:textId="5A6ABEEC" w:rsidR="00FE1379" w:rsidRDefault="00FE1379" w:rsidP="00FE1379">
            <w:pPr>
              <w:spacing w:before="40"/>
              <w:jc w:val="center"/>
              <w:rPr>
                <w:color w:val="000000"/>
                <w:sz w:val="22"/>
                <w:szCs w:val="22"/>
              </w:rPr>
            </w:pPr>
            <w:r>
              <w:rPr>
                <w:color w:val="000000"/>
                <w:sz w:val="22"/>
                <w:szCs w:val="22"/>
              </w:rPr>
              <w:t>3M Euribor</w:t>
            </w:r>
          </w:p>
        </w:tc>
        <w:tc>
          <w:tcPr>
            <w:tcW w:w="1134" w:type="dxa"/>
            <w:shd w:val="clear" w:color="auto" w:fill="auto"/>
            <w:noWrap/>
          </w:tcPr>
          <w:p w14:paraId="26CCA572" w14:textId="79029CD8" w:rsidR="00FE1379" w:rsidRPr="001D04E9" w:rsidRDefault="00FE1379" w:rsidP="00FE1379">
            <w:pPr>
              <w:spacing w:before="40"/>
              <w:jc w:val="center"/>
              <w:rPr>
                <w:color w:val="000000"/>
                <w:sz w:val="22"/>
                <w:szCs w:val="22"/>
              </w:rPr>
            </w:pPr>
            <w:r w:rsidRPr="001D04E9">
              <w:rPr>
                <w:sz w:val="22"/>
                <w:szCs w:val="22"/>
              </w:rPr>
              <w:t>2.25%</w:t>
            </w:r>
          </w:p>
        </w:tc>
        <w:tc>
          <w:tcPr>
            <w:tcW w:w="1701" w:type="dxa"/>
            <w:shd w:val="clear" w:color="auto" w:fill="auto"/>
            <w:noWrap/>
          </w:tcPr>
          <w:p w14:paraId="13F3C4E8" w14:textId="74481575" w:rsidR="00FE1379" w:rsidRPr="001D04E9" w:rsidRDefault="00FE1379" w:rsidP="00FE1379">
            <w:pPr>
              <w:spacing w:before="40"/>
              <w:jc w:val="center"/>
              <w:rPr>
                <w:color w:val="000000"/>
                <w:sz w:val="22"/>
                <w:szCs w:val="22"/>
              </w:rPr>
            </w:pPr>
            <w:r w:rsidRPr="001D04E9">
              <w:rPr>
                <w:sz w:val="22"/>
                <w:szCs w:val="22"/>
              </w:rPr>
              <w:t>16/12/2025</w:t>
            </w:r>
          </w:p>
        </w:tc>
        <w:tc>
          <w:tcPr>
            <w:tcW w:w="1134" w:type="dxa"/>
            <w:shd w:val="clear" w:color="auto" w:fill="auto"/>
            <w:noWrap/>
          </w:tcPr>
          <w:p w14:paraId="09D5BE7E" w14:textId="0C6C279D" w:rsidR="00FE1379" w:rsidRPr="001D04E9" w:rsidRDefault="00FE1379" w:rsidP="00FE1379">
            <w:pPr>
              <w:spacing w:before="40"/>
              <w:jc w:val="right"/>
              <w:rPr>
                <w:color w:val="000000"/>
                <w:sz w:val="22"/>
                <w:szCs w:val="22"/>
              </w:rPr>
            </w:pPr>
            <w:r w:rsidRPr="001D04E9">
              <w:rPr>
                <w:sz w:val="22"/>
                <w:szCs w:val="22"/>
              </w:rPr>
              <w:t xml:space="preserve"> 219,164 </w:t>
            </w:r>
          </w:p>
        </w:tc>
        <w:tc>
          <w:tcPr>
            <w:tcW w:w="925" w:type="dxa"/>
            <w:shd w:val="clear" w:color="auto" w:fill="auto"/>
            <w:noWrap/>
          </w:tcPr>
          <w:p w14:paraId="67F9A2D1" w14:textId="2C385A20" w:rsidR="00FE1379" w:rsidRPr="001D04E9" w:rsidRDefault="00FE1379" w:rsidP="00FE1379">
            <w:pPr>
              <w:spacing w:before="40"/>
              <w:jc w:val="right"/>
              <w:rPr>
                <w:color w:val="000000"/>
                <w:sz w:val="22"/>
                <w:szCs w:val="22"/>
              </w:rPr>
            </w:pPr>
            <w:r w:rsidRPr="001D04E9">
              <w:rPr>
                <w:sz w:val="22"/>
                <w:szCs w:val="22"/>
              </w:rPr>
              <w:t xml:space="preserve"> 133 </w:t>
            </w:r>
          </w:p>
        </w:tc>
        <w:tc>
          <w:tcPr>
            <w:tcW w:w="1134" w:type="dxa"/>
            <w:shd w:val="clear" w:color="auto" w:fill="auto"/>
            <w:noWrap/>
          </w:tcPr>
          <w:p w14:paraId="6EE80ADB" w14:textId="08E637EC" w:rsidR="00FE1379" w:rsidRPr="001D04E9" w:rsidRDefault="00FE1379" w:rsidP="00FE1379">
            <w:pPr>
              <w:spacing w:before="40"/>
              <w:jc w:val="right"/>
              <w:rPr>
                <w:color w:val="000000"/>
                <w:sz w:val="22"/>
                <w:szCs w:val="22"/>
              </w:rPr>
            </w:pPr>
            <w:r w:rsidRPr="001D04E9">
              <w:rPr>
                <w:sz w:val="22"/>
                <w:szCs w:val="22"/>
              </w:rPr>
              <w:t xml:space="preserve"> 112 </w:t>
            </w:r>
          </w:p>
        </w:tc>
      </w:tr>
      <w:tr w:rsidR="00FE1379" w:rsidRPr="002B51C1" w14:paraId="1D237041" w14:textId="77777777" w:rsidTr="005101BC">
        <w:trPr>
          <w:trHeight w:val="20"/>
        </w:trPr>
        <w:tc>
          <w:tcPr>
            <w:tcW w:w="1961" w:type="dxa"/>
            <w:shd w:val="clear" w:color="auto" w:fill="auto"/>
            <w:vAlign w:val="bottom"/>
          </w:tcPr>
          <w:p w14:paraId="7DBC8221" w14:textId="03F5AF5C" w:rsidR="00FE1379" w:rsidRPr="002B51C1" w:rsidRDefault="00FE1379" w:rsidP="00FE1379">
            <w:pPr>
              <w:spacing w:before="40"/>
              <w:rPr>
                <w:color w:val="000000"/>
                <w:sz w:val="22"/>
                <w:szCs w:val="22"/>
              </w:rPr>
            </w:pPr>
            <w:r>
              <w:rPr>
                <w:color w:val="000000"/>
                <w:sz w:val="22"/>
                <w:szCs w:val="22"/>
              </w:rPr>
              <w:t>Interest rate cap</w:t>
            </w:r>
          </w:p>
        </w:tc>
        <w:tc>
          <w:tcPr>
            <w:tcW w:w="1572" w:type="dxa"/>
            <w:shd w:val="clear" w:color="auto" w:fill="auto"/>
            <w:noWrap/>
            <w:vAlign w:val="bottom"/>
          </w:tcPr>
          <w:p w14:paraId="43D9224D" w14:textId="7CC1D296" w:rsidR="00FE1379" w:rsidRDefault="00FE1379" w:rsidP="00FE1379">
            <w:pPr>
              <w:spacing w:before="40"/>
              <w:jc w:val="center"/>
              <w:rPr>
                <w:color w:val="000000"/>
                <w:sz w:val="22"/>
                <w:szCs w:val="22"/>
              </w:rPr>
            </w:pPr>
            <w:r>
              <w:rPr>
                <w:color w:val="000000"/>
                <w:sz w:val="22"/>
                <w:szCs w:val="22"/>
              </w:rPr>
              <w:t>3M Euribor</w:t>
            </w:r>
          </w:p>
        </w:tc>
        <w:tc>
          <w:tcPr>
            <w:tcW w:w="1134" w:type="dxa"/>
            <w:shd w:val="clear" w:color="auto" w:fill="auto"/>
            <w:noWrap/>
          </w:tcPr>
          <w:p w14:paraId="7C05B69D" w14:textId="02FC185A" w:rsidR="00FE1379" w:rsidRPr="001D04E9" w:rsidRDefault="00FE1379" w:rsidP="00FE1379">
            <w:pPr>
              <w:spacing w:before="40"/>
              <w:jc w:val="center"/>
              <w:rPr>
                <w:color w:val="000000"/>
                <w:sz w:val="22"/>
                <w:szCs w:val="22"/>
              </w:rPr>
            </w:pPr>
            <w:r w:rsidRPr="001D04E9">
              <w:rPr>
                <w:sz w:val="22"/>
                <w:szCs w:val="22"/>
              </w:rPr>
              <w:t>2.25%</w:t>
            </w:r>
          </w:p>
        </w:tc>
        <w:tc>
          <w:tcPr>
            <w:tcW w:w="1701" w:type="dxa"/>
            <w:shd w:val="clear" w:color="auto" w:fill="auto"/>
            <w:noWrap/>
          </w:tcPr>
          <w:p w14:paraId="023BB2A7" w14:textId="1C3EF057" w:rsidR="00FE1379" w:rsidRPr="001D04E9" w:rsidRDefault="00FE1379" w:rsidP="00FE1379">
            <w:pPr>
              <w:spacing w:before="40"/>
              <w:jc w:val="center"/>
              <w:rPr>
                <w:color w:val="000000"/>
                <w:sz w:val="22"/>
                <w:szCs w:val="22"/>
              </w:rPr>
            </w:pPr>
            <w:r w:rsidRPr="001D04E9">
              <w:rPr>
                <w:sz w:val="22"/>
                <w:szCs w:val="22"/>
              </w:rPr>
              <w:t>16/12/2025</w:t>
            </w:r>
          </w:p>
        </w:tc>
        <w:tc>
          <w:tcPr>
            <w:tcW w:w="1134" w:type="dxa"/>
            <w:shd w:val="clear" w:color="auto" w:fill="auto"/>
            <w:noWrap/>
          </w:tcPr>
          <w:p w14:paraId="47416FD5" w14:textId="35970390" w:rsidR="00FE1379" w:rsidRPr="001D04E9" w:rsidRDefault="00FE1379" w:rsidP="00FE1379">
            <w:pPr>
              <w:spacing w:before="40"/>
              <w:jc w:val="right"/>
              <w:rPr>
                <w:color w:val="000000"/>
                <w:sz w:val="22"/>
                <w:szCs w:val="22"/>
              </w:rPr>
            </w:pPr>
            <w:r w:rsidRPr="001D04E9">
              <w:rPr>
                <w:sz w:val="22"/>
                <w:szCs w:val="22"/>
              </w:rPr>
              <w:t xml:space="preserve"> 69,590 </w:t>
            </w:r>
          </w:p>
        </w:tc>
        <w:tc>
          <w:tcPr>
            <w:tcW w:w="925" w:type="dxa"/>
            <w:shd w:val="clear" w:color="auto" w:fill="auto"/>
            <w:noWrap/>
          </w:tcPr>
          <w:p w14:paraId="346C1CF1" w14:textId="7D708081" w:rsidR="00FE1379" w:rsidRPr="001D04E9" w:rsidRDefault="00FE1379" w:rsidP="00FE1379">
            <w:pPr>
              <w:spacing w:before="40"/>
              <w:jc w:val="right"/>
              <w:rPr>
                <w:color w:val="000000"/>
                <w:sz w:val="22"/>
                <w:szCs w:val="22"/>
              </w:rPr>
            </w:pPr>
            <w:r w:rsidRPr="001D04E9">
              <w:rPr>
                <w:sz w:val="22"/>
                <w:szCs w:val="22"/>
              </w:rPr>
              <w:t xml:space="preserve"> 42 </w:t>
            </w:r>
          </w:p>
        </w:tc>
        <w:tc>
          <w:tcPr>
            <w:tcW w:w="1134" w:type="dxa"/>
            <w:shd w:val="clear" w:color="auto" w:fill="auto"/>
            <w:noWrap/>
          </w:tcPr>
          <w:p w14:paraId="329F1CDF" w14:textId="5FFEC2DB" w:rsidR="00FE1379" w:rsidRPr="001D04E9" w:rsidRDefault="00FE1379" w:rsidP="00FE1379">
            <w:pPr>
              <w:spacing w:before="40"/>
              <w:jc w:val="right"/>
              <w:rPr>
                <w:color w:val="000000"/>
                <w:sz w:val="22"/>
                <w:szCs w:val="22"/>
              </w:rPr>
            </w:pPr>
            <w:r w:rsidRPr="001D04E9">
              <w:rPr>
                <w:sz w:val="22"/>
                <w:szCs w:val="22"/>
              </w:rPr>
              <w:t xml:space="preserve"> 35 </w:t>
            </w:r>
          </w:p>
        </w:tc>
      </w:tr>
      <w:tr w:rsidR="00FE1379" w:rsidRPr="002B51C1" w14:paraId="0899A9DA" w14:textId="77777777" w:rsidTr="005101BC">
        <w:trPr>
          <w:trHeight w:val="20"/>
        </w:trPr>
        <w:tc>
          <w:tcPr>
            <w:tcW w:w="1961" w:type="dxa"/>
            <w:shd w:val="clear" w:color="auto" w:fill="auto"/>
            <w:vAlign w:val="bottom"/>
          </w:tcPr>
          <w:p w14:paraId="0DBF1F06" w14:textId="7B2B9920" w:rsidR="00FE1379" w:rsidRPr="002B51C1" w:rsidRDefault="00FE1379" w:rsidP="00FE1379">
            <w:pPr>
              <w:spacing w:before="40"/>
              <w:rPr>
                <w:color w:val="000000"/>
                <w:sz w:val="22"/>
                <w:szCs w:val="22"/>
              </w:rPr>
            </w:pPr>
            <w:r>
              <w:rPr>
                <w:color w:val="000000"/>
                <w:sz w:val="22"/>
                <w:szCs w:val="22"/>
              </w:rPr>
              <w:t>Interest rate cap</w:t>
            </w:r>
          </w:p>
        </w:tc>
        <w:tc>
          <w:tcPr>
            <w:tcW w:w="1572" w:type="dxa"/>
            <w:shd w:val="clear" w:color="auto" w:fill="auto"/>
            <w:noWrap/>
            <w:vAlign w:val="bottom"/>
          </w:tcPr>
          <w:p w14:paraId="7815DF33" w14:textId="2B5B1AF9" w:rsidR="00FE1379" w:rsidRDefault="00FE1379" w:rsidP="00FE1379">
            <w:pPr>
              <w:spacing w:before="40"/>
              <w:jc w:val="center"/>
              <w:rPr>
                <w:color w:val="000000"/>
                <w:sz w:val="22"/>
                <w:szCs w:val="22"/>
              </w:rPr>
            </w:pPr>
            <w:r>
              <w:rPr>
                <w:color w:val="000000"/>
                <w:sz w:val="22"/>
                <w:szCs w:val="22"/>
              </w:rPr>
              <w:t>3M Euribor</w:t>
            </w:r>
          </w:p>
        </w:tc>
        <w:tc>
          <w:tcPr>
            <w:tcW w:w="1134" w:type="dxa"/>
            <w:shd w:val="clear" w:color="auto" w:fill="auto"/>
            <w:noWrap/>
          </w:tcPr>
          <w:p w14:paraId="7A20A64E" w14:textId="4B863E46" w:rsidR="00FE1379" w:rsidRPr="001D04E9" w:rsidRDefault="00FE1379" w:rsidP="00FE1379">
            <w:pPr>
              <w:spacing w:before="40"/>
              <w:jc w:val="center"/>
              <w:rPr>
                <w:color w:val="000000"/>
                <w:sz w:val="22"/>
                <w:szCs w:val="22"/>
              </w:rPr>
            </w:pPr>
            <w:r w:rsidRPr="001D04E9">
              <w:rPr>
                <w:sz w:val="22"/>
                <w:szCs w:val="22"/>
              </w:rPr>
              <w:t>2.25%</w:t>
            </w:r>
          </w:p>
        </w:tc>
        <w:tc>
          <w:tcPr>
            <w:tcW w:w="1701" w:type="dxa"/>
            <w:shd w:val="clear" w:color="auto" w:fill="auto"/>
            <w:noWrap/>
          </w:tcPr>
          <w:p w14:paraId="5198E510" w14:textId="780FE0CA" w:rsidR="00FE1379" w:rsidRPr="001D04E9" w:rsidRDefault="00FE1379" w:rsidP="00FE1379">
            <w:pPr>
              <w:spacing w:before="40"/>
              <w:jc w:val="center"/>
              <w:rPr>
                <w:color w:val="000000"/>
                <w:sz w:val="22"/>
                <w:szCs w:val="22"/>
              </w:rPr>
            </w:pPr>
            <w:r w:rsidRPr="001D04E9">
              <w:rPr>
                <w:sz w:val="22"/>
                <w:szCs w:val="22"/>
              </w:rPr>
              <w:t>16/12/2025</w:t>
            </w:r>
          </w:p>
        </w:tc>
        <w:tc>
          <w:tcPr>
            <w:tcW w:w="1134" w:type="dxa"/>
            <w:shd w:val="clear" w:color="auto" w:fill="auto"/>
            <w:noWrap/>
          </w:tcPr>
          <w:p w14:paraId="719871D9" w14:textId="142F8BAA" w:rsidR="00FE1379" w:rsidRPr="001D04E9" w:rsidRDefault="00FE1379" w:rsidP="00FE1379">
            <w:pPr>
              <w:spacing w:before="40"/>
              <w:jc w:val="right"/>
              <w:rPr>
                <w:color w:val="000000"/>
                <w:sz w:val="22"/>
                <w:szCs w:val="22"/>
              </w:rPr>
            </w:pPr>
            <w:r w:rsidRPr="001D04E9">
              <w:rPr>
                <w:sz w:val="22"/>
                <w:szCs w:val="22"/>
              </w:rPr>
              <w:t xml:space="preserve"> 26,133 </w:t>
            </w:r>
          </w:p>
        </w:tc>
        <w:tc>
          <w:tcPr>
            <w:tcW w:w="925" w:type="dxa"/>
            <w:shd w:val="clear" w:color="auto" w:fill="auto"/>
            <w:noWrap/>
          </w:tcPr>
          <w:p w14:paraId="00548646" w14:textId="7F0DA9FB" w:rsidR="00FE1379" w:rsidRPr="001D04E9" w:rsidRDefault="00FE1379" w:rsidP="00FE1379">
            <w:pPr>
              <w:spacing w:before="40"/>
              <w:jc w:val="right"/>
              <w:rPr>
                <w:color w:val="000000"/>
                <w:sz w:val="22"/>
                <w:szCs w:val="22"/>
              </w:rPr>
            </w:pPr>
            <w:r w:rsidRPr="001D04E9">
              <w:rPr>
                <w:sz w:val="22"/>
                <w:szCs w:val="22"/>
              </w:rPr>
              <w:t xml:space="preserve"> 16 </w:t>
            </w:r>
          </w:p>
        </w:tc>
        <w:tc>
          <w:tcPr>
            <w:tcW w:w="1134" w:type="dxa"/>
            <w:shd w:val="clear" w:color="auto" w:fill="auto"/>
            <w:noWrap/>
          </w:tcPr>
          <w:p w14:paraId="45AFE965" w14:textId="4A3F0F59" w:rsidR="00FE1379" w:rsidRPr="001D04E9" w:rsidRDefault="00FE1379" w:rsidP="00FE1379">
            <w:pPr>
              <w:spacing w:before="40"/>
              <w:jc w:val="right"/>
              <w:rPr>
                <w:color w:val="000000"/>
                <w:sz w:val="22"/>
                <w:szCs w:val="22"/>
              </w:rPr>
            </w:pPr>
            <w:r w:rsidRPr="001D04E9">
              <w:rPr>
                <w:sz w:val="22"/>
                <w:szCs w:val="22"/>
              </w:rPr>
              <w:t xml:space="preserve"> 13 </w:t>
            </w:r>
          </w:p>
        </w:tc>
      </w:tr>
      <w:tr w:rsidR="00FE1379" w:rsidRPr="002B51C1" w14:paraId="3748C79C" w14:textId="77777777" w:rsidTr="005101BC">
        <w:trPr>
          <w:trHeight w:val="20"/>
        </w:trPr>
        <w:tc>
          <w:tcPr>
            <w:tcW w:w="1961" w:type="dxa"/>
            <w:shd w:val="clear" w:color="auto" w:fill="auto"/>
            <w:vAlign w:val="bottom"/>
          </w:tcPr>
          <w:p w14:paraId="102A0EE3" w14:textId="54C678C0" w:rsidR="00FE1379" w:rsidRPr="002B51C1" w:rsidRDefault="00FE1379" w:rsidP="00FE1379">
            <w:pPr>
              <w:spacing w:before="40"/>
              <w:rPr>
                <w:color w:val="000000"/>
                <w:sz w:val="22"/>
                <w:szCs w:val="22"/>
              </w:rPr>
            </w:pPr>
            <w:r>
              <w:rPr>
                <w:color w:val="000000"/>
                <w:sz w:val="22"/>
                <w:szCs w:val="22"/>
              </w:rPr>
              <w:t>Interest rate cap</w:t>
            </w:r>
          </w:p>
        </w:tc>
        <w:tc>
          <w:tcPr>
            <w:tcW w:w="1572" w:type="dxa"/>
            <w:shd w:val="clear" w:color="auto" w:fill="auto"/>
            <w:noWrap/>
            <w:vAlign w:val="bottom"/>
          </w:tcPr>
          <w:p w14:paraId="3889D8E2" w14:textId="198F012B" w:rsidR="00FE1379" w:rsidRDefault="00FE1379" w:rsidP="00FE1379">
            <w:pPr>
              <w:spacing w:before="40"/>
              <w:jc w:val="center"/>
              <w:rPr>
                <w:color w:val="000000"/>
                <w:sz w:val="22"/>
                <w:szCs w:val="22"/>
              </w:rPr>
            </w:pPr>
            <w:r>
              <w:rPr>
                <w:color w:val="000000"/>
                <w:sz w:val="22"/>
                <w:szCs w:val="22"/>
              </w:rPr>
              <w:t>3M Euribor</w:t>
            </w:r>
          </w:p>
        </w:tc>
        <w:tc>
          <w:tcPr>
            <w:tcW w:w="1134" w:type="dxa"/>
            <w:shd w:val="clear" w:color="auto" w:fill="auto"/>
            <w:noWrap/>
          </w:tcPr>
          <w:p w14:paraId="1B522C59" w14:textId="703CAB43" w:rsidR="00FE1379" w:rsidRPr="001D04E9" w:rsidRDefault="00FE1379" w:rsidP="00FE1379">
            <w:pPr>
              <w:spacing w:before="40"/>
              <w:jc w:val="center"/>
              <w:rPr>
                <w:color w:val="000000"/>
                <w:sz w:val="22"/>
                <w:szCs w:val="22"/>
              </w:rPr>
            </w:pPr>
            <w:r w:rsidRPr="001D04E9">
              <w:rPr>
                <w:sz w:val="22"/>
                <w:szCs w:val="22"/>
              </w:rPr>
              <w:t>2.50%</w:t>
            </w:r>
          </w:p>
        </w:tc>
        <w:tc>
          <w:tcPr>
            <w:tcW w:w="1701" w:type="dxa"/>
            <w:shd w:val="clear" w:color="auto" w:fill="auto"/>
            <w:noWrap/>
          </w:tcPr>
          <w:p w14:paraId="3A7C086E" w14:textId="628312B0" w:rsidR="00FE1379" w:rsidRPr="001D04E9" w:rsidRDefault="00FE1379" w:rsidP="00FE1379">
            <w:pPr>
              <w:spacing w:before="40"/>
              <w:jc w:val="center"/>
              <w:rPr>
                <w:color w:val="000000"/>
                <w:sz w:val="22"/>
                <w:szCs w:val="22"/>
              </w:rPr>
            </w:pPr>
            <w:r w:rsidRPr="001D04E9">
              <w:rPr>
                <w:sz w:val="22"/>
                <w:szCs w:val="22"/>
              </w:rPr>
              <w:t>14/04/2026</w:t>
            </w:r>
          </w:p>
        </w:tc>
        <w:tc>
          <w:tcPr>
            <w:tcW w:w="1134" w:type="dxa"/>
            <w:shd w:val="clear" w:color="auto" w:fill="auto"/>
            <w:noWrap/>
          </w:tcPr>
          <w:p w14:paraId="435C4358" w14:textId="5970D2C3" w:rsidR="00FE1379" w:rsidRPr="001D04E9" w:rsidRDefault="00FE1379" w:rsidP="00FE1379">
            <w:pPr>
              <w:spacing w:before="40"/>
              <w:jc w:val="right"/>
              <w:rPr>
                <w:color w:val="000000"/>
                <w:sz w:val="22"/>
                <w:szCs w:val="22"/>
              </w:rPr>
            </w:pPr>
            <w:r w:rsidRPr="001D04E9">
              <w:rPr>
                <w:sz w:val="22"/>
                <w:szCs w:val="22"/>
              </w:rPr>
              <w:t xml:space="preserve"> 3,307 </w:t>
            </w:r>
          </w:p>
        </w:tc>
        <w:tc>
          <w:tcPr>
            <w:tcW w:w="925" w:type="dxa"/>
            <w:shd w:val="clear" w:color="auto" w:fill="auto"/>
            <w:noWrap/>
          </w:tcPr>
          <w:p w14:paraId="45906993" w14:textId="58526119" w:rsidR="00FE1379" w:rsidRPr="001D04E9" w:rsidRDefault="00FE1379" w:rsidP="00FE1379">
            <w:pPr>
              <w:spacing w:before="40"/>
              <w:jc w:val="right"/>
              <w:rPr>
                <w:color w:val="000000"/>
                <w:sz w:val="22"/>
                <w:szCs w:val="22"/>
              </w:rPr>
            </w:pPr>
            <w:r w:rsidRPr="001D04E9">
              <w:rPr>
                <w:sz w:val="22"/>
                <w:szCs w:val="22"/>
              </w:rPr>
              <w:t xml:space="preserve"> 4 </w:t>
            </w:r>
          </w:p>
        </w:tc>
        <w:tc>
          <w:tcPr>
            <w:tcW w:w="1134" w:type="dxa"/>
            <w:shd w:val="clear" w:color="auto" w:fill="auto"/>
            <w:noWrap/>
          </w:tcPr>
          <w:p w14:paraId="502F07BD" w14:textId="6B63E940" w:rsidR="00FE1379" w:rsidRPr="001D04E9" w:rsidRDefault="00FE1379" w:rsidP="00FE1379">
            <w:pPr>
              <w:spacing w:before="40"/>
              <w:jc w:val="right"/>
              <w:rPr>
                <w:color w:val="000000"/>
                <w:sz w:val="22"/>
                <w:szCs w:val="22"/>
              </w:rPr>
            </w:pPr>
            <w:r w:rsidRPr="001D04E9">
              <w:rPr>
                <w:sz w:val="22"/>
                <w:szCs w:val="22"/>
              </w:rPr>
              <w:t xml:space="preserve"> 3 </w:t>
            </w:r>
          </w:p>
        </w:tc>
      </w:tr>
      <w:tr w:rsidR="00FE1379" w:rsidRPr="002B51C1" w14:paraId="55710535" w14:textId="77777777" w:rsidTr="005101BC">
        <w:trPr>
          <w:trHeight w:val="20"/>
        </w:trPr>
        <w:tc>
          <w:tcPr>
            <w:tcW w:w="1961" w:type="dxa"/>
            <w:shd w:val="clear" w:color="auto" w:fill="auto"/>
            <w:vAlign w:val="bottom"/>
          </w:tcPr>
          <w:p w14:paraId="398BF70E" w14:textId="5A4A27D8" w:rsidR="00FE1379" w:rsidRPr="002B51C1" w:rsidRDefault="00FE1379" w:rsidP="00FE1379">
            <w:pPr>
              <w:spacing w:before="40"/>
              <w:rPr>
                <w:color w:val="000000"/>
                <w:sz w:val="22"/>
                <w:szCs w:val="22"/>
              </w:rPr>
            </w:pPr>
            <w:r>
              <w:rPr>
                <w:color w:val="000000"/>
                <w:sz w:val="22"/>
                <w:szCs w:val="22"/>
              </w:rPr>
              <w:t>Interest rate cap</w:t>
            </w:r>
          </w:p>
        </w:tc>
        <w:tc>
          <w:tcPr>
            <w:tcW w:w="1572" w:type="dxa"/>
            <w:shd w:val="clear" w:color="auto" w:fill="auto"/>
            <w:noWrap/>
            <w:vAlign w:val="bottom"/>
          </w:tcPr>
          <w:p w14:paraId="49919ECA" w14:textId="0FF1928F" w:rsidR="00FE1379" w:rsidRDefault="00FE1379" w:rsidP="00FE1379">
            <w:pPr>
              <w:spacing w:before="40"/>
              <w:jc w:val="center"/>
              <w:rPr>
                <w:color w:val="000000"/>
                <w:sz w:val="22"/>
                <w:szCs w:val="22"/>
              </w:rPr>
            </w:pPr>
            <w:r>
              <w:rPr>
                <w:color w:val="000000"/>
                <w:sz w:val="22"/>
                <w:szCs w:val="22"/>
              </w:rPr>
              <w:t>3M Euribor</w:t>
            </w:r>
          </w:p>
        </w:tc>
        <w:tc>
          <w:tcPr>
            <w:tcW w:w="1134" w:type="dxa"/>
            <w:shd w:val="clear" w:color="auto" w:fill="auto"/>
            <w:noWrap/>
          </w:tcPr>
          <w:p w14:paraId="728588E4" w14:textId="72F82F0A" w:rsidR="00FE1379" w:rsidRPr="001D04E9" w:rsidRDefault="00FE1379" w:rsidP="00FE1379">
            <w:pPr>
              <w:spacing w:before="40"/>
              <w:jc w:val="center"/>
              <w:rPr>
                <w:color w:val="000000"/>
                <w:sz w:val="22"/>
                <w:szCs w:val="22"/>
              </w:rPr>
            </w:pPr>
            <w:r w:rsidRPr="001D04E9">
              <w:rPr>
                <w:sz w:val="22"/>
                <w:szCs w:val="22"/>
              </w:rPr>
              <w:t>2.80%</w:t>
            </w:r>
          </w:p>
        </w:tc>
        <w:tc>
          <w:tcPr>
            <w:tcW w:w="1701" w:type="dxa"/>
            <w:shd w:val="clear" w:color="auto" w:fill="auto"/>
            <w:noWrap/>
          </w:tcPr>
          <w:p w14:paraId="07E1870C" w14:textId="363176F6" w:rsidR="00FE1379" w:rsidRPr="001D04E9" w:rsidRDefault="00FE1379" w:rsidP="00FE1379">
            <w:pPr>
              <w:spacing w:before="40"/>
              <w:jc w:val="center"/>
              <w:rPr>
                <w:color w:val="000000"/>
                <w:sz w:val="22"/>
                <w:szCs w:val="22"/>
              </w:rPr>
            </w:pPr>
            <w:r w:rsidRPr="001D04E9">
              <w:rPr>
                <w:sz w:val="22"/>
                <w:szCs w:val="22"/>
              </w:rPr>
              <w:t>18/10/2028</w:t>
            </w:r>
          </w:p>
        </w:tc>
        <w:tc>
          <w:tcPr>
            <w:tcW w:w="1134" w:type="dxa"/>
            <w:shd w:val="clear" w:color="auto" w:fill="auto"/>
            <w:noWrap/>
          </w:tcPr>
          <w:p w14:paraId="72068058" w14:textId="22AD9D9A" w:rsidR="00FE1379" w:rsidRPr="001D04E9" w:rsidRDefault="00FE1379" w:rsidP="00FE1379">
            <w:pPr>
              <w:spacing w:before="40"/>
              <w:jc w:val="right"/>
              <w:rPr>
                <w:color w:val="000000"/>
                <w:sz w:val="22"/>
                <w:szCs w:val="22"/>
              </w:rPr>
            </w:pPr>
            <w:r w:rsidRPr="001D04E9">
              <w:rPr>
                <w:sz w:val="22"/>
                <w:szCs w:val="22"/>
              </w:rPr>
              <w:t xml:space="preserve"> 50,000 </w:t>
            </w:r>
          </w:p>
        </w:tc>
        <w:tc>
          <w:tcPr>
            <w:tcW w:w="925" w:type="dxa"/>
            <w:shd w:val="clear" w:color="auto" w:fill="auto"/>
            <w:noWrap/>
          </w:tcPr>
          <w:p w14:paraId="7E769784" w14:textId="7983D570" w:rsidR="00FE1379" w:rsidRPr="001D04E9" w:rsidRDefault="00FE1379" w:rsidP="00FE1379">
            <w:pPr>
              <w:spacing w:before="40"/>
              <w:jc w:val="right"/>
              <w:rPr>
                <w:color w:val="000000"/>
                <w:sz w:val="22"/>
                <w:szCs w:val="22"/>
              </w:rPr>
            </w:pPr>
            <w:r w:rsidRPr="001D04E9">
              <w:rPr>
                <w:sz w:val="22"/>
                <w:szCs w:val="22"/>
              </w:rPr>
              <w:t xml:space="preserve"> - </w:t>
            </w:r>
          </w:p>
        </w:tc>
        <w:tc>
          <w:tcPr>
            <w:tcW w:w="1134" w:type="dxa"/>
            <w:shd w:val="clear" w:color="auto" w:fill="auto"/>
            <w:noWrap/>
          </w:tcPr>
          <w:p w14:paraId="269FA45B" w14:textId="51A0283E" w:rsidR="00FE1379" w:rsidRPr="001D04E9" w:rsidRDefault="00FE1379" w:rsidP="00FE1379">
            <w:pPr>
              <w:spacing w:before="40"/>
              <w:jc w:val="right"/>
              <w:rPr>
                <w:color w:val="000000"/>
                <w:sz w:val="22"/>
                <w:szCs w:val="22"/>
              </w:rPr>
            </w:pPr>
            <w:r w:rsidRPr="001D04E9">
              <w:rPr>
                <w:sz w:val="22"/>
                <w:szCs w:val="22"/>
              </w:rPr>
              <w:t xml:space="preserve"> - </w:t>
            </w:r>
          </w:p>
        </w:tc>
      </w:tr>
    </w:tbl>
    <w:p w14:paraId="3B2D4B13" w14:textId="77777777" w:rsidR="00C35D07" w:rsidRPr="00CF372C" w:rsidRDefault="00C35D07" w:rsidP="008A1D13">
      <w:pPr>
        <w:ind w:left="567"/>
        <w:jc w:val="both"/>
        <w:rPr>
          <w:sz w:val="4"/>
          <w:szCs w:val="4"/>
        </w:rPr>
      </w:pPr>
    </w:p>
    <w:tbl>
      <w:tblPr>
        <w:tblW w:w="9561" w:type="dxa"/>
        <w:tblInd w:w="720" w:type="dxa"/>
        <w:tblLayout w:type="fixed"/>
        <w:tblLook w:val="06A0" w:firstRow="1" w:lastRow="0" w:firstColumn="1" w:lastColumn="0" w:noHBand="1" w:noVBand="1"/>
        <w:tblCaption w:val="AHR02"/>
        <w:tblDescription w:val="fair values year of report"/>
      </w:tblPr>
      <w:tblGrid>
        <w:gridCol w:w="2115"/>
        <w:gridCol w:w="1418"/>
        <w:gridCol w:w="1134"/>
        <w:gridCol w:w="1701"/>
        <w:gridCol w:w="1134"/>
        <w:gridCol w:w="992"/>
        <w:gridCol w:w="1067"/>
      </w:tblGrid>
      <w:tr w:rsidR="004048E7" w:rsidRPr="002B51C1" w14:paraId="52A63705" w14:textId="77777777" w:rsidTr="005101BC">
        <w:trPr>
          <w:cantSplit/>
          <w:trHeight w:val="240"/>
          <w:tblHeader/>
        </w:trPr>
        <w:tc>
          <w:tcPr>
            <w:tcW w:w="9561" w:type="dxa"/>
            <w:gridSpan w:val="7"/>
            <w:shd w:val="clear" w:color="auto" w:fill="auto"/>
            <w:noWrap/>
            <w:vAlign w:val="bottom"/>
          </w:tcPr>
          <w:p w14:paraId="53DCA4AC" w14:textId="2828C2FB" w:rsidR="004048E7" w:rsidRPr="002B51C1" w:rsidRDefault="004048E7" w:rsidP="008A0EBA">
            <w:pPr>
              <w:pBdr>
                <w:bottom w:val="single" w:sz="4" w:space="1" w:color="auto"/>
              </w:pBdr>
              <w:bidi/>
              <w:spacing w:before="40"/>
              <w:ind w:left="57"/>
              <w:jc w:val="center"/>
              <w:rPr>
                <w:b/>
                <w:bCs/>
                <w:color w:val="000000"/>
                <w:sz w:val="20"/>
                <w:lang w:bidi="he-IL"/>
              </w:rPr>
            </w:pPr>
            <w:r>
              <w:rPr>
                <w:b/>
                <w:bCs/>
                <w:color w:val="000000"/>
                <w:sz w:val="20"/>
              </w:rPr>
              <w:t xml:space="preserve">As of December 31, </w:t>
            </w:r>
            <w:r>
              <w:rPr>
                <w:b/>
                <w:bCs/>
                <w:color w:val="000000"/>
                <w:sz w:val="20"/>
                <w:lang w:bidi="he-IL"/>
              </w:rPr>
              <w:t>202</w:t>
            </w:r>
            <w:r w:rsidR="00F64D81">
              <w:rPr>
                <w:b/>
                <w:bCs/>
                <w:color w:val="000000"/>
                <w:sz w:val="20"/>
                <w:lang w:bidi="he-IL"/>
              </w:rPr>
              <w:t>4</w:t>
            </w:r>
          </w:p>
        </w:tc>
      </w:tr>
      <w:tr w:rsidR="004048E7" w:rsidRPr="002B51C1" w14:paraId="60F406DD" w14:textId="77777777" w:rsidTr="005101BC">
        <w:trPr>
          <w:cantSplit/>
          <w:trHeight w:val="820"/>
          <w:tblHeader/>
        </w:trPr>
        <w:tc>
          <w:tcPr>
            <w:tcW w:w="2115" w:type="dxa"/>
            <w:shd w:val="clear" w:color="auto" w:fill="auto"/>
            <w:noWrap/>
            <w:vAlign w:val="bottom"/>
            <w:hideMark/>
          </w:tcPr>
          <w:p w14:paraId="4D99A12B" w14:textId="77777777" w:rsidR="004048E7" w:rsidRPr="002B51C1" w:rsidRDefault="004048E7" w:rsidP="004048E7">
            <w:pPr>
              <w:spacing w:before="40"/>
              <w:rPr>
                <w:rFonts w:ascii="Arial" w:eastAsia="Arial" w:hAnsi="Arial" w:cs="Arial"/>
                <w:sz w:val="20"/>
              </w:rPr>
            </w:pPr>
          </w:p>
        </w:tc>
        <w:tc>
          <w:tcPr>
            <w:tcW w:w="1418" w:type="dxa"/>
            <w:shd w:val="clear" w:color="auto" w:fill="auto"/>
            <w:noWrap/>
            <w:vAlign w:val="bottom"/>
            <w:hideMark/>
          </w:tcPr>
          <w:p w14:paraId="19C8CD1C" w14:textId="77777777" w:rsidR="004048E7" w:rsidRPr="002B51C1" w:rsidRDefault="004048E7" w:rsidP="004048E7">
            <w:pPr>
              <w:spacing w:before="40"/>
              <w:jc w:val="center"/>
              <w:rPr>
                <w:b/>
                <w:bCs/>
                <w:sz w:val="20"/>
              </w:rPr>
            </w:pPr>
            <w:r w:rsidRPr="002B51C1">
              <w:rPr>
                <w:b/>
                <w:bCs/>
                <w:color w:val="000000"/>
                <w:sz w:val="20"/>
              </w:rPr>
              <w:t>Interest</w:t>
            </w:r>
          </w:p>
          <w:p w14:paraId="47716085" w14:textId="77777777" w:rsidR="004048E7" w:rsidRPr="002B51C1" w:rsidRDefault="004048E7" w:rsidP="004048E7">
            <w:pPr>
              <w:pBdr>
                <w:bottom w:val="single" w:sz="4" w:space="0" w:color="000000"/>
              </w:pBdr>
              <w:spacing w:before="40"/>
              <w:jc w:val="center"/>
              <w:rPr>
                <w:b/>
                <w:bCs/>
                <w:sz w:val="20"/>
              </w:rPr>
            </w:pPr>
            <w:r w:rsidRPr="002B51C1">
              <w:rPr>
                <w:b/>
                <w:bCs/>
                <w:color w:val="000000"/>
                <w:sz w:val="20"/>
              </w:rPr>
              <w:t>Receivable</w:t>
            </w:r>
          </w:p>
        </w:tc>
        <w:tc>
          <w:tcPr>
            <w:tcW w:w="1134" w:type="dxa"/>
            <w:shd w:val="clear" w:color="auto" w:fill="auto"/>
            <w:noWrap/>
            <w:vAlign w:val="bottom"/>
            <w:hideMark/>
          </w:tcPr>
          <w:p w14:paraId="6390B4BE" w14:textId="77777777" w:rsidR="004048E7" w:rsidRPr="002B51C1" w:rsidRDefault="004048E7" w:rsidP="004048E7">
            <w:pPr>
              <w:spacing w:before="40"/>
              <w:jc w:val="center"/>
              <w:rPr>
                <w:b/>
                <w:bCs/>
                <w:sz w:val="20"/>
              </w:rPr>
            </w:pPr>
            <w:r w:rsidRPr="002B51C1">
              <w:rPr>
                <w:b/>
                <w:bCs/>
                <w:color w:val="000000"/>
                <w:sz w:val="20"/>
              </w:rPr>
              <w:t>Interest</w:t>
            </w:r>
          </w:p>
          <w:p w14:paraId="4172C27A" w14:textId="77777777" w:rsidR="004048E7" w:rsidRPr="002B51C1" w:rsidRDefault="004048E7" w:rsidP="004048E7">
            <w:pPr>
              <w:pBdr>
                <w:bottom w:val="single" w:sz="4" w:space="0" w:color="000000"/>
              </w:pBdr>
              <w:spacing w:before="40"/>
              <w:jc w:val="center"/>
              <w:rPr>
                <w:b/>
                <w:bCs/>
                <w:sz w:val="20"/>
              </w:rPr>
            </w:pPr>
            <w:r w:rsidRPr="002B51C1">
              <w:rPr>
                <w:b/>
                <w:bCs/>
                <w:color w:val="000000"/>
                <w:sz w:val="20"/>
              </w:rPr>
              <w:t>payable</w:t>
            </w:r>
          </w:p>
        </w:tc>
        <w:tc>
          <w:tcPr>
            <w:tcW w:w="1701" w:type="dxa"/>
            <w:shd w:val="clear" w:color="auto" w:fill="auto"/>
            <w:noWrap/>
            <w:vAlign w:val="bottom"/>
            <w:hideMark/>
          </w:tcPr>
          <w:p w14:paraId="6A9B99E9" w14:textId="77777777" w:rsidR="004048E7" w:rsidRPr="002B51C1" w:rsidRDefault="004048E7" w:rsidP="004048E7">
            <w:pPr>
              <w:spacing w:before="40"/>
              <w:jc w:val="center"/>
              <w:rPr>
                <w:b/>
                <w:bCs/>
                <w:sz w:val="20"/>
              </w:rPr>
            </w:pPr>
            <w:r w:rsidRPr="002B51C1">
              <w:rPr>
                <w:b/>
                <w:bCs/>
                <w:color w:val="000000"/>
                <w:sz w:val="20"/>
              </w:rPr>
              <w:t>Expiration</w:t>
            </w:r>
          </w:p>
          <w:p w14:paraId="6E6C6672" w14:textId="77777777" w:rsidR="004048E7" w:rsidRPr="002B51C1" w:rsidRDefault="004048E7" w:rsidP="004048E7">
            <w:pPr>
              <w:spacing w:before="40"/>
              <w:jc w:val="center"/>
              <w:rPr>
                <w:b/>
                <w:bCs/>
                <w:sz w:val="20"/>
              </w:rPr>
            </w:pPr>
            <w:r w:rsidRPr="002B51C1">
              <w:rPr>
                <w:b/>
                <w:bCs/>
                <w:color w:val="000000"/>
                <w:sz w:val="20"/>
              </w:rPr>
              <w:t>exercise</w:t>
            </w:r>
          </w:p>
          <w:p w14:paraId="4FA30558" w14:textId="77777777" w:rsidR="004048E7" w:rsidRPr="002B51C1" w:rsidRDefault="004048E7" w:rsidP="004048E7">
            <w:pPr>
              <w:pBdr>
                <w:bottom w:val="single" w:sz="4" w:space="0" w:color="000000"/>
              </w:pBdr>
              <w:spacing w:before="40"/>
              <w:jc w:val="center"/>
              <w:rPr>
                <w:b/>
                <w:bCs/>
                <w:sz w:val="20"/>
              </w:rPr>
            </w:pPr>
            <w:r w:rsidRPr="002B51C1">
              <w:rPr>
                <w:b/>
                <w:bCs/>
                <w:color w:val="000000"/>
                <w:sz w:val="20"/>
              </w:rPr>
              <w:t>date</w:t>
            </w:r>
          </w:p>
        </w:tc>
        <w:tc>
          <w:tcPr>
            <w:tcW w:w="1134" w:type="dxa"/>
            <w:shd w:val="clear" w:color="auto" w:fill="auto"/>
            <w:noWrap/>
            <w:vAlign w:val="bottom"/>
            <w:hideMark/>
          </w:tcPr>
          <w:p w14:paraId="3C10EA65" w14:textId="0C1D90BA" w:rsidR="004048E7" w:rsidRPr="002B51C1" w:rsidRDefault="004048E7" w:rsidP="004048E7">
            <w:pPr>
              <w:pBdr>
                <w:bottom w:val="single" w:sz="4" w:space="0" w:color="000000"/>
              </w:pBdr>
              <w:spacing w:before="40"/>
              <w:jc w:val="center"/>
              <w:rPr>
                <w:b/>
                <w:bCs/>
                <w:sz w:val="20"/>
              </w:rPr>
            </w:pPr>
            <w:r>
              <w:rPr>
                <w:b/>
                <w:bCs/>
                <w:color w:val="000000"/>
                <w:sz w:val="20"/>
              </w:rPr>
              <w:t>Exchange rate swap deal</w:t>
            </w:r>
          </w:p>
        </w:tc>
        <w:tc>
          <w:tcPr>
            <w:tcW w:w="992" w:type="dxa"/>
            <w:shd w:val="clear" w:color="auto" w:fill="auto"/>
            <w:noWrap/>
            <w:vAlign w:val="bottom"/>
            <w:hideMark/>
          </w:tcPr>
          <w:p w14:paraId="554235A8" w14:textId="31F34670" w:rsidR="004048E7" w:rsidRPr="00986ACA" w:rsidRDefault="004048E7" w:rsidP="004048E7">
            <w:pPr>
              <w:pBdr>
                <w:bottom w:val="single" w:sz="4" w:space="0" w:color="000000"/>
              </w:pBdr>
              <w:spacing w:before="40"/>
              <w:jc w:val="center"/>
              <w:rPr>
                <w:b/>
                <w:bCs/>
                <w:sz w:val="20"/>
              </w:rPr>
            </w:pPr>
            <w:r w:rsidRPr="00986ACA">
              <w:rPr>
                <w:b/>
                <w:bCs/>
                <w:color w:val="000000"/>
                <w:sz w:val="20"/>
              </w:rPr>
              <w:t>Amount (ILS)</w:t>
            </w:r>
          </w:p>
        </w:tc>
        <w:tc>
          <w:tcPr>
            <w:tcW w:w="1067" w:type="dxa"/>
            <w:shd w:val="clear" w:color="auto" w:fill="auto"/>
            <w:noWrap/>
            <w:vAlign w:val="bottom"/>
            <w:hideMark/>
          </w:tcPr>
          <w:p w14:paraId="2C9F700B" w14:textId="77777777" w:rsidR="004048E7" w:rsidRPr="00986ACA" w:rsidRDefault="004048E7" w:rsidP="004048E7">
            <w:pPr>
              <w:spacing w:before="40"/>
              <w:jc w:val="center"/>
              <w:rPr>
                <w:b/>
                <w:bCs/>
                <w:sz w:val="20"/>
              </w:rPr>
            </w:pPr>
            <w:r w:rsidRPr="00986ACA">
              <w:rPr>
                <w:b/>
                <w:bCs/>
                <w:color w:val="000000"/>
                <w:sz w:val="20"/>
              </w:rPr>
              <w:t>Fair</w:t>
            </w:r>
          </w:p>
          <w:p w14:paraId="62B55112" w14:textId="7B9A1F29" w:rsidR="004048E7" w:rsidRPr="00986ACA" w:rsidRDefault="004048E7" w:rsidP="004048E7">
            <w:pPr>
              <w:pBdr>
                <w:bottom w:val="single" w:sz="4" w:space="0" w:color="000000"/>
              </w:pBdr>
              <w:spacing w:before="40"/>
              <w:jc w:val="center"/>
              <w:rPr>
                <w:b/>
                <w:bCs/>
                <w:sz w:val="20"/>
              </w:rPr>
            </w:pPr>
            <w:r w:rsidRPr="00986ACA">
              <w:rPr>
                <w:b/>
                <w:bCs/>
                <w:color w:val="000000"/>
                <w:sz w:val="20"/>
              </w:rPr>
              <w:t>value</w:t>
            </w:r>
          </w:p>
        </w:tc>
      </w:tr>
      <w:tr w:rsidR="004048E7" w:rsidRPr="00C31906" w14:paraId="54EF0609" w14:textId="77777777" w:rsidTr="005101BC">
        <w:trPr>
          <w:trHeight w:val="280"/>
        </w:trPr>
        <w:tc>
          <w:tcPr>
            <w:tcW w:w="2115" w:type="dxa"/>
            <w:shd w:val="clear" w:color="auto" w:fill="auto"/>
            <w:vAlign w:val="bottom"/>
            <w:hideMark/>
          </w:tcPr>
          <w:p w14:paraId="0CB838A3" w14:textId="3ED61BE9" w:rsidR="004048E7" w:rsidRPr="002B51C1" w:rsidRDefault="004048E7" w:rsidP="008A0EBA">
            <w:pPr>
              <w:spacing w:before="40"/>
              <w:rPr>
                <w:sz w:val="22"/>
                <w:szCs w:val="22"/>
              </w:rPr>
            </w:pPr>
            <w:r>
              <w:rPr>
                <w:color w:val="000000"/>
                <w:sz w:val="22"/>
                <w:szCs w:val="22"/>
              </w:rPr>
              <w:t>Cross currency swap</w:t>
            </w:r>
          </w:p>
        </w:tc>
        <w:tc>
          <w:tcPr>
            <w:tcW w:w="1418" w:type="dxa"/>
            <w:shd w:val="clear" w:color="auto" w:fill="auto"/>
            <w:noWrap/>
            <w:vAlign w:val="bottom"/>
          </w:tcPr>
          <w:p w14:paraId="12616B5B" w14:textId="610A69D2" w:rsidR="004048E7" w:rsidRPr="00C31906" w:rsidRDefault="004048E7" w:rsidP="004048E7">
            <w:pPr>
              <w:spacing w:before="40"/>
              <w:jc w:val="center"/>
              <w:rPr>
                <w:b/>
                <w:bCs/>
                <w:sz w:val="22"/>
                <w:szCs w:val="22"/>
              </w:rPr>
            </w:pPr>
            <w:r>
              <w:rPr>
                <w:color w:val="000000"/>
                <w:sz w:val="22"/>
                <w:szCs w:val="22"/>
              </w:rPr>
              <w:t>4.82%</w:t>
            </w:r>
          </w:p>
        </w:tc>
        <w:tc>
          <w:tcPr>
            <w:tcW w:w="1134" w:type="dxa"/>
            <w:shd w:val="clear" w:color="auto" w:fill="auto"/>
            <w:noWrap/>
            <w:vAlign w:val="bottom"/>
          </w:tcPr>
          <w:p w14:paraId="3E6046FE" w14:textId="7EC181E2" w:rsidR="004048E7" w:rsidRPr="00C31906" w:rsidRDefault="004048E7" w:rsidP="007C2983">
            <w:pPr>
              <w:spacing w:before="40"/>
              <w:jc w:val="center"/>
              <w:rPr>
                <w:b/>
                <w:bCs/>
                <w:sz w:val="22"/>
                <w:szCs w:val="22"/>
              </w:rPr>
            </w:pPr>
            <w:r>
              <w:rPr>
                <w:sz w:val="22"/>
                <w:szCs w:val="22"/>
              </w:rPr>
              <w:t>5.11%</w:t>
            </w:r>
          </w:p>
        </w:tc>
        <w:tc>
          <w:tcPr>
            <w:tcW w:w="1701" w:type="dxa"/>
            <w:shd w:val="clear" w:color="auto" w:fill="auto"/>
            <w:noWrap/>
            <w:vAlign w:val="bottom"/>
          </w:tcPr>
          <w:p w14:paraId="0E905C50" w14:textId="523F3ED4" w:rsidR="004048E7" w:rsidRPr="00C31906" w:rsidRDefault="004048E7" w:rsidP="008A0EBA">
            <w:pPr>
              <w:spacing w:before="40"/>
              <w:jc w:val="right"/>
              <w:rPr>
                <w:b/>
                <w:bCs/>
                <w:sz w:val="22"/>
                <w:szCs w:val="22"/>
              </w:rPr>
            </w:pPr>
            <w:r>
              <w:rPr>
                <w:color w:val="000000"/>
                <w:sz w:val="22"/>
                <w:szCs w:val="22"/>
              </w:rPr>
              <w:t>05/07/2027</w:t>
            </w:r>
          </w:p>
        </w:tc>
        <w:tc>
          <w:tcPr>
            <w:tcW w:w="1134" w:type="dxa"/>
            <w:shd w:val="clear" w:color="auto" w:fill="auto"/>
            <w:noWrap/>
            <w:vAlign w:val="bottom"/>
          </w:tcPr>
          <w:p w14:paraId="53321AF7" w14:textId="2F87CE6F" w:rsidR="004048E7" w:rsidRPr="00C31906" w:rsidRDefault="004048E7" w:rsidP="008A0EBA">
            <w:pPr>
              <w:spacing w:before="40"/>
              <w:jc w:val="right"/>
              <w:rPr>
                <w:b/>
                <w:bCs/>
                <w:sz w:val="22"/>
                <w:szCs w:val="22"/>
                <w:highlight w:val="yellow"/>
              </w:rPr>
            </w:pPr>
            <w:r>
              <w:rPr>
                <w:color w:val="000000"/>
                <w:sz w:val="22"/>
                <w:szCs w:val="22"/>
              </w:rPr>
              <w:t>3.84 ILS to 1 EUR</w:t>
            </w:r>
          </w:p>
        </w:tc>
        <w:tc>
          <w:tcPr>
            <w:tcW w:w="992" w:type="dxa"/>
            <w:shd w:val="clear" w:color="auto" w:fill="auto"/>
            <w:noWrap/>
            <w:vAlign w:val="bottom"/>
          </w:tcPr>
          <w:p w14:paraId="44414E85" w14:textId="2DA2751C" w:rsidR="004048E7" w:rsidRPr="00986ACA" w:rsidRDefault="008439D5" w:rsidP="008A0EBA">
            <w:pPr>
              <w:spacing w:before="40"/>
              <w:jc w:val="right"/>
              <w:rPr>
                <w:sz w:val="22"/>
                <w:szCs w:val="22"/>
              </w:rPr>
            </w:pPr>
            <w:r w:rsidRPr="00986ACA">
              <w:rPr>
                <w:sz w:val="22"/>
                <w:szCs w:val="22"/>
              </w:rPr>
              <w:t>333,000</w:t>
            </w:r>
          </w:p>
        </w:tc>
        <w:tc>
          <w:tcPr>
            <w:tcW w:w="1067" w:type="dxa"/>
            <w:shd w:val="clear" w:color="auto" w:fill="auto"/>
            <w:noWrap/>
            <w:vAlign w:val="bottom"/>
          </w:tcPr>
          <w:p w14:paraId="186E2786" w14:textId="6A5EB692" w:rsidR="004048E7" w:rsidRPr="00986ACA" w:rsidRDefault="008439D5" w:rsidP="008A0EBA">
            <w:pPr>
              <w:spacing w:before="40"/>
              <w:jc w:val="right"/>
              <w:rPr>
                <w:sz w:val="22"/>
                <w:szCs w:val="22"/>
              </w:rPr>
            </w:pPr>
            <w:r w:rsidRPr="00986ACA">
              <w:rPr>
                <w:sz w:val="22"/>
                <w:szCs w:val="22"/>
              </w:rPr>
              <w:t>(1,106)</w:t>
            </w:r>
          </w:p>
        </w:tc>
      </w:tr>
    </w:tbl>
    <w:p w14:paraId="38DD5C46" w14:textId="77777777" w:rsidR="005746A5" w:rsidRDefault="005746A5" w:rsidP="00DB42E2">
      <w:pPr>
        <w:ind w:left="567"/>
        <w:jc w:val="both"/>
        <w:rPr>
          <w:sz w:val="18"/>
          <w:szCs w:val="14"/>
        </w:rPr>
      </w:pPr>
    </w:p>
    <w:p w14:paraId="045681DB" w14:textId="05C0500E" w:rsidR="00A95416" w:rsidRDefault="00A95416">
      <w:r>
        <w:br w:type="page"/>
      </w:r>
    </w:p>
    <w:p w14:paraId="0A1023AB" w14:textId="77777777" w:rsidR="00A95416" w:rsidRDefault="00A95416" w:rsidP="00A95416">
      <w:pPr>
        <w:ind w:left="720"/>
        <w:jc w:val="both"/>
        <w:rPr>
          <w:b/>
          <w:bCs/>
          <w:sz w:val="22"/>
          <w:szCs w:val="22"/>
        </w:rPr>
      </w:pPr>
    </w:p>
    <w:p w14:paraId="28351B28" w14:textId="77777777" w:rsidR="00A95416" w:rsidRPr="00513BE8" w:rsidRDefault="00A95416" w:rsidP="00A95416">
      <w:pPr>
        <w:rPr>
          <w:b/>
          <w:bCs/>
          <w:sz w:val="22"/>
          <w:szCs w:val="22"/>
        </w:rPr>
      </w:pPr>
      <w:r w:rsidRPr="00513BE8">
        <w:rPr>
          <w:b/>
          <w:bCs/>
          <w:sz w:val="22"/>
          <w:szCs w:val="22"/>
        </w:rPr>
        <w:t>Note 21 - Financial Instruments (cont’d)</w:t>
      </w:r>
    </w:p>
    <w:p w14:paraId="185FA4AD" w14:textId="77777777" w:rsidR="00A95416" w:rsidRPr="00F02921" w:rsidRDefault="00A95416" w:rsidP="00A95416">
      <w:pPr>
        <w:ind w:left="720"/>
        <w:jc w:val="both"/>
        <w:rPr>
          <w:b/>
          <w:bCs/>
          <w:sz w:val="22"/>
          <w:szCs w:val="22"/>
        </w:rPr>
      </w:pPr>
    </w:p>
    <w:p w14:paraId="33C9949B" w14:textId="77777777" w:rsidR="00A95416" w:rsidRPr="00F02921" w:rsidRDefault="00A95416" w:rsidP="006C5CAB">
      <w:pPr>
        <w:ind w:left="567" w:hanging="567"/>
        <w:jc w:val="both"/>
        <w:rPr>
          <w:b/>
          <w:bCs/>
          <w:sz w:val="22"/>
          <w:szCs w:val="22"/>
        </w:rPr>
      </w:pPr>
      <w:r>
        <w:rPr>
          <w:b/>
          <w:bCs/>
          <w:sz w:val="22"/>
          <w:szCs w:val="22"/>
        </w:rPr>
        <w:t>E</w:t>
      </w:r>
      <w:r w:rsidRPr="00C435F7">
        <w:rPr>
          <w:b/>
          <w:bCs/>
          <w:sz w:val="22"/>
          <w:szCs w:val="22"/>
        </w:rPr>
        <w:t>.</w:t>
      </w:r>
      <w:r w:rsidRPr="00C435F7">
        <w:rPr>
          <w:b/>
          <w:bCs/>
          <w:sz w:val="22"/>
          <w:szCs w:val="22"/>
        </w:rPr>
        <w:tab/>
      </w:r>
      <w:r w:rsidRPr="00F02921">
        <w:rPr>
          <w:b/>
          <w:bCs/>
          <w:sz w:val="22"/>
          <w:szCs w:val="22"/>
        </w:rPr>
        <w:t>Fair values</w:t>
      </w:r>
      <w:r>
        <w:rPr>
          <w:b/>
          <w:bCs/>
          <w:sz w:val="22"/>
          <w:szCs w:val="22"/>
        </w:rPr>
        <w:t xml:space="preserve"> (Cont.)</w:t>
      </w:r>
    </w:p>
    <w:p w14:paraId="5756D8F9" w14:textId="77777777" w:rsidR="00A95416" w:rsidRDefault="00A95416" w:rsidP="00A95416">
      <w:pPr>
        <w:rPr>
          <w:sz w:val="22"/>
          <w:szCs w:val="22"/>
        </w:rPr>
      </w:pPr>
    </w:p>
    <w:p w14:paraId="2B95397F" w14:textId="77777777" w:rsidR="008439D5" w:rsidRDefault="008439D5" w:rsidP="008439D5">
      <w:pPr>
        <w:ind w:left="720"/>
        <w:jc w:val="both"/>
        <w:rPr>
          <w:rStyle w:val="Koteret"/>
          <w:b w:val="0"/>
          <w:bCs/>
          <w:i/>
          <w:iCs/>
        </w:rPr>
      </w:pPr>
      <w:r w:rsidRPr="00D16828">
        <w:rPr>
          <w:rStyle w:val="Koteret"/>
          <w:b w:val="0"/>
          <w:bCs/>
          <w:i/>
          <w:iCs/>
        </w:rPr>
        <w:t>In thousands of Euros</w:t>
      </w:r>
    </w:p>
    <w:tbl>
      <w:tblPr>
        <w:tblW w:w="9561" w:type="dxa"/>
        <w:tblInd w:w="720" w:type="dxa"/>
        <w:tblLayout w:type="fixed"/>
        <w:tblLook w:val="06A0" w:firstRow="1" w:lastRow="0" w:firstColumn="1" w:lastColumn="0" w:noHBand="1" w:noVBand="1"/>
        <w:tblCaption w:val="AHR02"/>
        <w:tblDescription w:val="Financial instruments measured at fair value - Derivative financial instruments"/>
      </w:tblPr>
      <w:tblGrid>
        <w:gridCol w:w="1961"/>
        <w:gridCol w:w="1572"/>
        <w:gridCol w:w="1134"/>
        <w:gridCol w:w="1701"/>
        <w:gridCol w:w="1134"/>
        <w:gridCol w:w="925"/>
        <w:gridCol w:w="1134"/>
      </w:tblGrid>
      <w:tr w:rsidR="00A95416" w:rsidRPr="002B51C1" w14:paraId="7AB139EC" w14:textId="77777777" w:rsidTr="005101BC">
        <w:trPr>
          <w:cantSplit/>
          <w:trHeight w:val="240"/>
          <w:tblHeader/>
        </w:trPr>
        <w:tc>
          <w:tcPr>
            <w:tcW w:w="9561" w:type="dxa"/>
            <w:gridSpan w:val="7"/>
            <w:shd w:val="clear" w:color="auto" w:fill="auto"/>
            <w:noWrap/>
            <w:vAlign w:val="bottom"/>
          </w:tcPr>
          <w:p w14:paraId="333E5E37" w14:textId="77777777" w:rsidR="00A95416" w:rsidRPr="002B51C1" w:rsidRDefault="00A95416" w:rsidP="00327BFD">
            <w:pPr>
              <w:pBdr>
                <w:bottom w:val="single" w:sz="4" w:space="1" w:color="auto"/>
              </w:pBdr>
              <w:bidi/>
              <w:spacing w:before="40"/>
              <w:ind w:left="57"/>
              <w:jc w:val="center"/>
              <w:rPr>
                <w:b/>
                <w:bCs/>
                <w:color w:val="000000"/>
                <w:sz w:val="20"/>
                <w:rtl/>
                <w:lang w:bidi="he-IL"/>
              </w:rPr>
            </w:pPr>
            <w:r>
              <w:rPr>
                <w:b/>
                <w:bCs/>
                <w:color w:val="000000"/>
                <w:sz w:val="20"/>
              </w:rPr>
              <w:t xml:space="preserve">As of December 31, </w:t>
            </w:r>
            <w:r>
              <w:rPr>
                <w:b/>
                <w:bCs/>
                <w:color w:val="000000"/>
                <w:sz w:val="20"/>
                <w:lang w:bidi="he-IL"/>
              </w:rPr>
              <w:t>2023</w:t>
            </w:r>
          </w:p>
        </w:tc>
      </w:tr>
      <w:tr w:rsidR="00A95416" w:rsidRPr="002B51C1" w14:paraId="67B1FD06" w14:textId="77777777" w:rsidTr="005101BC">
        <w:trPr>
          <w:cantSplit/>
          <w:trHeight w:val="820"/>
          <w:tblHeader/>
        </w:trPr>
        <w:tc>
          <w:tcPr>
            <w:tcW w:w="1961" w:type="dxa"/>
            <w:shd w:val="clear" w:color="auto" w:fill="auto"/>
            <w:noWrap/>
            <w:vAlign w:val="bottom"/>
            <w:hideMark/>
          </w:tcPr>
          <w:p w14:paraId="7C07F9AF" w14:textId="77777777" w:rsidR="00A95416" w:rsidRPr="002B51C1" w:rsidRDefault="00A95416" w:rsidP="00327BFD">
            <w:pPr>
              <w:spacing w:before="40"/>
              <w:rPr>
                <w:rFonts w:ascii="Arial" w:eastAsia="Arial" w:hAnsi="Arial" w:cs="Arial"/>
                <w:sz w:val="20"/>
              </w:rPr>
            </w:pPr>
          </w:p>
        </w:tc>
        <w:tc>
          <w:tcPr>
            <w:tcW w:w="1572" w:type="dxa"/>
            <w:shd w:val="clear" w:color="auto" w:fill="auto"/>
            <w:noWrap/>
            <w:vAlign w:val="bottom"/>
            <w:hideMark/>
          </w:tcPr>
          <w:p w14:paraId="59029E97" w14:textId="77777777" w:rsidR="00A95416" w:rsidRPr="002B51C1" w:rsidRDefault="00A95416" w:rsidP="00327BFD">
            <w:pPr>
              <w:spacing w:before="40"/>
              <w:jc w:val="center"/>
              <w:rPr>
                <w:b/>
                <w:bCs/>
                <w:sz w:val="20"/>
              </w:rPr>
            </w:pPr>
            <w:r w:rsidRPr="002B51C1">
              <w:rPr>
                <w:b/>
                <w:bCs/>
                <w:color w:val="000000"/>
                <w:sz w:val="20"/>
              </w:rPr>
              <w:t>Interest</w:t>
            </w:r>
          </w:p>
          <w:p w14:paraId="548AF5F9" w14:textId="77777777" w:rsidR="00A95416" w:rsidRPr="002B51C1" w:rsidRDefault="00A95416" w:rsidP="00327BFD">
            <w:pPr>
              <w:pBdr>
                <w:bottom w:val="single" w:sz="4" w:space="0" w:color="000000"/>
              </w:pBdr>
              <w:spacing w:before="40"/>
              <w:jc w:val="center"/>
              <w:rPr>
                <w:b/>
                <w:bCs/>
                <w:sz w:val="20"/>
              </w:rPr>
            </w:pPr>
            <w:r w:rsidRPr="002B51C1">
              <w:rPr>
                <w:b/>
                <w:bCs/>
                <w:color w:val="000000"/>
                <w:sz w:val="20"/>
              </w:rPr>
              <w:t>Receivable</w:t>
            </w:r>
          </w:p>
        </w:tc>
        <w:tc>
          <w:tcPr>
            <w:tcW w:w="1134" w:type="dxa"/>
            <w:shd w:val="clear" w:color="auto" w:fill="auto"/>
            <w:noWrap/>
            <w:vAlign w:val="bottom"/>
            <w:hideMark/>
          </w:tcPr>
          <w:p w14:paraId="720B399B" w14:textId="77777777" w:rsidR="00A95416" w:rsidRPr="002B51C1" w:rsidRDefault="00A95416" w:rsidP="00327BFD">
            <w:pPr>
              <w:spacing w:before="40"/>
              <w:jc w:val="center"/>
              <w:rPr>
                <w:b/>
                <w:bCs/>
                <w:sz w:val="20"/>
              </w:rPr>
            </w:pPr>
            <w:r w:rsidRPr="002B51C1">
              <w:rPr>
                <w:b/>
                <w:bCs/>
                <w:color w:val="000000"/>
                <w:sz w:val="20"/>
              </w:rPr>
              <w:t>Interest</w:t>
            </w:r>
          </w:p>
          <w:p w14:paraId="33ADDB95" w14:textId="77777777" w:rsidR="00A95416" w:rsidRPr="002B51C1" w:rsidRDefault="00A95416" w:rsidP="00327BFD">
            <w:pPr>
              <w:pBdr>
                <w:bottom w:val="single" w:sz="4" w:space="0" w:color="000000"/>
              </w:pBdr>
              <w:spacing w:before="40"/>
              <w:jc w:val="center"/>
              <w:rPr>
                <w:b/>
                <w:bCs/>
                <w:sz w:val="20"/>
              </w:rPr>
            </w:pPr>
            <w:r w:rsidRPr="002B51C1">
              <w:rPr>
                <w:b/>
                <w:bCs/>
                <w:color w:val="000000"/>
                <w:sz w:val="20"/>
              </w:rPr>
              <w:t>payable</w:t>
            </w:r>
          </w:p>
        </w:tc>
        <w:tc>
          <w:tcPr>
            <w:tcW w:w="1701" w:type="dxa"/>
            <w:shd w:val="clear" w:color="auto" w:fill="auto"/>
            <w:noWrap/>
            <w:vAlign w:val="bottom"/>
            <w:hideMark/>
          </w:tcPr>
          <w:p w14:paraId="2FCDA8BD" w14:textId="77777777" w:rsidR="00A95416" w:rsidRPr="002B51C1" w:rsidRDefault="00A95416" w:rsidP="00327BFD">
            <w:pPr>
              <w:spacing w:before="40"/>
              <w:jc w:val="center"/>
              <w:rPr>
                <w:b/>
                <w:bCs/>
                <w:sz w:val="20"/>
              </w:rPr>
            </w:pPr>
            <w:r w:rsidRPr="002B51C1">
              <w:rPr>
                <w:b/>
                <w:bCs/>
                <w:color w:val="000000"/>
                <w:sz w:val="20"/>
              </w:rPr>
              <w:t>Expiration</w:t>
            </w:r>
          </w:p>
          <w:p w14:paraId="7FCF2AAE" w14:textId="77777777" w:rsidR="00A95416" w:rsidRPr="002B51C1" w:rsidRDefault="00A95416" w:rsidP="00327BFD">
            <w:pPr>
              <w:spacing w:before="40"/>
              <w:jc w:val="center"/>
              <w:rPr>
                <w:b/>
                <w:bCs/>
                <w:sz w:val="20"/>
              </w:rPr>
            </w:pPr>
            <w:r w:rsidRPr="002B51C1">
              <w:rPr>
                <w:b/>
                <w:bCs/>
                <w:color w:val="000000"/>
                <w:sz w:val="20"/>
              </w:rPr>
              <w:t>exercise</w:t>
            </w:r>
          </w:p>
          <w:p w14:paraId="49A5551D" w14:textId="77777777" w:rsidR="00A95416" w:rsidRPr="002B51C1" w:rsidRDefault="00A95416" w:rsidP="00327BFD">
            <w:pPr>
              <w:pBdr>
                <w:bottom w:val="single" w:sz="4" w:space="0" w:color="000000"/>
              </w:pBdr>
              <w:spacing w:before="40"/>
              <w:jc w:val="center"/>
              <w:rPr>
                <w:b/>
                <w:bCs/>
                <w:sz w:val="20"/>
              </w:rPr>
            </w:pPr>
            <w:r w:rsidRPr="002B51C1">
              <w:rPr>
                <w:b/>
                <w:bCs/>
                <w:color w:val="000000"/>
                <w:sz w:val="20"/>
              </w:rPr>
              <w:t>date</w:t>
            </w:r>
          </w:p>
        </w:tc>
        <w:tc>
          <w:tcPr>
            <w:tcW w:w="1134" w:type="dxa"/>
            <w:shd w:val="clear" w:color="auto" w:fill="auto"/>
            <w:noWrap/>
            <w:vAlign w:val="bottom"/>
            <w:hideMark/>
          </w:tcPr>
          <w:p w14:paraId="66BF15C5" w14:textId="77777777" w:rsidR="00A95416" w:rsidRPr="002B51C1" w:rsidRDefault="00A95416" w:rsidP="00327BFD">
            <w:pPr>
              <w:pBdr>
                <w:bottom w:val="single" w:sz="4" w:space="0" w:color="000000"/>
              </w:pBdr>
              <w:spacing w:before="40"/>
              <w:jc w:val="center"/>
              <w:rPr>
                <w:b/>
                <w:bCs/>
                <w:sz w:val="20"/>
              </w:rPr>
            </w:pPr>
            <w:r w:rsidRPr="002B51C1">
              <w:rPr>
                <w:b/>
                <w:bCs/>
                <w:color w:val="000000"/>
                <w:sz w:val="20"/>
              </w:rPr>
              <w:t>Amount</w:t>
            </w:r>
          </w:p>
        </w:tc>
        <w:tc>
          <w:tcPr>
            <w:tcW w:w="925" w:type="dxa"/>
            <w:shd w:val="clear" w:color="auto" w:fill="auto"/>
            <w:noWrap/>
            <w:vAlign w:val="bottom"/>
            <w:hideMark/>
          </w:tcPr>
          <w:p w14:paraId="4BB31768" w14:textId="77777777" w:rsidR="00A95416" w:rsidRPr="002B51C1" w:rsidRDefault="00A95416" w:rsidP="00327BFD">
            <w:pPr>
              <w:spacing w:before="40"/>
              <w:jc w:val="center"/>
              <w:rPr>
                <w:b/>
                <w:bCs/>
                <w:sz w:val="20"/>
              </w:rPr>
            </w:pPr>
            <w:r w:rsidRPr="002B51C1">
              <w:rPr>
                <w:b/>
                <w:bCs/>
                <w:color w:val="000000"/>
                <w:sz w:val="20"/>
              </w:rPr>
              <w:t>Fair</w:t>
            </w:r>
          </w:p>
          <w:p w14:paraId="3095DFC0" w14:textId="77777777" w:rsidR="00A95416" w:rsidRPr="002B51C1" w:rsidRDefault="00A95416" w:rsidP="00327BFD">
            <w:pPr>
              <w:pBdr>
                <w:bottom w:val="single" w:sz="4" w:space="0" w:color="000000"/>
              </w:pBdr>
              <w:spacing w:before="40"/>
              <w:jc w:val="center"/>
              <w:rPr>
                <w:b/>
                <w:bCs/>
                <w:sz w:val="20"/>
              </w:rPr>
            </w:pPr>
            <w:r w:rsidRPr="002B51C1">
              <w:rPr>
                <w:b/>
                <w:bCs/>
                <w:color w:val="000000"/>
                <w:sz w:val="20"/>
              </w:rPr>
              <w:t>value</w:t>
            </w:r>
          </w:p>
        </w:tc>
        <w:tc>
          <w:tcPr>
            <w:tcW w:w="1134" w:type="dxa"/>
            <w:shd w:val="clear" w:color="auto" w:fill="auto"/>
            <w:noWrap/>
            <w:vAlign w:val="bottom"/>
            <w:hideMark/>
          </w:tcPr>
          <w:p w14:paraId="00B5A2F8" w14:textId="77777777" w:rsidR="00A95416" w:rsidRPr="002B51C1" w:rsidRDefault="00A95416" w:rsidP="00327BFD">
            <w:pPr>
              <w:spacing w:before="40"/>
              <w:jc w:val="center"/>
              <w:rPr>
                <w:b/>
                <w:bCs/>
                <w:sz w:val="20"/>
              </w:rPr>
            </w:pPr>
            <w:r w:rsidRPr="002B51C1">
              <w:rPr>
                <w:b/>
                <w:bCs/>
                <w:color w:val="000000"/>
                <w:sz w:val="20"/>
              </w:rPr>
              <w:t>Effective</w:t>
            </w:r>
          </w:p>
          <w:p w14:paraId="5339ABE1" w14:textId="77777777" w:rsidR="00A95416" w:rsidRPr="002B51C1" w:rsidRDefault="00A95416" w:rsidP="00327BFD">
            <w:pPr>
              <w:spacing w:before="40"/>
              <w:jc w:val="center"/>
              <w:rPr>
                <w:b/>
                <w:bCs/>
                <w:sz w:val="20"/>
              </w:rPr>
            </w:pPr>
            <w:r w:rsidRPr="002B51C1">
              <w:rPr>
                <w:b/>
                <w:bCs/>
                <w:color w:val="000000"/>
                <w:sz w:val="20"/>
              </w:rPr>
              <w:t>Hedge</w:t>
            </w:r>
          </w:p>
          <w:p w14:paraId="6683C1E3" w14:textId="77777777" w:rsidR="00A95416" w:rsidRPr="002B51C1" w:rsidRDefault="00A95416" w:rsidP="00327BFD">
            <w:pPr>
              <w:pBdr>
                <w:bottom w:val="single" w:sz="4" w:space="0" w:color="000000"/>
              </w:pBdr>
              <w:spacing w:before="40"/>
              <w:jc w:val="center"/>
              <w:rPr>
                <w:b/>
                <w:bCs/>
                <w:sz w:val="20"/>
              </w:rPr>
            </w:pPr>
            <w:r w:rsidRPr="002B51C1">
              <w:rPr>
                <w:b/>
                <w:bCs/>
                <w:color w:val="000000"/>
                <w:sz w:val="20"/>
              </w:rPr>
              <w:t>net of Tax</w:t>
            </w:r>
          </w:p>
        </w:tc>
      </w:tr>
      <w:tr w:rsidR="00A95416" w:rsidRPr="002B51C1" w14:paraId="5812E63C" w14:textId="77777777" w:rsidTr="005101BC">
        <w:trPr>
          <w:trHeight w:val="280"/>
        </w:trPr>
        <w:tc>
          <w:tcPr>
            <w:tcW w:w="1961" w:type="dxa"/>
            <w:shd w:val="clear" w:color="auto" w:fill="auto"/>
            <w:vAlign w:val="bottom"/>
            <w:hideMark/>
          </w:tcPr>
          <w:p w14:paraId="3244CE09" w14:textId="77777777" w:rsidR="00A95416" w:rsidRPr="002B51C1" w:rsidRDefault="00A95416" w:rsidP="00327BFD">
            <w:pPr>
              <w:spacing w:before="40"/>
              <w:rPr>
                <w:sz w:val="22"/>
                <w:szCs w:val="22"/>
              </w:rPr>
            </w:pPr>
            <w:r w:rsidRPr="002B51C1">
              <w:rPr>
                <w:color w:val="000000"/>
                <w:sz w:val="22"/>
                <w:szCs w:val="22"/>
              </w:rPr>
              <w:t xml:space="preserve">Interest rate swap </w:t>
            </w:r>
          </w:p>
        </w:tc>
        <w:tc>
          <w:tcPr>
            <w:tcW w:w="1572" w:type="dxa"/>
            <w:shd w:val="clear" w:color="auto" w:fill="auto"/>
            <w:noWrap/>
            <w:vAlign w:val="bottom"/>
          </w:tcPr>
          <w:p w14:paraId="14A0F69B" w14:textId="77777777" w:rsidR="00A95416" w:rsidRPr="00C31906" w:rsidRDefault="00A95416" w:rsidP="00327BFD">
            <w:pPr>
              <w:spacing w:before="40"/>
              <w:jc w:val="center"/>
              <w:rPr>
                <w:b/>
                <w:bCs/>
                <w:sz w:val="22"/>
                <w:szCs w:val="22"/>
              </w:rPr>
            </w:pPr>
            <w:r>
              <w:rPr>
                <w:color w:val="000000"/>
                <w:sz w:val="22"/>
                <w:szCs w:val="22"/>
              </w:rPr>
              <w:t>3M Euribor</w:t>
            </w:r>
          </w:p>
        </w:tc>
        <w:tc>
          <w:tcPr>
            <w:tcW w:w="1134" w:type="dxa"/>
            <w:shd w:val="clear" w:color="auto" w:fill="auto"/>
            <w:noWrap/>
            <w:vAlign w:val="bottom"/>
          </w:tcPr>
          <w:p w14:paraId="7E2148C9" w14:textId="77777777" w:rsidR="00A95416" w:rsidRPr="00C31906" w:rsidRDefault="00A95416" w:rsidP="00327BFD">
            <w:pPr>
              <w:spacing w:before="40"/>
              <w:jc w:val="center"/>
              <w:rPr>
                <w:b/>
                <w:bCs/>
                <w:sz w:val="22"/>
                <w:szCs w:val="22"/>
              </w:rPr>
            </w:pPr>
            <w:r w:rsidRPr="00FB6AD4">
              <w:rPr>
                <w:sz w:val="22"/>
                <w:szCs w:val="22"/>
              </w:rPr>
              <w:t>(0.075%)</w:t>
            </w:r>
          </w:p>
        </w:tc>
        <w:tc>
          <w:tcPr>
            <w:tcW w:w="1701" w:type="dxa"/>
            <w:shd w:val="clear" w:color="auto" w:fill="auto"/>
            <w:noWrap/>
            <w:vAlign w:val="bottom"/>
          </w:tcPr>
          <w:p w14:paraId="5DF234DD" w14:textId="77777777" w:rsidR="00A95416" w:rsidRPr="00C31906" w:rsidRDefault="00A95416" w:rsidP="00327BFD">
            <w:pPr>
              <w:spacing w:before="40"/>
              <w:jc w:val="center"/>
              <w:rPr>
                <w:b/>
                <w:bCs/>
                <w:sz w:val="22"/>
                <w:szCs w:val="22"/>
              </w:rPr>
            </w:pPr>
            <w:r>
              <w:rPr>
                <w:color w:val="000000"/>
                <w:sz w:val="22"/>
                <w:szCs w:val="22"/>
              </w:rPr>
              <w:t>01/08/2025</w:t>
            </w:r>
          </w:p>
        </w:tc>
        <w:tc>
          <w:tcPr>
            <w:tcW w:w="1134" w:type="dxa"/>
            <w:shd w:val="clear" w:color="auto" w:fill="auto"/>
            <w:noWrap/>
            <w:vAlign w:val="bottom"/>
          </w:tcPr>
          <w:p w14:paraId="2FE2E737" w14:textId="77777777" w:rsidR="00A95416" w:rsidRPr="00C31906" w:rsidRDefault="00A95416" w:rsidP="00327BFD">
            <w:pPr>
              <w:spacing w:before="40"/>
              <w:jc w:val="right"/>
              <w:rPr>
                <w:b/>
                <w:bCs/>
                <w:sz w:val="22"/>
                <w:szCs w:val="22"/>
                <w:highlight w:val="yellow"/>
              </w:rPr>
            </w:pPr>
            <w:r>
              <w:rPr>
                <w:color w:val="000000"/>
                <w:sz w:val="22"/>
                <w:szCs w:val="22"/>
              </w:rPr>
              <w:t>153,426</w:t>
            </w:r>
          </w:p>
        </w:tc>
        <w:tc>
          <w:tcPr>
            <w:tcW w:w="925" w:type="dxa"/>
            <w:shd w:val="clear" w:color="auto" w:fill="auto"/>
            <w:noWrap/>
            <w:vAlign w:val="bottom"/>
          </w:tcPr>
          <w:p w14:paraId="2ECCF628" w14:textId="77777777" w:rsidR="00A95416" w:rsidRPr="00C31906" w:rsidRDefault="00A95416" w:rsidP="00327BFD">
            <w:pPr>
              <w:spacing w:before="40"/>
              <w:jc w:val="right"/>
              <w:rPr>
                <w:b/>
                <w:bCs/>
                <w:sz w:val="22"/>
                <w:szCs w:val="22"/>
                <w:highlight w:val="yellow"/>
              </w:rPr>
            </w:pPr>
            <w:r>
              <w:rPr>
                <w:color w:val="000000"/>
                <w:sz w:val="22"/>
                <w:szCs w:val="22"/>
              </w:rPr>
              <w:t>7,044</w:t>
            </w:r>
          </w:p>
        </w:tc>
        <w:tc>
          <w:tcPr>
            <w:tcW w:w="1134" w:type="dxa"/>
            <w:shd w:val="clear" w:color="auto" w:fill="auto"/>
            <w:noWrap/>
            <w:vAlign w:val="bottom"/>
          </w:tcPr>
          <w:p w14:paraId="080C39D2" w14:textId="77777777" w:rsidR="00A95416" w:rsidRPr="00C31906" w:rsidRDefault="00A95416" w:rsidP="00327BFD">
            <w:pPr>
              <w:spacing w:before="40"/>
              <w:jc w:val="right"/>
              <w:rPr>
                <w:b/>
                <w:bCs/>
                <w:sz w:val="22"/>
                <w:szCs w:val="22"/>
                <w:highlight w:val="yellow"/>
              </w:rPr>
            </w:pPr>
            <w:r>
              <w:rPr>
                <w:color w:val="000000"/>
                <w:sz w:val="22"/>
                <w:szCs w:val="22"/>
              </w:rPr>
              <w:t>5,915</w:t>
            </w:r>
          </w:p>
        </w:tc>
      </w:tr>
      <w:tr w:rsidR="00A95416" w:rsidRPr="002B51C1" w14:paraId="1236C6AD" w14:textId="77777777" w:rsidTr="005101BC">
        <w:trPr>
          <w:trHeight w:val="280"/>
        </w:trPr>
        <w:tc>
          <w:tcPr>
            <w:tcW w:w="1961" w:type="dxa"/>
            <w:shd w:val="clear" w:color="auto" w:fill="auto"/>
            <w:vAlign w:val="bottom"/>
            <w:hideMark/>
          </w:tcPr>
          <w:p w14:paraId="6817676F" w14:textId="77777777" w:rsidR="00A95416" w:rsidRPr="002B51C1" w:rsidRDefault="00A95416" w:rsidP="00327BFD">
            <w:pPr>
              <w:spacing w:before="40"/>
              <w:rPr>
                <w:sz w:val="22"/>
                <w:szCs w:val="22"/>
              </w:rPr>
            </w:pPr>
            <w:r w:rsidRPr="002B51C1">
              <w:rPr>
                <w:color w:val="000000"/>
                <w:sz w:val="22"/>
                <w:szCs w:val="22"/>
              </w:rPr>
              <w:t>Interest rate swap</w:t>
            </w:r>
          </w:p>
        </w:tc>
        <w:tc>
          <w:tcPr>
            <w:tcW w:w="1572" w:type="dxa"/>
            <w:shd w:val="clear" w:color="auto" w:fill="auto"/>
            <w:noWrap/>
            <w:vAlign w:val="bottom"/>
          </w:tcPr>
          <w:p w14:paraId="64E7ECC8" w14:textId="77777777" w:rsidR="00A95416" w:rsidRPr="00C31906" w:rsidRDefault="00A95416" w:rsidP="00327BFD">
            <w:pPr>
              <w:spacing w:before="40"/>
              <w:jc w:val="center"/>
              <w:rPr>
                <w:b/>
                <w:bCs/>
                <w:sz w:val="22"/>
                <w:szCs w:val="22"/>
              </w:rPr>
            </w:pPr>
            <w:r>
              <w:rPr>
                <w:color w:val="000000"/>
                <w:sz w:val="22"/>
                <w:szCs w:val="22"/>
              </w:rPr>
              <w:t>3M Euribor</w:t>
            </w:r>
          </w:p>
        </w:tc>
        <w:tc>
          <w:tcPr>
            <w:tcW w:w="1134" w:type="dxa"/>
            <w:shd w:val="clear" w:color="auto" w:fill="auto"/>
            <w:noWrap/>
            <w:vAlign w:val="bottom"/>
          </w:tcPr>
          <w:p w14:paraId="30739E3B" w14:textId="77777777" w:rsidR="00A95416" w:rsidRPr="00C31906" w:rsidRDefault="00A95416" w:rsidP="00327BFD">
            <w:pPr>
              <w:spacing w:before="40"/>
              <w:jc w:val="center"/>
              <w:rPr>
                <w:b/>
                <w:bCs/>
                <w:sz w:val="22"/>
                <w:szCs w:val="22"/>
              </w:rPr>
            </w:pPr>
            <w:r w:rsidRPr="00FB6AD4">
              <w:rPr>
                <w:sz w:val="22"/>
                <w:szCs w:val="22"/>
              </w:rPr>
              <w:t>(0.372%)</w:t>
            </w:r>
          </w:p>
        </w:tc>
        <w:tc>
          <w:tcPr>
            <w:tcW w:w="1701" w:type="dxa"/>
            <w:shd w:val="clear" w:color="auto" w:fill="auto"/>
            <w:noWrap/>
            <w:vAlign w:val="bottom"/>
          </w:tcPr>
          <w:p w14:paraId="5E8A14A6" w14:textId="77777777" w:rsidR="00A95416" w:rsidRPr="00C31906" w:rsidRDefault="00A95416" w:rsidP="00327BFD">
            <w:pPr>
              <w:spacing w:before="40"/>
              <w:jc w:val="center"/>
              <w:rPr>
                <w:b/>
                <w:bCs/>
                <w:sz w:val="22"/>
                <w:szCs w:val="22"/>
              </w:rPr>
            </w:pPr>
            <w:r>
              <w:rPr>
                <w:color w:val="000000"/>
                <w:sz w:val="22"/>
                <w:szCs w:val="22"/>
              </w:rPr>
              <w:t>11/12/2025</w:t>
            </w:r>
          </w:p>
        </w:tc>
        <w:tc>
          <w:tcPr>
            <w:tcW w:w="1134" w:type="dxa"/>
            <w:shd w:val="clear" w:color="auto" w:fill="auto"/>
            <w:noWrap/>
            <w:vAlign w:val="bottom"/>
          </w:tcPr>
          <w:p w14:paraId="72470EA0" w14:textId="77777777" w:rsidR="00A95416" w:rsidRPr="00C31906" w:rsidRDefault="00A95416" w:rsidP="00327BFD">
            <w:pPr>
              <w:spacing w:before="40"/>
              <w:jc w:val="right"/>
              <w:rPr>
                <w:b/>
                <w:bCs/>
                <w:sz w:val="22"/>
                <w:szCs w:val="22"/>
                <w:highlight w:val="yellow"/>
              </w:rPr>
            </w:pPr>
            <w:r>
              <w:rPr>
                <w:color w:val="000000"/>
                <w:sz w:val="22"/>
                <w:szCs w:val="22"/>
              </w:rPr>
              <w:t>56,177</w:t>
            </w:r>
          </w:p>
        </w:tc>
        <w:tc>
          <w:tcPr>
            <w:tcW w:w="925" w:type="dxa"/>
            <w:shd w:val="clear" w:color="auto" w:fill="auto"/>
            <w:noWrap/>
            <w:vAlign w:val="bottom"/>
          </w:tcPr>
          <w:p w14:paraId="2B0906AA" w14:textId="77777777" w:rsidR="00A95416" w:rsidRPr="00C31906" w:rsidRDefault="00A95416" w:rsidP="00327BFD">
            <w:pPr>
              <w:spacing w:before="40"/>
              <w:jc w:val="right"/>
              <w:rPr>
                <w:b/>
                <w:bCs/>
                <w:sz w:val="22"/>
                <w:szCs w:val="22"/>
                <w:highlight w:val="yellow"/>
              </w:rPr>
            </w:pPr>
            <w:r>
              <w:rPr>
                <w:color w:val="000000"/>
                <w:sz w:val="22"/>
                <w:szCs w:val="22"/>
              </w:rPr>
              <w:t>3,655</w:t>
            </w:r>
          </w:p>
        </w:tc>
        <w:tc>
          <w:tcPr>
            <w:tcW w:w="1134" w:type="dxa"/>
            <w:shd w:val="clear" w:color="auto" w:fill="auto"/>
            <w:noWrap/>
            <w:vAlign w:val="bottom"/>
          </w:tcPr>
          <w:p w14:paraId="14516906" w14:textId="77777777" w:rsidR="00A95416" w:rsidRPr="00C31906" w:rsidRDefault="00A95416" w:rsidP="00327BFD">
            <w:pPr>
              <w:spacing w:before="40"/>
              <w:jc w:val="right"/>
              <w:rPr>
                <w:b/>
                <w:bCs/>
                <w:sz w:val="22"/>
                <w:szCs w:val="22"/>
                <w:highlight w:val="yellow"/>
              </w:rPr>
            </w:pPr>
            <w:r>
              <w:rPr>
                <w:color w:val="000000"/>
                <w:sz w:val="22"/>
                <w:szCs w:val="22"/>
              </w:rPr>
              <w:t>2,961</w:t>
            </w:r>
          </w:p>
        </w:tc>
      </w:tr>
      <w:tr w:rsidR="00A95416" w:rsidRPr="002B51C1" w14:paraId="62927872" w14:textId="77777777" w:rsidTr="005101BC">
        <w:trPr>
          <w:trHeight w:val="280"/>
        </w:trPr>
        <w:tc>
          <w:tcPr>
            <w:tcW w:w="1961" w:type="dxa"/>
            <w:shd w:val="clear" w:color="auto" w:fill="auto"/>
            <w:vAlign w:val="bottom"/>
            <w:hideMark/>
          </w:tcPr>
          <w:p w14:paraId="5A7096DD" w14:textId="77777777" w:rsidR="00A95416" w:rsidRPr="002B51C1" w:rsidRDefault="00A95416" w:rsidP="00327BFD">
            <w:pPr>
              <w:spacing w:before="40"/>
              <w:rPr>
                <w:sz w:val="22"/>
                <w:szCs w:val="22"/>
              </w:rPr>
            </w:pPr>
            <w:r w:rsidRPr="002B51C1">
              <w:rPr>
                <w:color w:val="000000"/>
                <w:sz w:val="22"/>
                <w:szCs w:val="22"/>
              </w:rPr>
              <w:t>Interest rate swap</w:t>
            </w:r>
          </w:p>
        </w:tc>
        <w:tc>
          <w:tcPr>
            <w:tcW w:w="1572" w:type="dxa"/>
            <w:shd w:val="clear" w:color="auto" w:fill="auto"/>
            <w:noWrap/>
            <w:vAlign w:val="bottom"/>
          </w:tcPr>
          <w:p w14:paraId="2C588915" w14:textId="77777777" w:rsidR="00A95416" w:rsidRPr="00C31906" w:rsidRDefault="00A95416" w:rsidP="00327BFD">
            <w:pPr>
              <w:spacing w:before="40"/>
              <w:jc w:val="center"/>
              <w:rPr>
                <w:b/>
                <w:bCs/>
                <w:sz w:val="22"/>
                <w:szCs w:val="22"/>
              </w:rPr>
            </w:pPr>
            <w:r>
              <w:rPr>
                <w:color w:val="000000"/>
                <w:sz w:val="22"/>
                <w:szCs w:val="22"/>
              </w:rPr>
              <w:t>3M Euribor</w:t>
            </w:r>
          </w:p>
        </w:tc>
        <w:tc>
          <w:tcPr>
            <w:tcW w:w="1134" w:type="dxa"/>
            <w:shd w:val="clear" w:color="auto" w:fill="auto"/>
            <w:noWrap/>
            <w:vAlign w:val="bottom"/>
          </w:tcPr>
          <w:p w14:paraId="5B8FBA93" w14:textId="77777777" w:rsidR="00A95416" w:rsidRPr="00C31906" w:rsidRDefault="00A95416" w:rsidP="00327BFD">
            <w:pPr>
              <w:spacing w:before="40"/>
              <w:jc w:val="center"/>
              <w:rPr>
                <w:b/>
                <w:bCs/>
                <w:sz w:val="22"/>
                <w:szCs w:val="22"/>
              </w:rPr>
            </w:pPr>
            <w:r w:rsidRPr="00FB6AD4">
              <w:rPr>
                <w:color w:val="000000"/>
                <w:sz w:val="22"/>
                <w:szCs w:val="22"/>
              </w:rPr>
              <w:t>0.00%</w:t>
            </w:r>
          </w:p>
        </w:tc>
        <w:tc>
          <w:tcPr>
            <w:tcW w:w="1701" w:type="dxa"/>
            <w:shd w:val="clear" w:color="auto" w:fill="auto"/>
            <w:noWrap/>
            <w:vAlign w:val="bottom"/>
          </w:tcPr>
          <w:p w14:paraId="33F59256" w14:textId="77777777" w:rsidR="00A95416" w:rsidRPr="00C31906" w:rsidRDefault="00A95416" w:rsidP="00327BFD">
            <w:pPr>
              <w:spacing w:before="40"/>
              <w:jc w:val="center"/>
              <w:rPr>
                <w:b/>
                <w:bCs/>
                <w:sz w:val="22"/>
                <w:szCs w:val="22"/>
              </w:rPr>
            </w:pPr>
            <w:r>
              <w:rPr>
                <w:color w:val="000000"/>
                <w:sz w:val="22"/>
                <w:szCs w:val="22"/>
              </w:rPr>
              <w:t>04/03/2024</w:t>
            </w:r>
          </w:p>
        </w:tc>
        <w:tc>
          <w:tcPr>
            <w:tcW w:w="1134" w:type="dxa"/>
            <w:shd w:val="clear" w:color="auto" w:fill="auto"/>
            <w:noWrap/>
            <w:vAlign w:val="bottom"/>
          </w:tcPr>
          <w:p w14:paraId="6EFBCD86" w14:textId="77777777" w:rsidR="00A95416" w:rsidRPr="00C31906" w:rsidRDefault="00A95416" w:rsidP="00327BFD">
            <w:pPr>
              <w:spacing w:before="40"/>
              <w:jc w:val="right"/>
              <w:rPr>
                <w:b/>
                <w:bCs/>
                <w:sz w:val="22"/>
                <w:szCs w:val="22"/>
                <w:highlight w:val="yellow"/>
              </w:rPr>
            </w:pPr>
            <w:r>
              <w:rPr>
                <w:color w:val="000000"/>
                <w:sz w:val="22"/>
                <w:szCs w:val="22"/>
              </w:rPr>
              <w:t>39,840</w:t>
            </w:r>
          </w:p>
        </w:tc>
        <w:tc>
          <w:tcPr>
            <w:tcW w:w="925" w:type="dxa"/>
            <w:shd w:val="clear" w:color="auto" w:fill="auto"/>
            <w:noWrap/>
            <w:vAlign w:val="bottom"/>
          </w:tcPr>
          <w:p w14:paraId="4D08772E" w14:textId="77777777" w:rsidR="00A95416" w:rsidRPr="00C31906" w:rsidRDefault="00A95416" w:rsidP="00327BFD">
            <w:pPr>
              <w:spacing w:before="40"/>
              <w:jc w:val="right"/>
              <w:rPr>
                <w:b/>
                <w:bCs/>
                <w:sz w:val="22"/>
                <w:szCs w:val="22"/>
                <w:highlight w:val="yellow"/>
              </w:rPr>
            </w:pPr>
            <w:r>
              <w:rPr>
                <w:color w:val="000000"/>
                <w:sz w:val="22"/>
                <w:szCs w:val="22"/>
              </w:rPr>
              <w:t>668</w:t>
            </w:r>
          </w:p>
        </w:tc>
        <w:tc>
          <w:tcPr>
            <w:tcW w:w="1134" w:type="dxa"/>
            <w:shd w:val="clear" w:color="auto" w:fill="auto"/>
            <w:noWrap/>
            <w:vAlign w:val="bottom"/>
          </w:tcPr>
          <w:p w14:paraId="58D0EFF5" w14:textId="77777777" w:rsidR="00A95416" w:rsidRPr="00C31906" w:rsidRDefault="00A95416" w:rsidP="00327BFD">
            <w:pPr>
              <w:spacing w:before="40"/>
              <w:jc w:val="right"/>
              <w:rPr>
                <w:b/>
                <w:bCs/>
                <w:sz w:val="22"/>
                <w:szCs w:val="22"/>
                <w:highlight w:val="yellow"/>
              </w:rPr>
            </w:pPr>
            <w:r>
              <w:rPr>
                <w:color w:val="000000"/>
                <w:sz w:val="22"/>
                <w:szCs w:val="22"/>
              </w:rPr>
              <w:t>528</w:t>
            </w:r>
          </w:p>
        </w:tc>
      </w:tr>
      <w:tr w:rsidR="00A95416" w:rsidRPr="002B51C1" w14:paraId="00DD810B" w14:textId="77777777" w:rsidTr="005101BC">
        <w:trPr>
          <w:trHeight w:val="280"/>
        </w:trPr>
        <w:tc>
          <w:tcPr>
            <w:tcW w:w="1961" w:type="dxa"/>
            <w:shd w:val="clear" w:color="auto" w:fill="auto"/>
            <w:vAlign w:val="bottom"/>
          </w:tcPr>
          <w:p w14:paraId="2823A394" w14:textId="77777777" w:rsidR="00A95416" w:rsidRPr="002B51C1" w:rsidRDefault="00A95416" w:rsidP="00327BFD">
            <w:pPr>
              <w:spacing w:before="40"/>
              <w:rPr>
                <w:color w:val="000000"/>
                <w:sz w:val="22"/>
                <w:szCs w:val="22"/>
              </w:rPr>
            </w:pPr>
            <w:r w:rsidRPr="002B51C1">
              <w:rPr>
                <w:color w:val="000000"/>
                <w:sz w:val="22"/>
                <w:szCs w:val="22"/>
              </w:rPr>
              <w:t>Interest rate swap</w:t>
            </w:r>
          </w:p>
        </w:tc>
        <w:tc>
          <w:tcPr>
            <w:tcW w:w="1572" w:type="dxa"/>
            <w:shd w:val="clear" w:color="auto" w:fill="auto"/>
            <w:noWrap/>
            <w:vAlign w:val="bottom"/>
          </w:tcPr>
          <w:p w14:paraId="7A472966" w14:textId="77777777" w:rsidR="00A95416" w:rsidRPr="00C31906" w:rsidRDefault="00A95416" w:rsidP="00327BFD">
            <w:pPr>
              <w:spacing w:before="40"/>
              <w:jc w:val="center"/>
              <w:rPr>
                <w:b/>
                <w:bCs/>
                <w:color w:val="000000"/>
                <w:sz w:val="22"/>
                <w:szCs w:val="22"/>
              </w:rPr>
            </w:pPr>
            <w:r>
              <w:rPr>
                <w:color w:val="000000"/>
                <w:sz w:val="22"/>
                <w:szCs w:val="22"/>
              </w:rPr>
              <w:t>3M Euribor</w:t>
            </w:r>
          </w:p>
        </w:tc>
        <w:tc>
          <w:tcPr>
            <w:tcW w:w="1134" w:type="dxa"/>
            <w:shd w:val="clear" w:color="auto" w:fill="auto"/>
            <w:noWrap/>
            <w:vAlign w:val="bottom"/>
          </w:tcPr>
          <w:p w14:paraId="170C1695" w14:textId="77777777" w:rsidR="00A95416" w:rsidRPr="00C31906" w:rsidRDefault="00A95416" w:rsidP="00327BFD">
            <w:pPr>
              <w:spacing w:before="40"/>
              <w:jc w:val="center"/>
              <w:rPr>
                <w:b/>
                <w:bCs/>
                <w:sz w:val="22"/>
                <w:szCs w:val="22"/>
              </w:rPr>
            </w:pPr>
            <w:r w:rsidRPr="00FB6AD4">
              <w:rPr>
                <w:sz w:val="22"/>
                <w:szCs w:val="22"/>
              </w:rPr>
              <w:t>(0.26%)</w:t>
            </w:r>
          </w:p>
        </w:tc>
        <w:tc>
          <w:tcPr>
            <w:tcW w:w="1701" w:type="dxa"/>
            <w:shd w:val="clear" w:color="auto" w:fill="auto"/>
            <w:noWrap/>
            <w:vAlign w:val="bottom"/>
          </w:tcPr>
          <w:p w14:paraId="45CB1497" w14:textId="77777777" w:rsidR="00A95416" w:rsidRPr="00C31906" w:rsidRDefault="00A95416" w:rsidP="00327BFD">
            <w:pPr>
              <w:spacing w:before="40"/>
              <w:jc w:val="center"/>
              <w:rPr>
                <w:b/>
                <w:bCs/>
                <w:sz w:val="22"/>
                <w:szCs w:val="22"/>
              </w:rPr>
            </w:pPr>
            <w:r>
              <w:rPr>
                <w:color w:val="000000"/>
                <w:sz w:val="22"/>
                <w:szCs w:val="22"/>
              </w:rPr>
              <w:t>28/05/2025</w:t>
            </w:r>
          </w:p>
        </w:tc>
        <w:tc>
          <w:tcPr>
            <w:tcW w:w="1134" w:type="dxa"/>
            <w:shd w:val="clear" w:color="auto" w:fill="auto"/>
            <w:noWrap/>
            <w:vAlign w:val="bottom"/>
          </w:tcPr>
          <w:p w14:paraId="1AE1C31E" w14:textId="77777777" w:rsidR="00A95416" w:rsidRPr="00C31906" w:rsidRDefault="00A95416" w:rsidP="00327BFD">
            <w:pPr>
              <w:spacing w:before="40"/>
              <w:jc w:val="right"/>
              <w:rPr>
                <w:b/>
                <w:bCs/>
                <w:sz w:val="22"/>
                <w:szCs w:val="22"/>
                <w:highlight w:val="yellow"/>
              </w:rPr>
            </w:pPr>
            <w:r>
              <w:rPr>
                <w:color w:val="000000"/>
                <w:sz w:val="22"/>
                <w:szCs w:val="22"/>
              </w:rPr>
              <w:t>11,060</w:t>
            </w:r>
          </w:p>
        </w:tc>
        <w:tc>
          <w:tcPr>
            <w:tcW w:w="925" w:type="dxa"/>
            <w:shd w:val="clear" w:color="auto" w:fill="auto"/>
            <w:noWrap/>
            <w:vAlign w:val="bottom"/>
          </w:tcPr>
          <w:p w14:paraId="62071CB4" w14:textId="77777777" w:rsidR="00A95416" w:rsidRPr="00C31906" w:rsidRDefault="00A95416" w:rsidP="00327BFD">
            <w:pPr>
              <w:spacing w:before="40"/>
              <w:jc w:val="right"/>
              <w:rPr>
                <w:b/>
                <w:bCs/>
                <w:sz w:val="22"/>
                <w:szCs w:val="22"/>
                <w:highlight w:val="yellow"/>
              </w:rPr>
            </w:pPr>
            <w:r>
              <w:rPr>
                <w:color w:val="000000"/>
                <w:sz w:val="22"/>
                <w:szCs w:val="22"/>
              </w:rPr>
              <w:t>518</w:t>
            </w:r>
          </w:p>
        </w:tc>
        <w:tc>
          <w:tcPr>
            <w:tcW w:w="1134" w:type="dxa"/>
            <w:shd w:val="clear" w:color="auto" w:fill="auto"/>
            <w:noWrap/>
            <w:vAlign w:val="bottom"/>
          </w:tcPr>
          <w:p w14:paraId="45E5182E" w14:textId="77777777" w:rsidR="00A95416" w:rsidRPr="00C31906" w:rsidRDefault="00A95416" w:rsidP="00327BFD">
            <w:pPr>
              <w:spacing w:before="40"/>
              <w:jc w:val="right"/>
              <w:rPr>
                <w:b/>
                <w:bCs/>
                <w:sz w:val="22"/>
                <w:szCs w:val="22"/>
                <w:highlight w:val="yellow"/>
              </w:rPr>
            </w:pPr>
            <w:r>
              <w:rPr>
                <w:color w:val="000000"/>
                <w:sz w:val="22"/>
                <w:szCs w:val="22"/>
              </w:rPr>
              <w:t>440</w:t>
            </w:r>
          </w:p>
        </w:tc>
      </w:tr>
      <w:tr w:rsidR="00A95416" w:rsidRPr="002B51C1" w14:paraId="3749F38F" w14:textId="77777777" w:rsidTr="005101BC">
        <w:trPr>
          <w:trHeight w:val="300"/>
        </w:trPr>
        <w:tc>
          <w:tcPr>
            <w:tcW w:w="1961" w:type="dxa"/>
            <w:shd w:val="clear" w:color="auto" w:fill="auto"/>
            <w:vAlign w:val="bottom"/>
            <w:hideMark/>
          </w:tcPr>
          <w:p w14:paraId="4CAC3ECA" w14:textId="77777777" w:rsidR="00A95416" w:rsidRPr="002B51C1" w:rsidRDefault="00A95416" w:rsidP="00327BFD">
            <w:pPr>
              <w:spacing w:before="40"/>
              <w:rPr>
                <w:sz w:val="22"/>
                <w:szCs w:val="22"/>
              </w:rPr>
            </w:pPr>
            <w:r w:rsidRPr="002B51C1">
              <w:rPr>
                <w:color w:val="000000"/>
                <w:sz w:val="22"/>
                <w:szCs w:val="22"/>
              </w:rPr>
              <w:t>Interest rate swap</w:t>
            </w:r>
          </w:p>
        </w:tc>
        <w:tc>
          <w:tcPr>
            <w:tcW w:w="1572" w:type="dxa"/>
            <w:shd w:val="clear" w:color="auto" w:fill="auto"/>
            <w:noWrap/>
            <w:vAlign w:val="bottom"/>
          </w:tcPr>
          <w:p w14:paraId="06F1A347" w14:textId="77777777" w:rsidR="00A95416" w:rsidRPr="00C31906" w:rsidRDefault="00A95416" w:rsidP="00327BFD">
            <w:pPr>
              <w:spacing w:before="40"/>
              <w:jc w:val="center"/>
              <w:rPr>
                <w:b/>
                <w:bCs/>
                <w:sz w:val="22"/>
                <w:szCs w:val="22"/>
              </w:rPr>
            </w:pPr>
            <w:r>
              <w:rPr>
                <w:color w:val="000000"/>
                <w:sz w:val="22"/>
                <w:szCs w:val="22"/>
              </w:rPr>
              <w:t>3M Euribor</w:t>
            </w:r>
          </w:p>
        </w:tc>
        <w:tc>
          <w:tcPr>
            <w:tcW w:w="1134" w:type="dxa"/>
            <w:shd w:val="clear" w:color="auto" w:fill="auto"/>
            <w:noWrap/>
            <w:vAlign w:val="bottom"/>
          </w:tcPr>
          <w:p w14:paraId="7F119C34" w14:textId="77777777" w:rsidR="00A95416" w:rsidRPr="00C31906" w:rsidRDefault="00A95416" w:rsidP="00327BFD">
            <w:pPr>
              <w:spacing w:before="40"/>
              <w:jc w:val="center"/>
              <w:rPr>
                <w:b/>
                <w:bCs/>
                <w:sz w:val="22"/>
                <w:szCs w:val="22"/>
              </w:rPr>
            </w:pPr>
            <w:r>
              <w:rPr>
                <w:color w:val="000000"/>
                <w:sz w:val="22"/>
                <w:szCs w:val="22"/>
              </w:rPr>
              <w:t>2.50%</w:t>
            </w:r>
          </w:p>
        </w:tc>
        <w:tc>
          <w:tcPr>
            <w:tcW w:w="1701" w:type="dxa"/>
            <w:shd w:val="clear" w:color="auto" w:fill="auto"/>
            <w:noWrap/>
            <w:vAlign w:val="bottom"/>
          </w:tcPr>
          <w:p w14:paraId="61A266AF" w14:textId="77777777" w:rsidR="00A95416" w:rsidRPr="00C31906" w:rsidRDefault="00A95416" w:rsidP="00327BFD">
            <w:pPr>
              <w:spacing w:before="40"/>
              <w:jc w:val="center"/>
              <w:rPr>
                <w:b/>
                <w:bCs/>
                <w:sz w:val="22"/>
                <w:szCs w:val="22"/>
              </w:rPr>
            </w:pPr>
            <w:r>
              <w:rPr>
                <w:color w:val="000000"/>
                <w:sz w:val="22"/>
                <w:szCs w:val="22"/>
              </w:rPr>
              <w:t>27/09/2027</w:t>
            </w:r>
          </w:p>
        </w:tc>
        <w:tc>
          <w:tcPr>
            <w:tcW w:w="1134" w:type="dxa"/>
            <w:shd w:val="clear" w:color="auto" w:fill="auto"/>
            <w:noWrap/>
            <w:vAlign w:val="bottom"/>
          </w:tcPr>
          <w:p w14:paraId="2E4A21B7" w14:textId="77777777" w:rsidR="00A95416" w:rsidRPr="00C31906" w:rsidRDefault="00A95416" w:rsidP="00327BFD">
            <w:pPr>
              <w:spacing w:before="40"/>
              <w:jc w:val="right"/>
              <w:rPr>
                <w:b/>
                <w:bCs/>
                <w:sz w:val="22"/>
                <w:szCs w:val="22"/>
                <w:highlight w:val="yellow"/>
              </w:rPr>
            </w:pPr>
            <w:r>
              <w:rPr>
                <w:color w:val="000000"/>
                <w:sz w:val="22"/>
                <w:szCs w:val="22"/>
              </w:rPr>
              <w:t>49,542</w:t>
            </w:r>
          </w:p>
        </w:tc>
        <w:tc>
          <w:tcPr>
            <w:tcW w:w="925" w:type="dxa"/>
            <w:shd w:val="clear" w:color="auto" w:fill="auto"/>
            <w:noWrap/>
            <w:vAlign w:val="bottom"/>
          </w:tcPr>
          <w:p w14:paraId="6CFC30A9" w14:textId="77777777" w:rsidR="00A95416" w:rsidRPr="00C31906" w:rsidRDefault="00A95416" w:rsidP="00327BFD">
            <w:pPr>
              <w:spacing w:before="40"/>
              <w:jc w:val="right"/>
              <w:rPr>
                <w:b/>
                <w:bCs/>
                <w:sz w:val="22"/>
                <w:szCs w:val="22"/>
                <w:highlight w:val="yellow"/>
              </w:rPr>
            </w:pPr>
            <w:r>
              <w:rPr>
                <w:color w:val="000000"/>
                <w:sz w:val="22"/>
                <w:szCs w:val="22"/>
              </w:rPr>
              <w:t>(264)</w:t>
            </w:r>
          </w:p>
        </w:tc>
        <w:tc>
          <w:tcPr>
            <w:tcW w:w="1134" w:type="dxa"/>
            <w:shd w:val="clear" w:color="auto" w:fill="auto"/>
            <w:noWrap/>
            <w:vAlign w:val="bottom"/>
          </w:tcPr>
          <w:p w14:paraId="21E3B2AA" w14:textId="77777777" w:rsidR="00A95416" w:rsidRPr="00C31906" w:rsidRDefault="00A95416" w:rsidP="00327BFD">
            <w:pPr>
              <w:spacing w:before="40"/>
              <w:jc w:val="right"/>
              <w:rPr>
                <w:b/>
                <w:bCs/>
                <w:sz w:val="22"/>
                <w:szCs w:val="22"/>
                <w:highlight w:val="yellow"/>
              </w:rPr>
            </w:pPr>
            <w:r>
              <w:rPr>
                <w:color w:val="000000"/>
                <w:sz w:val="22"/>
                <w:szCs w:val="22"/>
              </w:rPr>
              <w:t>(1,626)</w:t>
            </w:r>
          </w:p>
        </w:tc>
      </w:tr>
      <w:tr w:rsidR="00A95416" w:rsidRPr="002B51C1" w14:paraId="121D10E4" w14:textId="77777777" w:rsidTr="005101BC">
        <w:trPr>
          <w:trHeight w:val="300"/>
        </w:trPr>
        <w:tc>
          <w:tcPr>
            <w:tcW w:w="1961" w:type="dxa"/>
            <w:shd w:val="clear" w:color="auto" w:fill="auto"/>
            <w:vAlign w:val="bottom"/>
          </w:tcPr>
          <w:p w14:paraId="2B117996" w14:textId="77777777" w:rsidR="00A95416" w:rsidRPr="002B51C1" w:rsidRDefault="00A95416" w:rsidP="00327BFD">
            <w:pPr>
              <w:spacing w:before="40"/>
              <w:rPr>
                <w:color w:val="000000"/>
                <w:sz w:val="22"/>
                <w:szCs w:val="22"/>
              </w:rPr>
            </w:pPr>
            <w:r w:rsidRPr="002B51C1">
              <w:rPr>
                <w:color w:val="000000"/>
                <w:sz w:val="22"/>
                <w:szCs w:val="22"/>
              </w:rPr>
              <w:t>Interest rate swap</w:t>
            </w:r>
          </w:p>
        </w:tc>
        <w:tc>
          <w:tcPr>
            <w:tcW w:w="1572" w:type="dxa"/>
            <w:shd w:val="clear" w:color="auto" w:fill="auto"/>
            <w:noWrap/>
            <w:vAlign w:val="bottom"/>
          </w:tcPr>
          <w:p w14:paraId="587231A7" w14:textId="77777777" w:rsidR="00A95416" w:rsidRPr="00C31906" w:rsidRDefault="00A95416" w:rsidP="00327BFD">
            <w:pPr>
              <w:spacing w:before="40"/>
              <w:jc w:val="center"/>
              <w:rPr>
                <w:b/>
                <w:bCs/>
                <w:sz w:val="22"/>
                <w:szCs w:val="22"/>
              </w:rPr>
            </w:pPr>
            <w:r>
              <w:rPr>
                <w:color w:val="000000"/>
                <w:sz w:val="22"/>
                <w:szCs w:val="22"/>
              </w:rPr>
              <w:t>3M Euribor</w:t>
            </w:r>
          </w:p>
        </w:tc>
        <w:tc>
          <w:tcPr>
            <w:tcW w:w="1134" w:type="dxa"/>
            <w:shd w:val="clear" w:color="auto" w:fill="auto"/>
            <w:noWrap/>
            <w:vAlign w:val="bottom"/>
          </w:tcPr>
          <w:p w14:paraId="2FE7BC6B" w14:textId="77777777" w:rsidR="00A95416" w:rsidRPr="00C31906" w:rsidRDefault="00A95416" w:rsidP="00327BFD">
            <w:pPr>
              <w:spacing w:before="40"/>
              <w:jc w:val="center"/>
              <w:rPr>
                <w:b/>
                <w:bCs/>
                <w:sz w:val="22"/>
                <w:szCs w:val="22"/>
              </w:rPr>
            </w:pPr>
            <w:r w:rsidRPr="00FB6AD4">
              <w:rPr>
                <w:sz w:val="22"/>
                <w:szCs w:val="22"/>
              </w:rPr>
              <w:t>(0.170%)</w:t>
            </w:r>
          </w:p>
        </w:tc>
        <w:tc>
          <w:tcPr>
            <w:tcW w:w="1701" w:type="dxa"/>
            <w:shd w:val="clear" w:color="auto" w:fill="auto"/>
            <w:noWrap/>
            <w:vAlign w:val="bottom"/>
          </w:tcPr>
          <w:p w14:paraId="68342C29" w14:textId="77777777" w:rsidR="00A95416" w:rsidRPr="00C31906" w:rsidRDefault="00A95416" w:rsidP="00327BFD">
            <w:pPr>
              <w:spacing w:before="40"/>
              <w:jc w:val="center"/>
              <w:rPr>
                <w:b/>
                <w:bCs/>
                <w:sz w:val="22"/>
                <w:szCs w:val="22"/>
              </w:rPr>
            </w:pPr>
            <w:r>
              <w:rPr>
                <w:color w:val="000000"/>
                <w:sz w:val="22"/>
                <w:szCs w:val="22"/>
              </w:rPr>
              <w:t>30/04/2026</w:t>
            </w:r>
          </w:p>
        </w:tc>
        <w:tc>
          <w:tcPr>
            <w:tcW w:w="1134" w:type="dxa"/>
            <w:shd w:val="clear" w:color="auto" w:fill="auto"/>
            <w:noWrap/>
            <w:vAlign w:val="bottom"/>
          </w:tcPr>
          <w:p w14:paraId="348F1230" w14:textId="77777777" w:rsidR="00A95416" w:rsidRPr="00C31906" w:rsidRDefault="00A95416" w:rsidP="00327BFD">
            <w:pPr>
              <w:spacing w:before="40"/>
              <w:jc w:val="right"/>
              <w:rPr>
                <w:b/>
                <w:bCs/>
                <w:sz w:val="22"/>
                <w:szCs w:val="22"/>
                <w:highlight w:val="yellow"/>
              </w:rPr>
            </w:pPr>
            <w:r>
              <w:rPr>
                <w:color w:val="000000"/>
                <w:sz w:val="22"/>
                <w:szCs w:val="22"/>
              </w:rPr>
              <w:t>38,266</w:t>
            </w:r>
          </w:p>
        </w:tc>
        <w:tc>
          <w:tcPr>
            <w:tcW w:w="925" w:type="dxa"/>
            <w:shd w:val="clear" w:color="auto" w:fill="auto"/>
            <w:noWrap/>
            <w:vAlign w:val="bottom"/>
          </w:tcPr>
          <w:p w14:paraId="6FB9877D" w14:textId="77777777" w:rsidR="00A95416" w:rsidRPr="00C31906" w:rsidRDefault="00A95416" w:rsidP="00327BFD">
            <w:pPr>
              <w:spacing w:before="40"/>
              <w:jc w:val="right"/>
              <w:rPr>
                <w:b/>
                <w:bCs/>
                <w:sz w:val="22"/>
                <w:szCs w:val="22"/>
                <w:highlight w:val="yellow"/>
              </w:rPr>
            </w:pPr>
            <w:r>
              <w:rPr>
                <w:color w:val="000000"/>
                <w:sz w:val="22"/>
                <w:szCs w:val="22"/>
              </w:rPr>
              <w:t>2,313</w:t>
            </w:r>
          </w:p>
        </w:tc>
        <w:tc>
          <w:tcPr>
            <w:tcW w:w="1134" w:type="dxa"/>
            <w:shd w:val="clear" w:color="auto" w:fill="auto"/>
            <w:noWrap/>
            <w:vAlign w:val="bottom"/>
          </w:tcPr>
          <w:p w14:paraId="3B8FAE43" w14:textId="77777777" w:rsidR="00A95416" w:rsidRPr="00C31906" w:rsidRDefault="00A95416" w:rsidP="00327BFD">
            <w:pPr>
              <w:spacing w:before="40"/>
              <w:jc w:val="right"/>
              <w:rPr>
                <w:b/>
                <w:bCs/>
                <w:sz w:val="22"/>
                <w:szCs w:val="22"/>
                <w:highlight w:val="yellow"/>
              </w:rPr>
            </w:pPr>
            <w:r>
              <w:rPr>
                <w:color w:val="000000"/>
                <w:sz w:val="22"/>
                <w:szCs w:val="22"/>
              </w:rPr>
              <w:t>1,827</w:t>
            </w:r>
          </w:p>
        </w:tc>
      </w:tr>
      <w:tr w:rsidR="00A95416" w:rsidRPr="002B51C1" w14:paraId="7667C565" w14:textId="77777777" w:rsidTr="005101BC">
        <w:trPr>
          <w:trHeight w:val="300"/>
        </w:trPr>
        <w:tc>
          <w:tcPr>
            <w:tcW w:w="1961" w:type="dxa"/>
            <w:shd w:val="clear" w:color="auto" w:fill="auto"/>
            <w:vAlign w:val="bottom"/>
          </w:tcPr>
          <w:p w14:paraId="001DB86C" w14:textId="77777777" w:rsidR="00A95416" w:rsidRPr="002B51C1" w:rsidRDefault="00A95416" w:rsidP="00327BFD">
            <w:pPr>
              <w:spacing w:before="40"/>
              <w:rPr>
                <w:color w:val="000000"/>
                <w:sz w:val="22"/>
                <w:szCs w:val="22"/>
              </w:rPr>
            </w:pPr>
            <w:r w:rsidRPr="002B51C1">
              <w:rPr>
                <w:color w:val="000000"/>
                <w:sz w:val="22"/>
                <w:szCs w:val="22"/>
              </w:rPr>
              <w:t>Interest rate swap</w:t>
            </w:r>
          </w:p>
        </w:tc>
        <w:tc>
          <w:tcPr>
            <w:tcW w:w="1572" w:type="dxa"/>
            <w:shd w:val="clear" w:color="auto" w:fill="auto"/>
            <w:noWrap/>
            <w:vAlign w:val="bottom"/>
          </w:tcPr>
          <w:p w14:paraId="0F38C68D" w14:textId="77777777" w:rsidR="00A95416" w:rsidRPr="00C31906" w:rsidRDefault="00A95416" w:rsidP="00327BFD">
            <w:pPr>
              <w:spacing w:before="40"/>
              <w:jc w:val="center"/>
              <w:rPr>
                <w:b/>
                <w:bCs/>
                <w:sz w:val="22"/>
                <w:szCs w:val="22"/>
              </w:rPr>
            </w:pPr>
            <w:r>
              <w:rPr>
                <w:color w:val="000000"/>
                <w:sz w:val="22"/>
                <w:szCs w:val="22"/>
              </w:rPr>
              <w:t>3M Euribor</w:t>
            </w:r>
          </w:p>
        </w:tc>
        <w:tc>
          <w:tcPr>
            <w:tcW w:w="1134" w:type="dxa"/>
            <w:shd w:val="clear" w:color="auto" w:fill="auto"/>
            <w:noWrap/>
            <w:vAlign w:val="bottom"/>
          </w:tcPr>
          <w:p w14:paraId="1025D55C" w14:textId="77777777" w:rsidR="00A95416" w:rsidRPr="00C31906" w:rsidRDefault="00A95416" w:rsidP="00327BFD">
            <w:pPr>
              <w:spacing w:before="40"/>
              <w:jc w:val="center"/>
              <w:rPr>
                <w:b/>
                <w:bCs/>
                <w:sz w:val="22"/>
                <w:szCs w:val="22"/>
              </w:rPr>
            </w:pPr>
            <w:r w:rsidRPr="00FB6AD4">
              <w:rPr>
                <w:sz w:val="22"/>
                <w:szCs w:val="22"/>
              </w:rPr>
              <w:t>(0.205%)</w:t>
            </w:r>
          </w:p>
        </w:tc>
        <w:tc>
          <w:tcPr>
            <w:tcW w:w="1701" w:type="dxa"/>
            <w:shd w:val="clear" w:color="auto" w:fill="auto"/>
            <w:noWrap/>
            <w:vAlign w:val="bottom"/>
          </w:tcPr>
          <w:p w14:paraId="1676ECDE" w14:textId="77777777" w:rsidR="00A95416" w:rsidRPr="00C31906" w:rsidRDefault="00A95416" w:rsidP="00327BFD">
            <w:pPr>
              <w:spacing w:before="40"/>
              <w:jc w:val="center"/>
              <w:rPr>
                <w:b/>
                <w:bCs/>
                <w:sz w:val="22"/>
                <w:szCs w:val="22"/>
              </w:rPr>
            </w:pPr>
            <w:r>
              <w:rPr>
                <w:color w:val="000000"/>
                <w:sz w:val="22"/>
                <w:szCs w:val="22"/>
              </w:rPr>
              <w:t>13/08/2026</w:t>
            </w:r>
          </w:p>
        </w:tc>
        <w:tc>
          <w:tcPr>
            <w:tcW w:w="1134" w:type="dxa"/>
            <w:shd w:val="clear" w:color="auto" w:fill="auto"/>
            <w:noWrap/>
            <w:vAlign w:val="bottom"/>
          </w:tcPr>
          <w:p w14:paraId="6B69C064" w14:textId="77777777" w:rsidR="00A95416" w:rsidRPr="00C31906" w:rsidRDefault="00A95416" w:rsidP="00327BFD">
            <w:pPr>
              <w:spacing w:before="40"/>
              <w:jc w:val="right"/>
              <w:rPr>
                <w:b/>
                <w:bCs/>
                <w:sz w:val="22"/>
                <w:szCs w:val="22"/>
                <w:highlight w:val="yellow"/>
              </w:rPr>
            </w:pPr>
            <w:r>
              <w:rPr>
                <w:color w:val="000000"/>
                <w:sz w:val="22"/>
                <w:szCs w:val="22"/>
              </w:rPr>
              <w:t>49,656</w:t>
            </w:r>
          </w:p>
        </w:tc>
        <w:tc>
          <w:tcPr>
            <w:tcW w:w="925" w:type="dxa"/>
            <w:shd w:val="clear" w:color="auto" w:fill="auto"/>
            <w:noWrap/>
            <w:vAlign w:val="bottom"/>
          </w:tcPr>
          <w:p w14:paraId="5306B41E" w14:textId="77777777" w:rsidR="00A95416" w:rsidRPr="00C31906" w:rsidRDefault="00A95416" w:rsidP="00327BFD">
            <w:pPr>
              <w:spacing w:before="40"/>
              <w:jc w:val="right"/>
              <w:rPr>
                <w:b/>
                <w:bCs/>
                <w:sz w:val="22"/>
                <w:szCs w:val="22"/>
                <w:highlight w:val="yellow"/>
              </w:rPr>
            </w:pPr>
            <w:r>
              <w:rPr>
                <w:color w:val="000000"/>
                <w:sz w:val="22"/>
                <w:szCs w:val="22"/>
              </w:rPr>
              <w:t>3,695</w:t>
            </w:r>
          </w:p>
        </w:tc>
        <w:tc>
          <w:tcPr>
            <w:tcW w:w="1134" w:type="dxa"/>
            <w:shd w:val="clear" w:color="auto" w:fill="auto"/>
            <w:noWrap/>
            <w:vAlign w:val="bottom"/>
          </w:tcPr>
          <w:p w14:paraId="4338D59D" w14:textId="77777777" w:rsidR="00A95416" w:rsidRPr="00C31906" w:rsidRDefault="00A95416" w:rsidP="00327BFD">
            <w:pPr>
              <w:spacing w:before="40"/>
              <w:jc w:val="right"/>
              <w:rPr>
                <w:b/>
                <w:bCs/>
                <w:sz w:val="22"/>
                <w:szCs w:val="22"/>
                <w:highlight w:val="yellow"/>
              </w:rPr>
            </w:pPr>
            <w:r>
              <w:rPr>
                <w:color w:val="000000"/>
                <w:sz w:val="22"/>
                <w:szCs w:val="22"/>
              </w:rPr>
              <w:t>2,919</w:t>
            </w:r>
          </w:p>
        </w:tc>
      </w:tr>
      <w:tr w:rsidR="00A95416" w:rsidRPr="002B51C1" w14:paraId="6BE3A2F3" w14:textId="77777777" w:rsidTr="005101BC">
        <w:trPr>
          <w:trHeight w:val="300"/>
        </w:trPr>
        <w:tc>
          <w:tcPr>
            <w:tcW w:w="1961" w:type="dxa"/>
            <w:shd w:val="clear" w:color="auto" w:fill="auto"/>
            <w:vAlign w:val="bottom"/>
          </w:tcPr>
          <w:p w14:paraId="060C99F9" w14:textId="77777777" w:rsidR="00A95416" w:rsidRPr="002B51C1" w:rsidRDefault="00A95416" w:rsidP="00327BFD">
            <w:pPr>
              <w:spacing w:before="40"/>
              <w:rPr>
                <w:color w:val="000000"/>
                <w:sz w:val="22"/>
                <w:szCs w:val="22"/>
              </w:rPr>
            </w:pPr>
            <w:r w:rsidRPr="002B51C1">
              <w:rPr>
                <w:color w:val="000000"/>
                <w:sz w:val="22"/>
                <w:szCs w:val="22"/>
              </w:rPr>
              <w:t>Interest rate swap</w:t>
            </w:r>
          </w:p>
        </w:tc>
        <w:tc>
          <w:tcPr>
            <w:tcW w:w="1572" w:type="dxa"/>
            <w:shd w:val="clear" w:color="auto" w:fill="auto"/>
            <w:noWrap/>
            <w:vAlign w:val="bottom"/>
          </w:tcPr>
          <w:p w14:paraId="2C7B96B0" w14:textId="77777777" w:rsidR="00A95416" w:rsidRPr="00C31906" w:rsidRDefault="00A95416" w:rsidP="00327BFD">
            <w:pPr>
              <w:spacing w:before="40"/>
              <w:jc w:val="center"/>
              <w:rPr>
                <w:b/>
                <w:bCs/>
                <w:sz w:val="22"/>
                <w:szCs w:val="22"/>
              </w:rPr>
            </w:pPr>
            <w:r>
              <w:rPr>
                <w:color w:val="000000"/>
                <w:sz w:val="22"/>
                <w:szCs w:val="22"/>
              </w:rPr>
              <w:t>3M Euribor</w:t>
            </w:r>
          </w:p>
        </w:tc>
        <w:tc>
          <w:tcPr>
            <w:tcW w:w="1134" w:type="dxa"/>
            <w:shd w:val="clear" w:color="auto" w:fill="auto"/>
            <w:noWrap/>
            <w:vAlign w:val="bottom"/>
          </w:tcPr>
          <w:p w14:paraId="1C509E61" w14:textId="77777777" w:rsidR="00A95416" w:rsidRPr="00C31906" w:rsidRDefault="00A95416" w:rsidP="00327BFD">
            <w:pPr>
              <w:spacing w:before="40"/>
              <w:jc w:val="center"/>
              <w:rPr>
                <w:b/>
                <w:bCs/>
                <w:sz w:val="22"/>
                <w:szCs w:val="22"/>
              </w:rPr>
            </w:pPr>
            <w:r w:rsidRPr="00FB6AD4">
              <w:rPr>
                <w:sz w:val="22"/>
                <w:szCs w:val="22"/>
              </w:rPr>
              <w:t>(0.205%)</w:t>
            </w:r>
          </w:p>
        </w:tc>
        <w:tc>
          <w:tcPr>
            <w:tcW w:w="1701" w:type="dxa"/>
            <w:shd w:val="clear" w:color="auto" w:fill="auto"/>
            <w:noWrap/>
            <w:vAlign w:val="bottom"/>
          </w:tcPr>
          <w:p w14:paraId="5BD8AACE" w14:textId="77777777" w:rsidR="00A95416" w:rsidRPr="00C31906" w:rsidRDefault="00A95416" w:rsidP="00327BFD">
            <w:pPr>
              <w:spacing w:before="40"/>
              <w:jc w:val="center"/>
              <w:rPr>
                <w:b/>
                <w:bCs/>
                <w:sz w:val="22"/>
                <w:szCs w:val="22"/>
              </w:rPr>
            </w:pPr>
            <w:r>
              <w:rPr>
                <w:color w:val="000000"/>
                <w:sz w:val="22"/>
                <w:szCs w:val="22"/>
              </w:rPr>
              <w:t>13/08/2026</w:t>
            </w:r>
          </w:p>
        </w:tc>
        <w:tc>
          <w:tcPr>
            <w:tcW w:w="1134" w:type="dxa"/>
            <w:shd w:val="clear" w:color="auto" w:fill="auto"/>
            <w:noWrap/>
            <w:vAlign w:val="bottom"/>
          </w:tcPr>
          <w:p w14:paraId="221D8A30" w14:textId="77777777" w:rsidR="00A95416" w:rsidRPr="00C31906" w:rsidRDefault="00A95416" w:rsidP="00327BFD">
            <w:pPr>
              <w:spacing w:before="40"/>
              <w:jc w:val="right"/>
              <w:rPr>
                <w:b/>
                <w:bCs/>
                <w:sz w:val="22"/>
                <w:szCs w:val="22"/>
                <w:highlight w:val="yellow"/>
              </w:rPr>
            </w:pPr>
            <w:r>
              <w:rPr>
                <w:color w:val="000000"/>
                <w:sz w:val="22"/>
                <w:szCs w:val="22"/>
              </w:rPr>
              <w:t>29,424</w:t>
            </w:r>
          </w:p>
        </w:tc>
        <w:tc>
          <w:tcPr>
            <w:tcW w:w="925" w:type="dxa"/>
            <w:shd w:val="clear" w:color="auto" w:fill="auto"/>
            <w:noWrap/>
            <w:vAlign w:val="bottom"/>
          </w:tcPr>
          <w:p w14:paraId="624B15BF" w14:textId="77777777" w:rsidR="00A95416" w:rsidRPr="00C31906" w:rsidRDefault="00A95416" w:rsidP="00327BFD">
            <w:pPr>
              <w:spacing w:before="40"/>
              <w:jc w:val="right"/>
              <w:rPr>
                <w:b/>
                <w:bCs/>
                <w:sz w:val="22"/>
                <w:szCs w:val="22"/>
                <w:highlight w:val="yellow"/>
              </w:rPr>
            </w:pPr>
            <w:r>
              <w:rPr>
                <w:color w:val="000000"/>
                <w:sz w:val="22"/>
                <w:szCs w:val="22"/>
              </w:rPr>
              <w:t>2,197</w:t>
            </w:r>
          </w:p>
        </w:tc>
        <w:tc>
          <w:tcPr>
            <w:tcW w:w="1134" w:type="dxa"/>
            <w:shd w:val="clear" w:color="auto" w:fill="auto"/>
            <w:noWrap/>
            <w:vAlign w:val="bottom"/>
          </w:tcPr>
          <w:p w14:paraId="758E3712" w14:textId="77777777" w:rsidR="00A95416" w:rsidRPr="00C31906" w:rsidRDefault="00A95416" w:rsidP="00327BFD">
            <w:pPr>
              <w:spacing w:before="40"/>
              <w:jc w:val="right"/>
              <w:rPr>
                <w:b/>
                <w:bCs/>
                <w:sz w:val="22"/>
                <w:szCs w:val="22"/>
                <w:highlight w:val="yellow"/>
              </w:rPr>
            </w:pPr>
            <w:r>
              <w:rPr>
                <w:color w:val="000000"/>
                <w:sz w:val="22"/>
                <w:szCs w:val="22"/>
              </w:rPr>
              <w:t>1,736</w:t>
            </w:r>
          </w:p>
        </w:tc>
      </w:tr>
      <w:tr w:rsidR="00A95416" w:rsidRPr="002B51C1" w14:paraId="1FD59CDB" w14:textId="77777777" w:rsidTr="005101BC">
        <w:trPr>
          <w:trHeight w:val="300"/>
        </w:trPr>
        <w:tc>
          <w:tcPr>
            <w:tcW w:w="1961" w:type="dxa"/>
            <w:shd w:val="clear" w:color="auto" w:fill="auto"/>
            <w:vAlign w:val="bottom"/>
          </w:tcPr>
          <w:p w14:paraId="16EF3665" w14:textId="77777777" w:rsidR="00A95416" w:rsidRPr="002B51C1" w:rsidRDefault="00A95416" w:rsidP="00327BFD">
            <w:pPr>
              <w:spacing w:before="40"/>
              <w:rPr>
                <w:color w:val="000000"/>
                <w:sz w:val="22"/>
                <w:szCs w:val="22"/>
              </w:rPr>
            </w:pPr>
            <w:r w:rsidRPr="002B51C1">
              <w:rPr>
                <w:color w:val="000000"/>
                <w:sz w:val="22"/>
                <w:szCs w:val="22"/>
              </w:rPr>
              <w:t>Interest rate swap</w:t>
            </w:r>
          </w:p>
        </w:tc>
        <w:tc>
          <w:tcPr>
            <w:tcW w:w="1572" w:type="dxa"/>
            <w:shd w:val="clear" w:color="auto" w:fill="auto"/>
            <w:noWrap/>
            <w:vAlign w:val="bottom"/>
          </w:tcPr>
          <w:p w14:paraId="72068CBE" w14:textId="77777777" w:rsidR="00A95416" w:rsidRPr="00C31906" w:rsidRDefault="00A95416" w:rsidP="00327BFD">
            <w:pPr>
              <w:spacing w:before="40"/>
              <w:jc w:val="center"/>
              <w:rPr>
                <w:b/>
                <w:bCs/>
                <w:sz w:val="22"/>
                <w:szCs w:val="22"/>
              </w:rPr>
            </w:pPr>
            <w:r>
              <w:rPr>
                <w:color w:val="000000"/>
                <w:sz w:val="22"/>
                <w:szCs w:val="22"/>
              </w:rPr>
              <w:t>3M Euribor</w:t>
            </w:r>
          </w:p>
        </w:tc>
        <w:tc>
          <w:tcPr>
            <w:tcW w:w="1134" w:type="dxa"/>
            <w:shd w:val="clear" w:color="auto" w:fill="auto"/>
            <w:noWrap/>
            <w:vAlign w:val="bottom"/>
          </w:tcPr>
          <w:p w14:paraId="00523CE1" w14:textId="77777777" w:rsidR="00A95416" w:rsidRPr="00C31906" w:rsidRDefault="00A95416" w:rsidP="00327BFD">
            <w:pPr>
              <w:spacing w:before="40"/>
              <w:jc w:val="center"/>
              <w:rPr>
                <w:b/>
                <w:bCs/>
                <w:sz w:val="22"/>
                <w:szCs w:val="22"/>
              </w:rPr>
            </w:pPr>
            <w:r>
              <w:rPr>
                <w:color w:val="000000"/>
                <w:sz w:val="22"/>
                <w:szCs w:val="22"/>
              </w:rPr>
              <w:t>1.43%</w:t>
            </w:r>
          </w:p>
        </w:tc>
        <w:tc>
          <w:tcPr>
            <w:tcW w:w="1701" w:type="dxa"/>
            <w:shd w:val="clear" w:color="auto" w:fill="auto"/>
            <w:noWrap/>
            <w:vAlign w:val="bottom"/>
          </w:tcPr>
          <w:p w14:paraId="6DF62DEC" w14:textId="77777777" w:rsidR="00A95416" w:rsidRPr="00C31906" w:rsidRDefault="00A95416" w:rsidP="00327BFD">
            <w:pPr>
              <w:spacing w:before="40"/>
              <w:jc w:val="center"/>
              <w:rPr>
                <w:b/>
                <w:bCs/>
                <w:sz w:val="22"/>
                <w:szCs w:val="22"/>
              </w:rPr>
            </w:pPr>
            <w:r>
              <w:rPr>
                <w:color w:val="000000"/>
                <w:sz w:val="22"/>
                <w:szCs w:val="22"/>
              </w:rPr>
              <w:t>26/11/2026</w:t>
            </w:r>
          </w:p>
        </w:tc>
        <w:tc>
          <w:tcPr>
            <w:tcW w:w="1134" w:type="dxa"/>
            <w:shd w:val="clear" w:color="auto" w:fill="auto"/>
            <w:noWrap/>
            <w:vAlign w:val="bottom"/>
          </w:tcPr>
          <w:p w14:paraId="184C9AB1" w14:textId="77777777" w:rsidR="00A95416" w:rsidRPr="00C31906" w:rsidRDefault="00A95416" w:rsidP="00327BFD">
            <w:pPr>
              <w:spacing w:before="40"/>
              <w:jc w:val="right"/>
              <w:rPr>
                <w:b/>
                <w:bCs/>
                <w:sz w:val="22"/>
                <w:szCs w:val="22"/>
                <w:highlight w:val="yellow"/>
              </w:rPr>
            </w:pPr>
            <w:r>
              <w:rPr>
                <w:color w:val="000000"/>
                <w:sz w:val="22"/>
                <w:szCs w:val="22"/>
              </w:rPr>
              <w:t>17,330</w:t>
            </w:r>
          </w:p>
        </w:tc>
        <w:tc>
          <w:tcPr>
            <w:tcW w:w="925" w:type="dxa"/>
            <w:shd w:val="clear" w:color="auto" w:fill="auto"/>
            <w:noWrap/>
            <w:vAlign w:val="bottom"/>
          </w:tcPr>
          <w:p w14:paraId="4DD74600" w14:textId="77777777" w:rsidR="00A95416" w:rsidRPr="00C31906" w:rsidRDefault="00A95416" w:rsidP="00327BFD">
            <w:pPr>
              <w:spacing w:before="40"/>
              <w:jc w:val="right"/>
              <w:rPr>
                <w:b/>
                <w:bCs/>
                <w:sz w:val="22"/>
                <w:szCs w:val="22"/>
                <w:highlight w:val="yellow"/>
              </w:rPr>
            </w:pPr>
            <w:r>
              <w:rPr>
                <w:color w:val="000000"/>
                <w:sz w:val="22"/>
                <w:szCs w:val="22"/>
              </w:rPr>
              <w:t>593</w:t>
            </w:r>
          </w:p>
        </w:tc>
        <w:tc>
          <w:tcPr>
            <w:tcW w:w="1134" w:type="dxa"/>
            <w:shd w:val="clear" w:color="auto" w:fill="auto"/>
            <w:noWrap/>
            <w:vAlign w:val="bottom"/>
          </w:tcPr>
          <w:p w14:paraId="56A555B3" w14:textId="77777777" w:rsidR="00A95416" w:rsidRPr="00C31906" w:rsidRDefault="00A95416" w:rsidP="00327BFD">
            <w:pPr>
              <w:spacing w:before="40"/>
              <w:jc w:val="right"/>
              <w:rPr>
                <w:b/>
                <w:bCs/>
                <w:sz w:val="22"/>
                <w:szCs w:val="22"/>
                <w:highlight w:val="yellow"/>
              </w:rPr>
            </w:pPr>
            <w:r>
              <w:rPr>
                <w:color w:val="000000"/>
                <w:sz w:val="22"/>
                <w:szCs w:val="22"/>
              </w:rPr>
              <w:t>469</w:t>
            </w:r>
          </w:p>
        </w:tc>
      </w:tr>
      <w:tr w:rsidR="00A95416" w:rsidRPr="002B51C1" w14:paraId="5FCDD49B" w14:textId="77777777" w:rsidTr="005101BC">
        <w:trPr>
          <w:trHeight w:val="300"/>
        </w:trPr>
        <w:tc>
          <w:tcPr>
            <w:tcW w:w="1961" w:type="dxa"/>
            <w:shd w:val="clear" w:color="auto" w:fill="auto"/>
            <w:vAlign w:val="bottom"/>
          </w:tcPr>
          <w:p w14:paraId="60EF3574" w14:textId="77777777" w:rsidR="00A95416" w:rsidRPr="002B51C1" w:rsidRDefault="00A95416" w:rsidP="00327BFD">
            <w:pPr>
              <w:spacing w:before="40"/>
              <w:rPr>
                <w:color w:val="000000"/>
                <w:sz w:val="22"/>
                <w:szCs w:val="22"/>
              </w:rPr>
            </w:pPr>
            <w:r w:rsidRPr="002B51C1">
              <w:rPr>
                <w:color w:val="000000"/>
                <w:sz w:val="22"/>
                <w:szCs w:val="22"/>
              </w:rPr>
              <w:t>Interest rate swap</w:t>
            </w:r>
          </w:p>
        </w:tc>
        <w:tc>
          <w:tcPr>
            <w:tcW w:w="1572" w:type="dxa"/>
            <w:shd w:val="clear" w:color="auto" w:fill="auto"/>
            <w:noWrap/>
            <w:vAlign w:val="bottom"/>
          </w:tcPr>
          <w:p w14:paraId="53E2904F" w14:textId="77777777" w:rsidR="00A95416" w:rsidRPr="00C31906" w:rsidRDefault="00A95416" w:rsidP="00327BFD">
            <w:pPr>
              <w:spacing w:before="40"/>
              <w:jc w:val="center"/>
              <w:rPr>
                <w:b/>
                <w:bCs/>
                <w:sz w:val="22"/>
                <w:szCs w:val="22"/>
              </w:rPr>
            </w:pPr>
            <w:r>
              <w:rPr>
                <w:color w:val="000000"/>
                <w:sz w:val="22"/>
                <w:szCs w:val="22"/>
              </w:rPr>
              <w:t>3M Euribor</w:t>
            </w:r>
          </w:p>
        </w:tc>
        <w:tc>
          <w:tcPr>
            <w:tcW w:w="1134" w:type="dxa"/>
            <w:shd w:val="clear" w:color="auto" w:fill="auto"/>
            <w:noWrap/>
            <w:vAlign w:val="bottom"/>
          </w:tcPr>
          <w:p w14:paraId="35C7197E" w14:textId="77777777" w:rsidR="00A95416" w:rsidRPr="00C31906" w:rsidRDefault="00A95416" w:rsidP="00327BFD">
            <w:pPr>
              <w:spacing w:before="40"/>
              <w:jc w:val="center"/>
              <w:rPr>
                <w:b/>
                <w:bCs/>
                <w:sz w:val="22"/>
                <w:szCs w:val="22"/>
              </w:rPr>
            </w:pPr>
            <w:r>
              <w:rPr>
                <w:color w:val="000000"/>
                <w:sz w:val="22"/>
                <w:szCs w:val="22"/>
              </w:rPr>
              <w:t>3.22%</w:t>
            </w:r>
          </w:p>
        </w:tc>
        <w:tc>
          <w:tcPr>
            <w:tcW w:w="1701" w:type="dxa"/>
            <w:shd w:val="clear" w:color="auto" w:fill="auto"/>
            <w:noWrap/>
            <w:vAlign w:val="bottom"/>
          </w:tcPr>
          <w:p w14:paraId="3229B4BE" w14:textId="77777777" w:rsidR="00A95416" w:rsidRPr="00C31906" w:rsidRDefault="00A95416" w:rsidP="00327BFD">
            <w:pPr>
              <w:spacing w:before="40"/>
              <w:jc w:val="center"/>
              <w:rPr>
                <w:b/>
                <w:bCs/>
                <w:sz w:val="22"/>
                <w:szCs w:val="22"/>
              </w:rPr>
            </w:pPr>
            <w:r>
              <w:rPr>
                <w:color w:val="000000"/>
                <w:sz w:val="22"/>
                <w:szCs w:val="22"/>
              </w:rPr>
              <w:t>02/10/2028</w:t>
            </w:r>
          </w:p>
        </w:tc>
        <w:tc>
          <w:tcPr>
            <w:tcW w:w="1134" w:type="dxa"/>
            <w:shd w:val="clear" w:color="auto" w:fill="auto"/>
            <w:noWrap/>
            <w:vAlign w:val="bottom"/>
          </w:tcPr>
          <w:p w14:paraId="050798D2" w14:textId="77777777" w:rsidR="00A95416" w:rsidRPr="00C31906" w:rsidRDefault="00A95416" w:rsidP="00327BFD">
            <w:pPr>
              <w:spacing w:before="40"/>
              <w:jc w:val="right"/>
              <w:rPr>
                <w:b/>
                <w:bCs/>
                <w:sz w:val="22"/>
                <w:szCs w:val="22"/>
                <w:highlight w:val="yellow"/>
              </w:rPr>
            </w:pPr>
            <w:r>
              <w:rPr>
                <w:color w:val="000000"/>
                <w:sz w:val="22"/>
                <w:szCs w:val="22"/>
              </w:rPr>
              <w:t>19,180</w:t>
            </w:r>
          </w:p>
        </w:tc>
        <w:tc>
          <w:tcPr>
            <w:tcW w:w="925" w:type="dxa"/>
            <w:shd w:val="clear" w:color="auto" w:fill="auto"/>
            <w:noWrap/>
            <w:vAlign w:val="bottom"/>
          </w:tcPr>
          <w:p w14:paraId="0F7E61D2" w14:textId="77777777" w:rsidR="00A95416" w:rsidRPr="00C31906" w:rsidRDefault="00A95416" w:rsidP="00327BFD">
            <w:pPr>
              <w:spacing w:before="40"/>
              <w:jc w:val="right"/>
              <w:rPr>
                <w:b/>
                <w:bCs/>
                <w:sz w:val="22"/>
                <w:szCs w:val="22"/>
                <w:highlight w:val="yellow"/>
              </w:rPr>
            </w:pPr>
            <w:r>
              <w:rPr>
                <w:color w:val="000000"/>
                <w:sz w:val="22"/>
                <w:szCs w:val="22"/>
              </w:rPr>
              <w:t>(730)</w:t>
            </w:r>
          </w:p>
        </w:tc>
        <w:tc>
          <w:tcPr>
            <w:tcW w:w="1134" w:type="dxa"/>
            <w:shd w:val="clear" w:color="auto" w:fill="auto"/>
            <w:noWrap/>
            <w:vAlign w:val="bottom"/>
          </w:tcPr>
          <w:p w14:paraId="7E7B6B3C" w14:textId="77777777" w:rsidR="00A95416" w:rsidRPr="00C31906" w:rsidRDefault="00A95416" w:rsidP="00327BFD">
            <w:pPr>
              <w:spacing w:before="40"/>
              <w:jc w:val="right"/>
              <w:rPr>
                <w:b/>
                <w:bCs/>
                <w:sz w:val="22"/>
                <w:szCs w:val="22"/>
                <w:highlight w:val="yellow"/>
              </w:rPr>
            </w:pPr>
            <w:r>
              <w:rPr>
                <w:color w:val="000000"/>
                <w:sz w:val="22"/>
                <w:szCs w:val="22"/>
              </w:rPr>
              <w:t>(576)</w:t>
            </w:r>
          </w:p>
        </w:tc>
      </w:tr>
      <w:tr w:rsidR="00A95416" w:rsidRPr="002B51C1" w14:paraId="69326ACD" w14:textId="77777777" w:rsidTr="005101BC">
        <w:trPr>
          <w:trHeight w:val="300"/>
        </w:trPr>
        <w:tc>
          <w:tcPr>
            <w:tcW w:w="1961" w:type="dxa"/>
            <w:shd w:val="clear" w:color="auto" w:fill="auto"/>
            <w:vAlign w:val="bottom"/>
          </w:tcPr>
          <w:p w14:paraId="7662293A" w14:textId="77777777" w:rsidR="00A95416" w:rsidRPr="002B51C1" w:rsidRDefault="00A95416" w:rsidP="00327BFD">
            <w:pPr>
              <w:spacing w:before="40"/>
              <w:rPr>
                <w:color w:val="000000"/>
                <w:sz w:val="22"/>
                <w:szCs w:val="22"/>
              </w:rPr>
            </w:pPr>
            <w:r w:rsidRPr="002B51C1">
              <w:rPr>
                <w:color w:val="000000"/>
                <w:sz w:val="22"/>
                <w:szCs w:val="22"/>
              </w:rPr>
              <w:t>Interest rate swap</w:t>
            </w:r>
          </w:p>
        </w:tc>
        <w:tc>
          <w:tcPr>
            <w:tcW w:w="1572" w:type="dxa"/>
            <w:shd w:val="clear" w:color="auto" w:fill="auto"/>
            <w:noWrap/>
            <w:vAlign w:val="bottom"/>
          </w:tcPr>
          <w:p w14:paraId="2ED49DFE" w14:textId="77777777" w:rsidR="00A95416" w:rsidRPr="00C31906" w:rsidRDefault="00A95416" w:rsidP="00327BFD">
            <w:pPr>
              <w:spacing w:before="40"/>
              <w:jc w:val="center"/>
              <w:rPr>
                <w:b/>
                <w:bCs/>
                <w:sz w:val="22"/>
                <w:szCs w:val="22"/>
              </w:rPr>
            </w:pPr>
            <w:r>
              <w:rPr>
                <w:color w:val="000000"/>
                <w:sz w:val="22"/>
                <w:szCs w:val="22"/>
              </w:rPr>
              <w:t>3M Euribor</w:t>
            </w:r>
          </w:p>
        </w:tc>
        <w:tc>
          <w:tcPr>
            <w:tcW w:w="1134" w:type="dxa"/>
            <w:shd w:val="clear" w:color="auto" w:fill="auto"/>
            <w:noWrap/>
            <w:vAlign w:val="bottom"/>
          </w:tcPr>
          <w:p w14:paraId="2DBDDFEF" w14:textId="77777777" w:rsidR="00A95416" w:rsidRPr="00C31906" w:rsidRDefault="00A95416" w:rsidP="00327BFD">
            <w:pPr>
              <w:spacing w:before="40"/>
              <w:jc w:val="center"/>
              <w:rPr>
                <w:b/>
                <w:bCs/>
                <w:sz w:val="22"/>
                <w:szCs w:val="22"/>
              </w:rPr>
            </w:pPr>
            <w:r>
              <w:rPr>
                <w:color w:val="000000"/>
                <w:sz w:val="22"/>
                <w:szCs w:val="22"/>
              </w:rPr>
              <w:t>3.30%</w:t>
            </w:r>
          </w:p>
        </w:tc>
        <w:tc>
          <w:tcPr>
            <w:tcW w:w="1701" w:type="dxa"/>
            <w:shd w:val="clear" w:color="auto" w:fill="auto"/>
            <w:noWrap/>
            <w:vAlign w:val="bottom"/>
          </w:tcPr>
          <w:p w14:paraId="68449250" w14:textId="77777777" w:rsidR="00A95416" w:rsidRPr="00C31906" w:rsidRDefault="00A95416" w:rsidP="00327BFD">
            <w:pPr>
              <w:spacing w:before="40"/>
              <w:jc w:val="center"/>
              <w:rPr>
                <w:b/>
                <w:bCs/>
                <w:sz w:val="22"/>
                <w:szCs w:val="22"/>
              </w:rPr>
            </w:pPr>
            <w:r>
              <w:rPr>
                <w:color w:val="000000"/>
                <w:sz w:val="22"/>
                <w:szCs w:val="22"/>
              </w:rPr>
              <w:t>02/10/2028</w:t>
            </w:r>
          </w:p>
        </w:tc>
        <w:tc>
          <w:tcPr>
            <w:tcW w:w="1134" w:type="dxa"/>
            <w:shd w:val="clear" w:color="auto" w:fill="auto"/>
            <w:noWrap/>
            <w:vAlign w:val="bottom"/>
          </w:tcPr>
          <w:p w14:paraId="29ADF3A3" w14:textId="77777777" w:rsidR="00A95416" w:rsidRPr="00C31906" w:rsidRDefault="00A95416" w:rsidP="00327BFD">
            <w:pPr>
              <w:spacing w:before="40"/>
              <w:jc w:val="right"/>
              <w:rPr>
                <w:b/>
                <w:bCs/>
                <w:sz w:val="22"/>
                <w:szCs w:val="22"/>
                <w:highlight w:val="yellow"/>
              </w:rPr>
            </w:pPr>
            <w:r>
              <w:rPr>
                <w:color w:val="000000"/>
                <w:sz w:val="22"/>
                <w:szCs w:val="22"/>
              </w:rPr>
              <w:t>16,926</w:t>
            </w:r>
          </w:p>
        </w:tc>
        <w:tc>
          <w:tcPr>
            <w:tcW w:w="925" w:type="dxa"/>
            <w:shd w:val="clear" w:color="auto" w:fill="auto"/>
            <w:noWrap/>
            <w:vAlign w:val="bottom"/>
          </w:tcPr>
          <w:p w14:paraId="11686F43" w14:textId="77777777" w:rsidR="00A95416" w:rsidRPr="00C31906" w:rsidRDefault="00A95416" w:rsidP="00327BFD">
            <w:pPr>
              <w:spacing w:before="40"/>
              <w:jc w:val="right"/>
              <w:rPr>
                <w:b/>
                <w:bCs/>
                <w:sz w:val="22"/>
                <w:szCs w:val="22"/>
                <w:highlight w:val="yellow"/>
              </w:rPr>
            </w:pPr>
            <w:r>
              <w:rPr>
                <w:color w:val="000000"/>
                <w:sz w:val="22"/>
                <w:szCs w:val="22"/>
              </w:rPr>
              <w:t>(701)</w:t>
            </w:r>
          </w:p>
        </w:tc>
        <w:tc>
          <w:tcPr>
            <w:tcW w:w="1134" w:type="dxa"/>
            <w:shd w:val="clear" w:color="auto" w:fill="auto"/>
            <w:noWrap/>
            <w:vAlign w:val="bottom"/>
          </w:tcPr>
          <w:p w14:paraId="6E8115E8" w14:textId="77777777" w:rsidR="00A95416" w:rsidRPr="00C31906" w:rsidRDefault="00A95416" w:rsidP="00327BFD">
            <w:pPr>
              <w:spacing w:before="40"/>
              <w:jc w:val="right"/>
              <w:rPr>
                <w:b/>
                <w:bCs/>
                <w:sz w:val="22"/>
                <w:szCs w:val="22"/>
                <w:highlight w:val="yellow"/>
              </w:rPr>
            </w:pPr>
            <w:r>
              <w:rPr>
                <w:color w:val="000000"/>
                <w:sz w:val="22"/>
                <w:szCs w:val="22"/>
              </w:rPr>
              <w:t>(554)</w:t>
            </w:r>
          </w:p>
        </w:tc>
      </w:tr>
      <w:tr w:rsidR="00A95416" w:rsidRPr="002B51C1" w14:paraId="405C4CE7" w14:textId="77777777" w:rsidTr="005101BC">
        <w:trPr>
          <w:trHeight w:val="300"/>
        </w:trPr>
        <w:tc>
          <w:tcPr>
            <w:tcW w:w="1961" w:type="dxa"/>
            <w:shd w:val="clear" w:color="auto" w:fill="auto"/>
            <w:vAlign w:val="bottom"/>
          </w:tcPr>
          <w:p w14:paraId="4E382EB0" w14:textId="77777777" w:rsidR="00A95416" w:rsidRPr="002B51C1" w:rsidRDefault="00A95416" w:rsidP="00327BFD">
            <w:pPr>
              <w:spacing w:before="40"/>
              <w:rPr>
                <w:color w:val="000000"/>
                <w:sz w:val="22"/>
                <w:szCs w:val="22"/>
              </w:rPr>
            </w:pPr>
            <w:r w:rsidRPr="002B51C1">
              <w:rPr>
                <w:color w:val="000000"/>
                <w:sz w:val="22"/>
                <w:szCs w:val="22"/>
              </w:rPr>
              <w:t>Interest rate swap</w:t>
            </w:r>
          </w:p>
        </w:tc>
        <w:tc>
          <w:tcPr>
            <w:tcW w:w="1572" w:type="dxa"/>
            <w:shd w:val="clear" w:color="auto" w:fill="auto"/>
            <w:noWrap/>
            <w:vAlign w:val="bottom"/>
          </w:tcPr>
          <w:p w14:paraId="5C63E536" w14:textId="77777777" w:rsidR="00A95416" w:rsidRPr="00C31906" w:rsidRDefault="00A95416" w:rsidP="00327BFD">
            <w:pPr>
              <w:spacing w:before="40"/>
              <w:jc w:val="center"/>
              <w:rPr>
                <w:b/>
                <w:bCs/>
                <w:sz w:val="22"/>
                <w:szCs w:val="22"/>
              </w:rPr>
            </w:pPr>
            <w:r>
              <w:rPr>
                <w:color w:val="000000"/>
                <w:sz w:val="22"/>
                <w:szCs w:val="22"/>
              </w:rPr>
              <w:t>3M Euribor</w:t>
            </w:r>
          </w:p>
        </w:tc>
        <w:tc>
          <w:tcPr>
            <w:tcW w:w="1134" w:type="dxa"/>
            <w:shd w:val="clear" w:color="auto" w:fill="auto"/>
            <w:noWrap/>
            <w:vAlign w:val="bottom"/>
          </w:tcPr>
          <w:p w14:paraId="7F5D2932" w14:textId="77777777" w:rsidR="00A95416" w:rsidRPr="00C31906" w:rsidRDefault="00A95416" w:rsidP="00327BFD">
            <w:pPr>
              <w:spacing w:before="40"/>
              <w:jc w:val="center"/>
              <w:rPr>
                <w:b/>
                <w:bCs/>
                <w:sz w:val="22"/>
                <w:szCs w:val="22"/>
              </w:rPr>
            </w:pPr>
            <w:r>
              <w:rPr>
                <w:color w:val="000000"/>
                <w:sz w:val="22"/>
                <w:szCs w:val="22"/>
              </w:rPr>
              <w:t>3.30%</w:t>
            </w:r>
          </w:p>
        </w:tc>
        <w:tc>
          <w:tcPr>
            <w:tcW w:w="1701" w:type="dxa"/>
            <w:shd w:val="clear" w:color="auto" w:fill="auto"/>
            <w:noWrap/>
            <w:vAlign w:val="bottom"/>
          </w:tcPr>
          <w:p w14:paraId="3402688A" w14:textId="77777777" w:rsidR="00A95416" w:rsidRPr="00C31906" w:rsidRDefault="00A95416" w:rsidP="00327BFD">
            <w:pPr>
              <w:spacing w:before="40"/>
              <w:jc w:val="center"/>
              <w:rPr>
                <w:b/>
                <w:bCs/>
                <w:sz w:val="22"/>
                <w:szCs w:val="22"/>
              </w:rPr>
            </w:pPr>
            <w:r>
              <w:rPr>
                <w:color w:val="000000"/>
                <w:sz w:val="22"/>
                <w:szCs w:val="22"/>
              </w:rPr>
              <w:t>02/10/2028</w:t>
            </w:r>
          </w:p>
        </w:tc>
        <w:tc>
          <w:tcPr>
            <w:tcW w:w="1134" w:type="dxa"/>
            <w:shd w:val="clear" w:color="auto" w:fill="auto"/>
            <w:noWrap/>
            <w:vAlign w:val="bottom"/>
          </w:tcPr>
          <w:p w14:paraId="5B7135E5" w14:textId="77777777" w:rsidR="00A95416" w:rsidRPr="00C31906" w:rsidRDefault="00A95416" w:rsidP="00327BFD">
            <w:pPr>
              <w:spacing w:before="40"/>
              <w:jc w:val="right"/>
              <w:rPr>
                <w:b/>
                <w:bCs/>
                <w:sz w:val="22"/>
                <w:szCs w:val="22"/>
                <w:highlight w:val="yellow"/>
              </w:rPr>
            </w:pPr>
            <w:r>
              <w:rPr>
                <w:color w:val="000000"/>
                <w:sz w:val="22"/>
                <w:szCs w:val="22"/>
              </w:rPr>
              <w:t>5,355</w:t>
            </w:r>
          </w:p>
        </w:tc>
        <w:tc>
          <w:tcPr>
            <w:tcW w:w="925" w:type="dxa"/>
            <w:shd w:val="clear" w:color="auto" w:fill="auto"/>
            <w:noWrap/>
            <w:vAlign w:val="bottom"/>
          </w:tcPr>
          <w:p w14:paraId="212D8223" w14:textId="77777777" w:rsidR="00A95416" w:rsidRPr="00C31906" w:rsidRDefault="00A95416" w:rsidP="00327BFD">
            <w:pPr>
              <w:spacing w:before="40"/>
              <w:jc w:val="right"/>
              <w:rPr>
                <w:b/>
                <w:bCs/>
                <w:sz w:val="22"/>
                <w:szCs w:val="22"/>
                <w:highlight w:val="yellow"/>
              </w:rPr>
            </w:pPr>
            <w:r>
              <w:rPr>
                <w:color w:val="000000"/>
                <w:sz w:val="22"/>
                <w:szCs w:val="22"/>
              </w:rPr>
              <w:t>(224)</w:t>
            </w:r>
          </w:p>
        </w:tc>
        <w:tc>
          <w:tcPr>
            <w:tcW w:w="1134" w:type="dxa"/>
            <w:shd w:val="clear" w:color="auto" w:fill="auto"/>
            <w:noWrap/>
            <w:vAlign w:val="bottom"/>
          </w:tcPr>
          <w:p w14:paraId="69E63A6D" w14:textId="77777777" w:rsidR="00A95416" w:rsidRPr="00C31906" w:rsidRDefault="00A95416" w:rsidP="00327BFD">
            <w:pPr>
              <w:spacing w:before="40"/>
              <w:jc w:val="right"/>
              <w:rPr>
                <w:b/>
                <w:bCs/>
                <w:sz w:val="22"/>
                <w:szCs w:val="22"/>
                <w:highlight w:val="yellow"/>
              </w:rPr>
            </w:pPr>
            <w:r>
              <w:rPr>
                <w:color w:val="000000"/>
                <w:sz w:val="22"/>
                <w:szCs w:val="22"/>
              </w:rPr>
              <w:t>(177)</w:t>
            </w:r>
          </w:p>
        </w:tc>
      </w:tr>
      <w:tr w:rsidR="00A95416" w:rsidRPr="002B51C1" w14:paraId="1EBBC2EF" w14:textId="77777777" w:rsidTr="005101BC">
        <w:trPr>
          <w:trHeight w:val="300"/>
        </w:trPr>
        <w:tc>
          <w:tcPr>
            <w:tcW w:w="1961" w:type="dxa"/>
            <w:shd w:val="clear" w:color="auto" w:fill="auto"/>
            <w:vAlign w:val="bottom"/>
          </w:tcPr>
          <w:p w14:paraId="2FFF0393" w14:textId="77777777" w:rsidR="00A95416" w:rsidRPr="002B51C1" w:rsidRDefault="00A95416" w:rsidP="00327BFD">
            <w:pPr>
              <w:spacing w:before="40"/>
              <w:rPr>
                <w:color w:val="000000"/>
                <w:sz w:val="22"/>
                <w:szCs w:val="22"/>
              </w:rPr>
            </w:pPr>
            <w:r>
              <w:rPr>
                <w:color w:val="000000"/>
                <w:sz w:val="22"/>
                <w:szCs w:val="22"/>
              </w:rPr>
              <w:t>Interest rate cap</w:t>
            </w:r>
          </w:p>
        </w:tc>
        <w:tc>
          <w:tcPr>
            <w:tcW w:w="1572" w:type="dxa"/>
            <w:shd w:val="clear" w:color="auto" w:fill="auto"/>
            <w:noWrap/>
            <w:vAlign w:val="bottom"/>
          </w:tcPr>
          <w:p w14:paraId="6538E715" w14:textId="77777777" w:rsidR="00A95416" w:rsidRDefault="00A95416" w:rsidP="00327BFD">
            <w:pPr>
              <w:spacing w:before="40"/>
              <w:jc w:val="center"/>
              <w:rPr>
                <w:color w:val="000000"/>
                <w:sz w:val="22"/>
                <w:szCs w:val="22"/>
              </w:rPr>
            </w:pPr>
            <w:r>
              <w:rPr>
                <w:color w:val="000000"/>
                <w:sz w:val="22"/>
                <w:szCs w:val="22"/>
              </w:rPr>
              <w:t>3M Euribor</w:t>
            </w:r>
          </w:p>
        </w:tc>
        <w:tc>
          <w:tcPr>
            <w:tcW w:w="1134" w:type="dxa"/>
            <w:shd w:val="clear" w:color="auto" w:fill="auto"/>
            <w:noWrap/>
            <w:vAlign w:val="bottom"/>
          </w:tcPr>
          <w:p w14:paraId="5305F1CF" w14:textId="77777777" w:rsidR="00A95416" w:rsidRDefault="00A95416" w:rsidP="00327BFD">
            <w:pPr>
              <w:spacing w:before="40"/>
              <w:jc w:val="center"/>
              <w:rPr>
                <w:color w:val="000000"/>
                <w:sz w:val="22"/>
                <w:szCs w:val="22"/>
              </w:rPr>
            </w:pPr>
            <w:r>
              <w:rPr>
                <w:color w:val="000000"/>
                <w:sz w:val="22"/>
                <w:szCs w:val="22"/>
              </w:rPr>
              <w:t>2.25%</w:t>
            </w:r>
          </w:p>
        </w:tc>
        <w:tc>
          <w:tcPr>
            <w:tcW w:w="1701" w:type="dxa"/>
            <w:shd w:val="clear" w:color="auto" w:fill="auto"/>
            <w:noWrap/>
            <w:vAlign w:val="bottom"/>
          </w:tcPr>
          <w:p w14:paraId="261A8298" w14:textId="77777777" w:rsidR="00A95416" w:rsidRDefault="00A95416" w:rsidP="00327BFD">
            <w:pPr>
              <w:spacing w:before="40"/>
              <w:jc w:val="center"/>
              <w:rPr>
                <w:color w:val="000000"/>
                <w:sz w:val="22"/>
                <w:szCs w:val="22"/>
              </w:rPr>
            </w:pPr>
            <w:r>
              <w:rPr>
                <w:color w:val="000000"/>
                <w:sz w:val="22"/>
                <w:szCs w:val="22"/>
              </w:rPr>
              <w:t>16/12/2025</w:t>
            </w:r>
          </w:p>
        </w:tc>
        <w:tc>
          <w:tcPr>
            <w:tcW w:w="1134" w:type="dxa"/>
            <w:shd w:val="clear" w:color="auto" w:fill="auto"/>
            <w:noWrap/>
            <w:vAlign w:val="bottom"/>
          </w:tcPr>
          <w:p w14:paraId="6210C660" w14:textId="77777777" w:rsidR="00A95416" w:rsidRDefault="00A95416" w:rsidP="00327BFD">
            <w:pPr>
              <w:spacing w:before="40"/>
              <w:jc w:val="right"/>
              <w:rPr>
                <w:color w:val="000000"/>
                <w:sz w:val="22"/>
                <w:szCs w:val="22"/>
              </w:rPr>
            </w:pPr>
            <w:r>
              <w:rPr>
                <w:color w:val="000000"/>
                <w:sz w:val="22"/>
                <w:szCs w:val="22"/>
              </w:rPr>
              <w:t>225,213</w:t>
            </w:r>
          </w:p>
        </w:tc>
        <w:tc>
          <w:tcPr>
            <w:tcW w:w="925" w:type="dxa"/>
            <w:shd w:val="clear" w:color="auto" w:fill="auto"/>
            <w:noWrap/>
            <w:vAlign w:val="bottom"/>
          </w:tcPr>
          <w:p w14:paraId="389743D1" w14:textId="77777777" w:rsidR="00A95416" w:rsidRDefault="00A95416" w:rsidP="00327BFD">
            <w:pPr>
              <w:spacing w:before="40"/>
              <w:jc w:val="right"/>
              <w:rPr>
                <w:color w:val="000000"/>
                <w:sz w:val="22"/>
                <w:szCs w:val="22"/>
              </w:rPr>
            </w:pPr>
            <w:r>
              <w:rPr>
                <w:color w:val="000000"/>
                <w:sz w:val="22"/>
                <w:szCs w:val="22"/>
              </w:rPr>
              <w:t>2,340</w:t>
            </w:r>
          </w:p>
        </w:tc>
        <w:tc>
          <w:tcPr>
            <w:tcW w:w="1134" w:type="dxa"/>
            <w:shd w:val="clear" w:color="auto" w:fill="auto"/>
            <w:noWrap/>
            <w:vAlign w:val="bottom"/>
          </w:tcPr>
          <w:p w14:paraId="1E1174D5" w14:textId="77777777" w:rsidR="00A95416" w:rsidRDefault="00A95416" w:rsidP="00327BFD">
            <w:pPr>
              <w:spacing w:before="40"/>
              <w:jc w:val="right"/>
              <w:rPr>
                <w:color w:val="000000"/>
                <w:sz w:val="22"/>
                <w:szCs w:val="22"/>
              </w:rPr>
            </w:pPr>
            <w:r>
              <w:rPr>
                <w:color w:val="000000"/>
                <w:sz w:val="22"/>
                <w:szCs w:val="22"/>
              </w:rPr>
              <w:t>1,966</w:t>
            </w:r>
          </w:p>
        </w:tc>
      </w:tr>
      <w:tr w:rsidR="00A95416" w:rsidRPr="002B51C1" w14:paraId="4879FA63" w14:textId="77777777" w:rsidTr="005101BC">
        <w:trPr>
          <w:trHeight w:val="300"/>
        </w:trPr>
        <w:tc>
          <w:tcPr>
            <w:tcW w:w="1961" w:type="dxa"/>
            <w:shd w:val="clear" w:color="auto" w:fill="auto"/>
            <w:vAlign w:val="bottom"/>
          </w:tcPr>
          <w:p w14:paraId="2431FD1A" w14:textId="77777777" w:rsidR="00A95416" w:rsidRPr="002B51C1" w:rsidRDefault="00A95416" w:rsidP="00327BFD">
            <w:pPr>
              <w:spacing w:before="40"/>
              <w:rPr>
                <w:color w:val="000000"/>
                <w:sz w:val="22"/>
                <w:szCs w:val="22"/>
              </w:rPr>
            </w:pPr>
            <w:r>
              <w:rPr>
                <w:color w:val="000000"/>
                <w:sz w:val="22"/>
                <w:szCs w:val="22"/>
              </w:rPr>
              <w:t>Interest rate cap</w:t>
            </w:r>
          </w:p>
        </w:tc>
        <w:tc>
          <w:tcPr>
            <w:tcW w:w="1572" w:type="dxa"/>
            <w:shd w:val="clear" w:color="auto" w:fill="auto"/>
            <w:noWrap/>
            <w:vAlign w:val="bottom"/>
          </w:tcPr>
          <w:p w14:paraId="2CC7A3B7" w14:textId="77777777" w:rsidR="00A95416" w:rsidRDefault="00A95416" w:rsidP="00327BFD">
            <w:pPr>
              <w:spacing w:before="40"/>
              <w:jc w:val="center"/>
              <w:rPr>
                <w:color w:val="000000"/>
                <w:sz w:val="22"/>
                <w:szCs w:val="22"/>
              </w:rPr>
            </w:pPr>
            <w:r>
              <w:rPr>
                <w:color w:val="000000"/>
                <w:sz w:val="22"/>
                <w:szCs w:val="22"/>
              </w:rPr>
              <w:t>3M Euribor</w:t>
            </w:r>
          </w:p>
        </w:tc>
        <w:tc>
          <w:tcPr>
            <w:tcW w:w="1134" w:type="dxa"/>
            <w:shd w:val="clear" w:color="auto" w:fill="auto"/>
            <w:noWrap/>
            <w:vAlign w:val="bottom"/>
          </w:tcPr>
          <w:p w14:paraId="01E07216" w14:textId="77777777" w:rsidR="00A95416" w:rsidRDefault="00A95416" w:rsidP="00327BFD">
            <w:pPr>
              <w:spacing w:before="40"/>
              <w:jc w:val="center"/>
              <w:rPr>
                <w:color w:val="000000"/>
                <w:sz w:val="22"/>
                <w:szCs w:val="22"/>
              </w:rPr>
            </w:pPr>
            <w:r>
              <w:rPr>
                <w:color w:val="000000"/>
                <w:sz w:val="22"/>
                <w:szCs w:val="22"/>
              </w:rPr>
              <w:t>2.25%</w:t>
            </w:r>
          </w:p>
        </w:tc>
        <w:tc>
          <w:tcPr>
            <w:tcW w:w="1701" w:type="dxa"/>
            <w:shd w:val="clear" w:color="auto" w:fill="auto"/>
            <w:noWrap/>
            <w:vAlign w:val="bottom"/>
          </w:tcPr>
          <w:p w14:paraId="1A8557DD" w14:textId="77777777" w:rsidR="00A95416" w:rsidRDefault="00A95416" w:rsidP="00327BFD">
            <w:pPr>
              <w:spacing w:before="40"/>
              <w:jc w:val="center"/>
              <w:rPr>
                <w:color w:val="000000"/>
                <w:sz w:val="22"/>
                <w:szCs w:val="22"/>
              </w:rPr>
            </w:pPr>
            <w:r>
              <w:rPr>
                <w:color w:val="000000"/>
                <w:sz w:val="22"/>
                <w:szCs w:val="22"/>
              </w:rPr>
              <w:t>16/12/2025</w:t>
            </w:r>
          </w:p>
        </w:tc>
        <w:tc>
          <w:tcPr>
            <w:tcW w:w="1134" w:type="dxa"/>
            <w:shd w:val="clear" w:color="auto" w:fill="auto"/>
            <w:noWrap/>
            <w:vAlign w:val="bottom"/>
          </w:tcPr>
          <w:p w14:paraId="088870AA" w14:textId="77777777" w:rsidR="00A95416" w:rsidRDefault="00A95416" w:rsidP="00327BFD">
            <w:pPr>
              <w:spacing w:before="40"/>
              <w:jc w:val="right"/>
              <w:rPr>
                <w:color w:val="000000"/>
                <w:sz w:val="22"/>
                <w:szCs w:val="22"/>
              </w:rPr>
            </w:pPr>
            <w:r>
              <w:rPr>
                <w:color w:val="000000"/>
                <w:sz w:val="22"/>
                <w:szCs w:val="22"/>
              </w:rPr>
              <w:t>71,576</w:t>
            </w:r>
          </w:p>
        </w:tc>
        <w:tc>
          <w:tcPr>
            <w:tcW w:w="925" w:type="dxa"/>
            <w:shd w:val="clear" w:color="auto" w:fill="auto"/>
            <w:noWrap/>
            <w:vAlign w:val="bottom"/>
          </w:tcPr>
          <w:p w14:paraId="7556D6C9" w14:textId="77777777" w:rsidR="00A95416" w:rsidRDefault="00A95416" w:rsidP="00327BFD">
            <w:pPr>
              <w:spacing w:before="40"/>
              <w:jc w:val="right"/>
              <w:rPr>
                <w:color w:val="000000"/>
                <w:sz w:val="22"/>
                <w:szCs w:val="22"/>
              </w:rPr>
            </w:pPr>
            <w:r>
              <w:rPr>
                <w:color w:val="000000"/>
                <w:sz w:val="22"/>
                <w:szCs w:val="22"/>
              </w:rPr>
              <w:t>743</w:t>
            </w:r>
          </w:p>
        </w:tc>
        <w:tc>
          <w:tcPr>
            <w:tcW w:w="1134" w:type="dxa"/>
            <w:shd w:val="clear" w:color="auto" w:fill="auto"/>
            <w:noWrap/>
            <w:vAlign w:val="bottom"/>
          </w:tcPr>
          <w:p w14:paraId="1F7AE398" w14:textId="77777777" w:rsidR="00A95416" w:rsidRDefault="00A95416" w:rsidP="00327BFD">
            <w:pPr>
              <w:spacing w:before="40"/>
              <w:jc w:val="right"/>
              <w:rPr>
                <w:color w:val="000000"/>
                <w:sz w:val="22"/>
                <w:szCs w:val="22"/>
              </w:rPr>
            </w:pPr>
            <w:r>
              <w:rPr>
                <w:color w:val="000000"/>
                <w:sz w:val="22"/>
                <w:szCs w:val="22"/>
              </w:rPr>
              <w:t>624</w:t>
            </w:r>
          </w:p>
        </w:tc>
      </w:tr>
      <w:tr w:rsidR="00A95416" w:rsidRPr="002B51C1" w14:paraId="05A415ED" w14:textId="77777777" w:rsidTr="005101BC">
        <w:trPr>
          <w:trHeight w:val="300"/>
        </w:trPr>
        <w:tc>
          <w:tcPr>
            <w:tcW w:w="1961" w:type="dxa"/>
            <w:shd w:val="clear" w:color="auto" w:fill="auto"/>
            <w:vAlign w:val="bottom"/>
          </w:tcPr>
          <w:p w14:paraId="0A877C56" w14:textId="77777777" w:rsidR="00A95416" w:rsidRPr="002B51C1" w:rsidRDefault="00A95416" w:rsidP="00327BFD">
            <w:pPr>
              <w:spacing w:before="40"/>
              <w:rPr>
                <w:color w:val="000000"/>
                <w:sz w:val="22"/>
                <w:szCs w:val="22"/>
              </w:rPr>
            </w:pPr>
            <w:r>
              <w:rPr>
                <w:color w:val="000000"/>
                <w:sz w:val="22"/>
                <w:szCs w:val="22"/>
              </w:rPr>
              <w:t>Interest rate cap</w:t>
            </w:r>
          </w:p>
        </w:tc>
        <w:tc>
          <w:tcPr>
            <w:tcW w:w="1572" w:type="dxa"/>
            <w:shd w:val="clear" w:color="auto" w:fill="auto"/>
            <w:noWrap/>
            <w:vAlign w:val="bottom"/>
          </w:tcPr>
          <w:p w14:paraId="0AB9B6F4" w14:textId="77777777" w:rsidR="00A95416" w:rsidRDefault="00A95416" w:rsidP="00327BFD">
            <w:pPr>
              <w:spacing w:before="40"/>
              <w:jc w:val="center"/>
              <w:rPr>
                <w:color w:val="000000"/>
                <w:sz w:val="22"/>
                <w:szCs w:val="22"/>
              </w:rPr>
            </w:pPr>
            <w:r>
              <w:rPr>
                <w:color w:val="000000"/>
                <w:sz w:val="22"/>
                <w:szCs w:val="22"/>
              </w:rPr>
              <w:t>3M Euribor</w:t>
            </w:r>
          </w:p>
        </w:tc>
        <w:tc>
          <w:tcPr>
            <w:tcW w:w="1134" w:type="dxa"/>
            <w:shd w:val="clear" w:color="auto" w:fill="auto"/>
            <w:noWrap/>
            <w:vAlign w:val="bottom"/>
          </w:tcPr>
          <w:p w14:paraId="11AC5B9A" w14:textId="77777777" w:rsidR="00A95416" w:rsidRDefault="00A95416" w:rsidP="00327BFD">
            <w:pPr>
              <w:spacing w:before="40"/>
              <w:jc w:val="center"/>
              <w:rPr>
                <w:color w:val="000000"/>
                <w:sz w:val="22"/>
                <w:szCs w:val="22"/>
              </w:rPr>
            </w:pPr>
            <w:r>
              <w:rPr>
                <w:color w:val="000000"/>
                <w:sz w:val="22"/>
                <w:szCs w:val="22"/>
              </w:rPr>
              <w:t>2.25%</w:t>
            </w:r>
          </w:p>
        </w:tc>
        <w:tc>
          <w:tcPr>
            <w:tcW w:w="1701" w:type="dxa"/>
            <w:shd w:val="clear" w:color="auto" w:fill="auto"/>
            <w:noWrap/>
            <w:vAlign w:val="bottom"/>
          </w:tcPr>
          <w:p w14:paraId="1C42D5D3" w14:textId="77777777" w:rsidR="00A95416" w:rsidRDefault="00A95416" w:rsidP="00327BFD">
            <w:pPr>
              <w:spacing w:before="40"/>
              <w:jc w:val="center"/>
              <w:rPr>
                <w:color w:val="000000"/>
                <w:sz w:val="22"/>
                <w:szCs w:val="22"/>
              </w:rPr>
            </w:pPr>
            <w:r>
              <w:rPr>
                <w:color w:val="000000"/>
                <w:sz w:val="22"/>
                <w:szCs w:val="22"/>
              </w:rPr>
              <w:t>16/12/2025</w:t>
            </w:r>
          </w:p>
        </w:tc>
        <w:tc>
          <w:tcPr>
            <w:tcW w:w="1134" w:type="dxa"/>
            <w:shd w:val="clear" w:color="auto" w:fill="auto"/>
            <w:noWrap/>
            <w:vAlign w:val="bottom"/>
          </w:tcPr>
          <w:p w14:paraId="4B11BFF1" w14:textId="77777777" w:rsidR="00A95416" w:rsidRDefault="00A95416" w:rsidP="00327BFD">
            <w:pPr>
              <w:spacing w:before="40"/>
              <w:jc w:val="right"/>
              <w:rPr>
                <w:color w:val="000000"/>
                <w:sz w:val="22"/>
                <w:szCs w:val="22"/>
              </w:rPr>
            </w:pPr>
            <w:r>
              <w:rPr>
                <w:color w:val="000000"/>
                <w:sz w:val="22"/>
                <w:szCs w:val="22"/>
              </w:rPr>
              <w:t>26,921</w:t>
            </w:r>
          </w:p>
        </w:tc>
        <w:tc>
          <w:tcPr>
            <w:tcW w:w="925" w:type="dxa"/>
            <w:shd w:val="clear" w:color="auto" w:fill="auto"/>
            <w:noWrap/>
            <w:vAlign w:val="bottom"/>
          </w:tcPr>
          <w:p w14:paraId="02FD548D" w14:textId="77777777" w:rsidR="00A95416" w:rsidRDefault="00A95416" w:rsidP="00327BFD">
            <w:pPr>
              <w:spacing w:before="40"/>
              <w:jc w:val="right"/>
              <w:rPr>
                <w:color w:val="000000"/>
                <w:sz w:val="22"/>
                <w:szCs w:val="22"/>
              </w:rPr>
            </w:pPr>
            <w:r>
              <w:rPr>
                <w:color w:val="000000"/>
                <w:sz w:val="22"/>
                <w:szCs w:val="22"/>
              </w:rPr>
              <w:t>279</w:t>
            </w:r>
          </w:p>
        </w:tc>
        <w:tc>
          <w:tcPr>
            <w:tcW w:w="1134" w:type="dxa"/>
            <w:shd w:val="clear" w:color="auto" w:fill="auto"/>
            <w:noWrap/>
            <w:vAlign w:val="bottom"/>
          </w:tcPr>
          <w:p w14:paraId="4BA14A16" w14:textId="77777777" w:rsidR="00A95416" w:rsidRDefault="00A95416" w:rsidP="00327BFD">
            <w:pPr>
              <w:spacing w:before="40"/>
              <w:jc w:val="right"/>
              <w:rPr>
                <w:color w:val="000000"/>
                <w:sz w:val="22"/>
                <w:szCs w:val="22"/>
              </w:rPr>
            </w:pPr>
            <w:r>
              <w:rPr>
                <w:color w:val="000000"/>
                <w:sz w:val="22"/>
                <w:szCs w:val="22"/>
              </w:rPr>
              <w:t>234</w:t>
            </w:r>
          </w:p>
        </w:tc>
      </w:tr>
      <w:tr w:rsidR="00A95416" w:rsidRPr="002B51C1" w14:paraId="3FC3D10C" w14:textId="77777777" w:rsidTr="005101BC">
        <w:trPr>
          <w:trHeight w:val="300"/>
        </w:trPr>
        <w:tc>
          <w:tcPr>
            <w:tcW w:w="1961" w:type="dxa"/>
            <w:shd w:val="clear" w:color="auto" w:fill="auto"/>
            <w:vAlign w:val="bottom"/>
          </w:tcPr>
          <w:p w14:paraId="02E9C6BF" w14:textId="77777777" w:rsidR="00A95416" w:rsidRPr="002B51C1" w:rsidRDefault="00A95416" w:rsidP="00327BFD">
            <w:pPr>
              <w:spacing w:before="40"/>
              <w:rPr>
                <w:color w:val="000000"/>
                <w:sz w:val="22"/>
                <w:szCs w:val="22"/>
              </w:rPr>
            </w:pPr>
            <w:r>
              <w:rPr>
                <w:color w:val="000000"/>
                <w:sz w:val="22"/>
                <w:szCs w:val="22"/>
              </w:rPr>
              <w:t>Interest rate cap</w:t>
            </w:r>
          </w:p>
        </w:tc>
        <w:tc>
          <w:tcPr>
            <w:tcW w:w="1572" w:type="dxa"/>
            <w:shd w:val="clear" w:color="auto" w:fill="auto"/>
            <w:noWrap/>
            <w:vAlign w:val="bottom"/>
          </w:tcPr>
          <w:p w14:paraId="5D7A2FDA" w14:textId="77777777" w:rsidR="00A95416" w:rsidRDefault="00A95416" w:rsidP="00327BFD">
            <w:pPr>
              <w:spacing w:before="40"/>
              <w:jc w:val="center"/>
              <w:rPr>
                <w:color w:val="000000"/>
                <w:sz w:val="22"/>
                <w:szCs w:val="22"/>
              </w:rPr>
            </w:pPr>
            <w:r>
              <w:rPr>
                <w:color w:val="000000"/>
                <w:sz w:val="22"/>
                <w:szCs w:val="22"/>
              </w:rPr>
              <w:t>3M Euribor</w:t>
            </w:r>
          </w:p>
        </w:tc>
        <w:tc>
          <w:tcPr>
            <w:tcW w:w="1134" w:type="dxa"/>
            <w:shd w:val="clear" w:color="auto" w:fill="auto"/>
            <w:noWrap/>
            <w:vAlign w:val="bottom"/>
          </w:tcPr>
          <w:p w14:paraId="338AAD51" w14:textId="77777777" w:rsidR="00A95416" w:rsidRDefault="00A95416" w:rsidP="00327BFD">
            <w:pPr>
              <w:spacing w:before="40"/>
              <w:jc w:val="center"/>
              <w:rPr>
                <w:color w:val="000000"/>
                <w:sz w:val="22"/>
                <w:szCs w:val="22"/>
              </w:rPr>
            </w:pPr>
            <w:r>
              <w:rPr>
                <w:color w:val="000000"/>
                <w:sz w:val="22"/>
                <w:szCs w:val="22"/>
              </w:rPr>
              <w:t>2.50%</w:t>
            </w:r>
          </w:p>
        </w:tc>
        <w:tc>
          <w:tcPr>
            <w:tcW w:w="1701" w:type="dxa"/>
            <w:shd w:val="clear" w:color="auto" w:fill="auto"/>
            <w:noWrap/>
            <w:vAlign w:val="bottom"/>
          </w:tcPr>
          <w:p w14:paraId="6A27D537" w14:textId="77777777" w:rsidR="00A95416" w:rsidRDefault="00A95416" w:rsidP="00327BFD">
            <w:pPr>
              <w:spacing w:before="40"/>
              <w:jc w:val="center"/>
              <w:rPr>
                <w:color w:val="000000"/>
                <w:sz w:val="22"/>
                <w:szCs w:val="22"/>
              </w:rPr>
            </w:pPr>
            <w:r>
              <w:rPr>
                <w:color w:val="000000"/>
                <w:sz w:val="22"/>
                <w:szCs w:val="22"/>
              </w:rPr>
              <w:t>14/04/2026</w:t>
            </w:r>
          </w:p>
        </w:tc>
        <w:tc>
          <w:tcPr>
            <w:tcW w:w="1134" w:type="dxa"/>
            <w:shd w:val="clear" w:color="auto" w:fill="auto"/>
            <w:noWrap/>
            <w:vAlign w:val="bottom"/>
          </w:tcPr>
          <w:p w14:paraId="152B8230" w14:textId="77777777" w:rsidR="00A95416" w:rsidRDefault="00A95416" w:rsidP="00327BFD">
            <w:pPr>
              <w:spacing w:before="40"/>
              <w:jc w:val="right"/>
              <w:rPr>
                <w:color w:val="000000"/>
                <w:sz w:val="22"/>
                <w:szCs w:val="22"/>
              </w:rPr>
            </w:pPr>
            <w:r>
              <w:rPr>
                <w:color w:val="000000"/>
                <w:sz w:val="22"/>
                <w:szCs w:val="22"/>
              </w:rPr>
              <w:t>3,354</w:t>
            </w:r>
          </w:p>
        </w:tc>
        <w:tc>
          <w:tcPr>
            <w:tcW w:w="925" w:type="dxa"/>
            <w:shd w:val="clear" w:color="auto" w:fill="auto"/>
            <w:noWrap/>
            <w:vAlign w:val="bottom"/>
          </w:tcPr>
          <w:p w14:paraId="412E31CC" w14:textId="77777777" w:rsidR="00A95416" w:rsidRDefault="00A95416" w:rsidP="00327BFD">
            <w:pPr>
              <w:spacing w:before="40"/>
              <w:jc w:val="right"/>
              <w:rPr>
                <w:color w:val="000000"/>
                <w:sz w:val="22"/>
                <w:szCs w:val="22"/>
              </w:rPr>
            </w:pPr>
            <w:r>
              <w:rPr>
                <w:color w:val="000000"/>
                <w:sz w:val="22"/>
                <w:szCs w:val="22"/>
              </w:rPr>
              <w:t>38</w:t>
            </w:r>
          </w:p>
        </w:tc>
        <w:tc>
          <w:tcPr>
            <w:tcW w:w="1134" w:type="dxa"/>
            <w:shd w:val="clear" w:color="auto" w:fill="auto"/>
            <w:noWrap/>
            <w:vAlign w:val="bottom"/>
          </w:tcPr>
          <w:p w14:paraId="24392817" w14:textId="77777777" w:rsidR="00A95416" w:rsidRDefault="00A95416" w:rsidP="00327BFD">
            <w:pPr>
              <w:spacing w:before="40"/>
              <w:jc w:val="right"/>
              <w:rPr>
                <w:color w:val="000000"/>
                <w:sz w:val="22"/>
                <w:szCs w:val="22"/>
              </w:rPr>
            </w:pPr>
            <w:r>
              <w:rPr>
                <w:color w:val="000000"/>
                <w:sz w:val="22"/>
                <w:szCs w:val="22"/>
              </w:rPr>
              <w:t>32</w:t>
            </w:r>
          </w:p>
        </w:tc>
      </w:tr>
      <w:tr w:rsidR="00A95416" w:rsidRPr="002B51C1" w14:paraId="1761B45D" w14:textId="77777777" w:rsidTr="005101BC">
        <w:trPr>
          <w:trHeight w:val="300"/>
        </w:trPr>
        <w:tc>
          <w:tcPr>
            <w:tcW w:w="1961" w:type="dxa"/>
            <w:shd w:val="clear" w:color="auto" w:fill="auto"/>
            <w:vAlign w:val="bottom"/>
          </w:tcPr>
          <w:p w14:paraId="56379944" w14:textId="77777777" w:rsidR="00A95416" w:rsidRPr="002B51C1" w:rsidRDefault="00A95416" w:rsidP="00327BFD">
            <w:pPr>
              <w:spacing w:before="40"/>
              <w:rPr>
                <w:color w:val="000000"/>
                <w:sz w:val="22"/>
                <w:szCs w:val="22"/>
              </w:rPr>
            </w:pPr>
            <w:r>
              <w:rPr>
                <w:color w:val="000000"/>
                <w:sz w:val="22"/>
                <w:szCs w:val="22"/>
              </w:rPr>
              <w:t>Interest rate cap</w:t>
            </w:r>
          </w:p>
        </w:tc>
        <w:tc>
          <w:tcPr>
            <w:tcW w:w="1572" w:type="dxa"/>
            <w:shd w:val="clear" w:color="auto" w:fill="auto"/>
            <w:noWrap/>
            <w:vAlign w:val="bottom"/>
          </w:tcPr>
          <w:p w14:paraId="2DFFB2BA" w14:textId="77777777" w:rsidR="00A95416" w:rsidRDefault="00A95416" w:rsidP="00327BFD">
            <w:pPr>
              <w:spacing w:before="40"/>
              <w:jc w:val="center"/>
              <w:rPr>
                <w:color w:val="000000"/>
                <w:sz w:val="22"/>
                <w:szCs w:val="22"/>
              </w:rPr>
            </w:pPr>
            <w:r>
              <w:rPr>
                <w:color w:val="000000"/>
                <w:sz w:val="22"/>
                <w:szCs w:val="22"/>
              </w:rPr>
              <w:t>3M Euribor</w:t>
            </w:r>
          </w:p>
        </w:tc>
        <w:tc>
          <w:tcPr>
            <w:tcW w:w="1134" w:type="dxa"/>
            <w:shd w:val="clear" w:color="auto" w:fill="auto"/>
            <w:noWrap/>
            <w:vAlign w:val="bottom"/>
          </w:tcPr>
          <w:p w14:paraId="4578480F" w14:textId="77777777" w:rsidR="00A95416" w:rsidRDefault="00A95416" w:rsidP="00327BFD">
            <w:pPr>
              <w:spacing w:before="40"/>
              <w:jc w:val="center"/>
              <w:rPr>
                <w:color w:val="000000"/>
                <w:sz w:val="22"/>
                <w:szCs w:val="22"/>
              </w:rPr>
            </w:pPr>
            <w:r>
              <w:rPr>
                <w:color w:val="000000"/>
                <w:sz w:val="22"/>
                <w:szCs w:val="22"/>
              </w:rPr>
              <w:t>3.00%</w:t>
            </w:r>
          </w:p>
        </w:tc>
        <w:tc>
          <w:tcPr>
            <w:tcW w:w="1701" w:type="dxa"/>
            <w:shd w:val="clear" w:color="auto" w:fill="auto"/>
            <w:noWrap/>
            <w:vAlign w:val="bottom"/>
          </w:tcPr>
          <w:p w14:paraId="32715405" w14:textId="77777777" w:rsidR="00A95416" w:rsidRDefault="00A95416" w:rsidP="00327BFD">
            <w:pPr>
              <w:spacing w:before="40"/>
              <w:jc w:val="center"/>
              <w:rPr>
                <w:color w:val="000000"/>
                <w:sz w:val="22"/>
                <w:szCs w:val="22"/>
              </w:rPr>
            </w:pPr>
            <w:r>
              <w:rPr>
                <w:color w:val="000000"/>
                <w:sz w:val="22"/>
                <w:szCs w:val="22"/>
              </w:rPr>
              <w:t>30/09/2024</w:t>
            </w:r>
          </w:p>
        </w:tc>
        <w:tc>
          <w:tcPr>
            <w:tcW w:w="1134" w:type="dxa"/>
            <w:shd w:val="clear" w:color="auto" w:fill="auto"/>
            <w:noWrap/>
            <w:vAlign w:val="bottom"/>
          </w:tcPr>
          <w:p w14:paraId="40B12539" w14:textId="77777777" w:rsidR="00A95416" w:rsidRDefault="00A95416" w:rsidP="00327BFD">
            <w:pPr>
              <w:spacing w:before="40"/>
              <w:jc w:val="right"/>
              <w:rPr>
                <w:color w:val="000000"/>
                <w:sz w:val="22"/>
                <w:szCs w:val="22"/>
              </w:rPr>
            </w:pPr>
            <w:r>
              <w:rPr>
                <w:color w:val="000000"/>
                <w:sz w:val="22"/>
                <w:szCs w:val="22"/>
              </w:rPr>
              <w:t>20,861</w:t>
            </w:r>
          </w:p>
        </w:tc>
        <w:tc>
          <w:tcPr>
            <w:tcW w:w="925" w:type="dxa"/>
            <w:shd w:val="clear" w:color="auto" w:fill="auto"/>
            <w:noWrap/>
            <w:vAlign w:val="bottom"/>
          </w:tcPr>
          <w:p w14:paraId="66EDDAA4" w14:textId="77777777" w:rsidR="00A95416" w:rsidRDefault="00A95416" w:rsidP="00327BFD">
            <w:pPr>
              <w:spacing w:before="40"/>
              <w:jc w:val="right"/>
              <w:rPr>
                <w:color w:val="000000"/>
                <w:sz w:val="22"/>
                <w:szCs w:val="22"/>
              </w:rPr>
            </w:pPr>
            <w:r>
              <w:rPr>
                <w:color w:val="000000"/>
                <w:sz w:val="22"/>
                <w:szCs w:val="22"/>
              </w:rPr>
              <w:t>123</w:t>
            </w:r>
          </w:p>
        </w:tc>
        <w:tc>
          <w:tcPr>
            <w:tcW w:w="1134" w:type="dxa"/>
            <w:shd w:val="clear" w:color="auto" w:fill="auto"/>
            <w:noWrap/>
            <w:vAlign w:val="bottom"/>
          </w:tcPr>
          <w:p w14:paraId="4DE9A4BD" w14:textId="77777777" w:rsidR="00A95416" w:rsidRDefault="00A95416" w:rsidP="00327BFD">
            <w:pPr>
              <w:spacing w:before="40"/>
              <w:jc w:val="right"/>
              <w:rPr>
                <w:color w:val="000000"/>
                <w:sz w:val="22"/>
                <w:szCs w:val="22"/>
              </w:rPr>
            </w:pPr>
            <w:r>
              <w:rPr>
                <w:color w:val="000000"/>
                <w:sz w:val="22"/>
                <w:szCs w:val="22"/>
              </w:rPr>
              <w:t>100</w:t>
            </w:r>
          </w:p>
        </w:tc>
      </w:tr>
    </w:tbl>
    <w:p w14:paraId="6B6E9168" w14:textId="77777777" w:rsidR="00582CEC" w:rsidRDefault="00582CEC" w:rsidP="0020502A">
      <w:pPr>
        <w:rPr>
          <w:b/>
          <w:bCs/>
          <w:sz w:val="22"/>
          <w:szCs w:val="22"/>
        </w:rPr>
      </w:pPr>
      <w:bookmarkStart w:id="216" w:name="H3_Note_22__Contingent_Liabilities_"/>
    </w:p>
    <w:tbl>
      <w:tblPr>
        <w:tblW w:w="9561" w:type="dxa"/>
        <w:tblInd w:w="720" w:type="dxa"/>
        <w:tblLayout w:type="fixed"/>
        <w:tblLook w:val="06A0" w:firstRow="1" w:lastRow="0" w:firstColumn="1" w:lastColumn="0" w:noHBand="1" w:noVBand="1"/>
        <w:tblCaption w:val="AHR02"/>
        <w:tblDescription w:val="fair values year of report"/>
      </w:tblPr>
      <w:tblGrid>
        <w:gridCol w:w="2115"/>
        <w:gridCol w:w="1418"/>
        <w:gridCol w:w="1134"/>
        <w:gridCol w:w="1701"/>
        <w:gridCol w:w="1134"/>
        <w:gridCol w:w="992"/>
        <w:gridCol w:w="1067"/>
      </w:tblGrid>
      <w:tr w:rsidR="00804B66" w:rsidRPr="002B51C1" w14:paraId="62E7D01B" w14:textId="77777777" w:rsidTr="005101BC">
        <w:trPr>
          <w:cantSplit/>
          <w:trHeight w:val="240"/>
          <w:tblHeader/>
        </w:trPr>
        <w:tc>
          <w:tcPr>
            <w:tcW w:w="9561" w:type="dxa"/>
            <w:gridSpan w:val="7"/>
            <w:shd w:val="clear" w:color="auto" w:fill="auto"/>
            <w:noWrap/>
            <w:vAlign w:val="bottom"/>
          </w:tcPr>
          <w:p w14:paraId="18D29D43" w14:textId="77777777" w:rsidR="00804B66" w:rsidRPr="002B51C1" w:rsidRDefault="00804B66" w:rsidP="001C4D74">
            <w:pPr>
              <w:pBdr>
                <w:bottom w:val="single" w:sz="4" w:space="1" w:color="auto"/>
              </w:pBdr>
              <w:bidi/>
              <w:spacing w:before="40"/>
              <w:ind w:left="57"/>
              <w:jc w:val="center"/>
              <w:rPr>
                <w:rFonts w:hint="cs"/>
                <w:b/>
                <w:bCs/>
                <w:color w:val="000000"/>
                <w:sz w:val="20"/>
                <w:rtl/>
                <w:lang w:bidi="he-IL"/>
              </w:rPr>
            </w:pPr>
            <w:r>
              <w:rPr>
                <w:b/>
                <w:bCs/>
                <w:color w:val="000000"/>
                <w:sz w:val="20"/>
              </w:rPr>
              <w:t xml:space="preserve">As of December 31, </w:t>
            </w:r>
            <w:r>
              <w:rPr>
                <w:b/>
                <w:bCs/>
                <w:color w:val="000000"/>
                <w:sz w:val="20"/>
                <w:lang w:bidi="he-IL"/>
              </w:rPr>
              <w:t>2023</w:t>
            </w:r>
          </w:p>
        </w:tc>
      </w:tr>
      <w:tr w:rsidR="00804B66" w:rsidRPr="002B51C1" w14:paraId="18DBCA89" w14:textId="77777777" w:rsidTr="005101BC">
        <w:trPr>
          <w:cantSplit/>
          <w:trHeight w:val="820"/>
          <w:tblHeader/>
        </w:trPr>
        <w:tc>
          <w:tcPr>
            <w:tcW w:w="2115" w:type="dxa"/>
            <w:shd w:val="clear" w:color="auto" w:fill="auto"/>
            <w:noWrap/>
            <w:vAlign w:val="bottom"/>
            <w:hideMark/>
          </w:tcPr>
          <w:p w14:paraId="7227818F" w14:textId="77777777" w:rsidR="00804B66" w:rsidRPr="002B51C1" w:rsidRDefault="00804B66" w:rsidP="001C4D74">
            <w:pPr>
              <w:spacing w:before="40"/>
              <w:rPr>
                <w:rFonts w:ascii="Arial" w:eastAsia="Arial" w:hAnsi="Arial" w:cs="Arial"/>
                <w:sz w:val="20"/>
              </w:rPr>
            </w:pPr>
          </w:p>
        </w:tc>
        <w:tc>
          <w:tcPr>
            <w:tcW w:w="1418" w:type="dxa"/>
            <w:shd w:val="clear" w:color="auto" w:fill="auto"/>
            <w:noWrap/>
            <w:vAlign w:val="bottom"/>
            <w:hideMark/>
          </w:tcPr>
          <w:p w14:paraId="70A23E69" w14:textId="77777777" w:rsidR="00804B66" w:rsidRPr="002B51C1" w:rsidRDefault="00804B66" w:rsidP="001C4D74">
            <w:pPr>
              <w:spacing w:before="40"/>
              <w:jc w:val="center"/>
              <w:rPr>
                <w:b/>
                <w:bCs/>
                <w:sz w:val="20"/>
              </w:rPr>
            </w:pPr>
            <w:r w:rsidRPr="002B51C1">
              <w:rPr>
                <w:b/>
                <w:bCs/>
                <w:color w:val="000000"/>
                <w:sz w:val="20"/>
              </w:rPr>
              <w:t>Interest</w:t>
            </w:r>
          </w:p>
          <w:p w14:paraId="1B413EE7" w14:textId="77777777" w:rsidR="00804B66" w:rsidRPr="002B51C1" w:rsidRDefault="00804B66" w:rsidP="001C4D74">
            <w:pPr>
              <w:pBdr>
                <w:bottom w:val="single" w:sz="4" w:space="0" w:color="000000"/>
              </w:pBdr>
              <w:spacing w:before="40"/>
              <w:jc w:val="center"/>
              <w:rPr>
                <w:b/>
                <w:bCs/>
                <w:sz w:val="20"/>
              </w:rPr>
            </w:pPr>
            <w:r w:rsidRPr="002B51C1">
              <w:rPr>
                <w:b/>
                <w:bCs/>
                <w:color w:val="000000"/>
                <w:sz w:val="20"/>
              </w:rPr>
              <w:t>Receivable</w:t>
            </w:r>
          </w:p>
        </w:tc>
        <w:tc>
          <w:tcPr>
            <w:tcW w:w="1134" w:type="dxa"/>
            <w:shd w:val="clear" w:color="auto" w:fill="auto"/>
            <w:noWrap/>
            <w:vAlign w:val="bottom"/>
            <w:hideMark/>
          </w:tcPr>
          <w:p w14:paraId="3116E807" w14:textId="77777777" w:rsidR="00804B66" w:rsidRPr="002B51C1" w:rsidRDefault="00804B66" w:rsidP="001C4D74">
            <w:pPr>
              <w:spacing w:before="40"/>
              <w:jc w:val="center"/>
              <w:rPr>
                <w:b/>
                <w:bCs/>
                <w:sz w:val="20"/>
              </w:rPr>
            </w:pPr>
            <w:r w:rsidRPr="002B51C1">
              <w:rPr>
                <w:b/>
                <w:bCs/>
                <w:color w:val="000000"/>
                <w:sz w:val="20"/>
              </w:rPr>
              <w:t>Interest</w:t>
            </w:r>
          </w:p>
          <w:p w14:paraId="56D032A7" w14:textId="77777777" w:rsidR="00804B66" w:rsidRPr="002B51C1" w:rsidRDefault="00804B66" w:rsidP="001C4D74">
            <w:pPr>
              <w:pBdr>
                <w:bottom w:val="single" w:sz="4" w:space="0" w:color="000000"/>
              </w:pBdr>
              <w:spacing w:before="40"/>
              <w:jc w:val="center"/>
              <w:rPr>
                <w:b/>
                <w:bCs/>
                <w:sz w:val="20"/>
              </w:rPr>
            </w:pPr>
            <w:r w:rsidRPr="002B51C1">
              <w:rPr>
                <w:b/>
                <w:bCs/>
                <w:color w:val="000000"/>
                <w:sz w:val="20"/>
              </w:rPr>
              <w:t>payable</w:t>
            </w:r>
          </w:p>
        </w:tc>
        <w:tc>
          <w:tcPr>
            <w:tcW w:w="1701" w:type="dxa"/>
            <w:shd w:val="clear" w:color="auto" w:fill="auto"/>
            <w:noWrap/>
            <w:vAlign w:val="bottom"/>
            <w:hideMark/>
          </w:tcPr>
          <w:p w14:paraId="0C340FE8" w14:textId="77777777" w:rsidR="00804B66" w:rsidRPr="002B51C1" w:rsidRDefault="00804B66" w:rsidP="001C4D74">
            <w:pPr>
              <w:spacing w:before="40"/>
              <w:jc w:val="center"/>
              <w:rPr>
                <w:b/>
                <w:bCs/>
                <w:sz w:val="20"/>
              </w:rPr>
            </w:pPr>
            <w:r w:rsidRPr="002B51C1">
              <w:rPr>
                <w:b/>
                <w:bCs/>
                <w:color w:val="000000"/>
                <w:sz w:val="20"/>
              </w:rPr>
              <w:t>Expiration</w:t>
            </w:r>
          </w:p>
          <w:p w14:paraId="4452E596" w14:textId="77777777" w:rsidR="00804B66" w:rsidRPr="002B51C1" w:rsidRDefault="00804B66" w:rsidP="001C4D74">
            <w:pPr>
              <w:spacing w:before="40"/>
              <w:jc w:val="center"/>
              <w:rPr>
                <w:b/>
                <w:bCs/>
                <w:sz w:val="20"/>
              </w:rPr>
            </w:pPr>
            <w:r w:rsidRPr="002B51C1">
              <w:rPr>
                <w:b/>
                <w:bCs/>
                <w:color w:val="000000"/>
                <w:sz w:val="20"/>
              </w:rPr>
              <w:t>exercise</w:t>
            </w:r>
          </w:p>
          <w:p w14:paraId="3B3E8F13" w14:textId="77777777" w:rsidR="00804B66" w:rsidRPr="002B51C1" w:rsidRDefault="00804B66" w:rsidP="001C4D74">
            <w:pPr>
              <w:pBdr>
                <w:bottom w:val="single" w:sz="4" w:space="0" w:color="000000"/>
              </w:pBdr>
              <w:spacing w:before="40"/>
              <w:jc w:val="center"/>
              <w:rPr>
                <w:b/>
                <w:bCs/>
                <w:sz w:val="20"/>
              </w:rPr>
            </w:pPr>
            <w:r w:rsidRPr="002B51C1">
              <w:rPr>
                <w:b/>
                <w:bCs/>
                <w:color w:val="000000"/>
                <w:sz w:val="20"/>
              </w:rPr>
              <w:t>date</w:t>
            </w:r>
          </w:p>
        </w:tc>
        <w:tc>
          <w:tcPr>
            <w:tcW w:w="1134" w:type="dxa"/>
            <w:shd w:val="clear" w:color="auto" w:fill="auto"/>
            <w:noWrap/>
            <w:vAlign w:val="bottom"/>
            <w:hideMark/>
          </w:tcPr>
          <w:p w14:paraId="6A038EBC" w14:textId="77777777" w:rsidR="00804B66" w:rsidRPr="002B51C1" w:rsidRDefault="00804B66" w:rsidP="001C4D74">
            <w:pPr>
              <w:pBdr>
                <w:bottom w:val="single" w:sz="4" w:space="0" w:color="000000"/>
              </w:pBdr>
              <w:spacing w:before="40"/>
              <w:jc w:val="center"/>
              <w:rPr>
                <w:b/>
                <w:bCs/>
                <w:sz w:val="20"/>
              </w:rPr>
            </w:pPr>
            <w:r>
              <w:rPr>
                <w:b/>
                <w:bCs/>
                <w:color w:val="000000"/>
                <w:sz w:val="20"/>
              </w:rPr>
              <w:t>Exchange rate swap deal</w:t>
            </w:r>
          </w:p>
        </w:tc>
        <w:tc>
          <w:tcPr>
            <w:tcW w:w="992" w:type="dxa"/>
            <w:shd w:val="clear" w:color="auto" w:fill="auto"/>
            <w:noWrap/>
            <w:vAlign w:val="bottom"/>
            <w:hideMark/>
          </w:tcPr>
          <w:p w14:paraId="2587C366" w14:textId="77777777" w:rsidR="00804B66" w:rsidRPr="002B51C1" w:rsidRDefault="00804B66" w:rsidP="001C4D74">
            <w:pPr>
              <w:pBdr>
                <w:bottom w:val="single" w:sz="4" w:space="0" w:color="000000"/>
              </w:pBdr>
              <w:spacing w:before="40"/>
              <w:jc w:val="center"/>
              <w:rPr>
                <w:b/>
                <w:bCs/>
                <w:sz w:val="20"/>
              </w:rPr>
            </w:pPr>
            <w:r w:rsidRPr="002B51C1">
              <w:rPr>
                <w:b/>
                <w:bCs/>
                <w:color w:val="000000"/>
                <w:sz w:val="20"/>
              </w:rPr>
              <w:t>Amount</w:t>
            </w:r>
            <w:r>
              <w:rPr>
                <w:b/>
                <w:bCs/>
                <w:color w:val="000000"/>
                <w:sz w:val="20"/>
              </w:rPr>
              <w:t xml:space="preserve"> (ILS)</w:t>
            </w:r>
          </w:p>
        </w:tc>
        <w:tc>
          <w:tcPr>
            <w:tcW w:w="1067" w:type="dxa"/>
            <w:shd w:val="clear" w:color="auto" w:fill="auto"/>
            <w:noWrap/>
            <w:vAlign w:val="bottom"/>
            <w:hideMark/>
          </w:tcPr>
          <w:p w14:paraId="645FF89E" w14:textId="77777777" w:rsidR="00804B66" w:rsidRPr="002B51C1" w:rsidRDefault="00804B66" w:rsidP="001C4D74">
            <w:pPr>
              <w:spacing w:before="40"/>
              <w:jc w:val="center"/>
              <w:rPr>
                <w:b/>
                <w:bCs/>
                <w:sz w:val="20"/>
              </w:rPr>
            </w:pPr>
            <w:r w:rsidRPr="002B51C1">
              <w:rPr>
                <w:b/>
                <w:bCs/>
                <w:color w:val="000000"/>
                <w:sz w:val="20"/>
              </w:rPr>
              <w:t>Fair</w:t>
            </w:r>
          </w:p>
          <w:p w14:paraId="50D1BA10" w14:textId="77777777" w:rsidR="00804B66" w:rsidRPr="002B51C1" w:rsidRDefault="00804B66" w:rsidP="001C4D74">
            <w:pPr>
              <w:pBdr>
                <w:bottom w:val="single" w:sz="4" w:space="0" w:color="000000"/>
              </w:pBdr>
              <w:spacing w:before="40"/>
              <w:jc w:val="center"/>
              <w:rPr>
                <w:b/>
                <w:bCs/>
                <w:sz w:val="20"/>
              </w:rPr>
            </w:pPr>
            <w:r w:rsidRPr="002B51C1">
              <w:rPr>
                <w:b/>
                <w:bCs/>
                <w:color w:val="000000"/>
                <w:sz w:val="20"/>
              </w:rPr>
              <w:t>value</w:t>
            </w:r>
          </w:p>
        </w:tc>
      </w:tr>
      <w:tr w:rsidR="00804B66" w:rsidRPr="00C31906" w14:paraId="1AC43FA9" w14:textId="77777777" w:rsidTr="005101BC">
        <w:trPr>
          <w:trHeight w:val="280"/>
        </w:trPr>
        <w:tc>
          <w:tcPr>
            <w:tcW w:w="2115" w:type="dxa"/>
            <w:shd w:val="clear" w:color="auto" w:fill="auto"/>
            <w:vAlign w:val="bottom"/>
            <w:hideMark/>
          </w:tcPr>
          <w:p w14:paraId="42F5B1A0" w14:textId="77777777" w:rsidR="00804B66" w:rsidRPr="002B51C1" w:rsidRDefault="00804B66" w:rsidP="001C4D74">
            <w:pPr>
              <w:spacing w:before="40"/>
              <w:rPr>
                <w:sz w:val="22"/>
                <w:szCs w:val="22"/>
              </w:rPr>
            </w:pPr>
            <w:r>
              <w:rPr>
                <w:color w:val="000000"/>
                <w:sz w:val="22"/>
                <w:szCs w:val="22"/>
              </w:rPr>
              <w:t>Cross currency swap</w:t>
            </w:r>
          </w:p>
        </w:tc>
        <w:tc>
          <w:tcPr>
            <w:tcW w:w="1418" w:type="dxa"/>
            <w:shd w:val="clear" w:color="auto" w:fill="auto"/>
            <w:noWrap/>
            <w:vAlign w:val="bottom"/>
          </w:tcPr>
          <w:p w14:paraId="66AC2861" w14:textId="77777777" w:rsidR="00804B66" w:rsidRPr="00C31906" w:rsidRDefault="00804B66" w:rsidP="001C4D74">
            <w:pPr>
              <w:spacing w:before="40"/>
              <w:jc w:val="center"/>
              <w:rPr>
                <w:b/>
                <w:bCs/>
                <w:sz w:val="22"/>
                <w:szCs w:val="22"/>
              </w:rPr>
            </w:pPr>
            <w:r>
              <w:rPr>
                <w:color w:val="000000"/>
                <w:sz w:val="22"/>
                <w:szCs w:val="22"/>
              </w:rPr>
              <w:t>4.82%</w:t>
            </w:r>
          </w:p>
        </w:tc>
        <w:tc>
          <w:tcPr>
            <w:tcW w:w="1134" w:type="dxa"/>
            <w:shd w:val="clear" w:color="auto" w:fill="auto"/>
            <w:noWrap/>
            <w:vAlign w:val="bottom"/>
          </w:tcPr>
          <w:p w14:paraId="75960899" w14:textId="77777777" w:rsidR="00804B66" w:rsidRPr="00C31906" w:rsidRDefault="00804B66" w:rsidP="001C4D74">
            <w:pPr>
              <w:spacing w:before="40"/>
              <w:jc w:val="center"/>
              <w:rPr>
                <w:b/>
                <w:bCs/>
                <w:sz w:val="22"/>
                <w:szCs w:val="22"/>
              </w:rPr>
            </w:pPr>
            <w:r>
              <w:rPr>
                <w:sz w:val="22"/>
                <w:szCs w:val="22"/>
              </w:rPr>
              <w:t>5.11%</w:t>
            </w:r>
          </w:p>
        </w:tc>
        <w:tc>
          <w:tcPr>
            <w:tcW w:w="1701" w:type="dxa"/>
            <w:shd w:val="clear" w:color="auto" w:fill="auto"/>
            <w:noWrap/>
            <w:vAlign w:val="bottom"/>
          </w:tcPr>
          <w:p w14:paraId="17D4BCFC" w14:textId="77777777" w:rsidR="00804B66" w:rsidRPr="00C31906" w:rsidRDefault="00804B66" w:rsidP="001C4D74">
            <w:pPr>
              <w:spacing w:before="40"/>
              <w:jc w:val="right"/>
              <w:rPr>
                <w:b/>
                <w:bCs/>
                <w:sz w:val="22"/>
                <w:szCs w:val="22"/>
              </w:rPr>
            </w:pPr>
            <w:r>
              <w:rPr>
                <w:color w:val="000000"/>
                <w:sz w:val="22"/>
                <w:szCs w:val="22"/>
              </w:rPr>
              <w:t>05/07/2027</w:t>
            </w:r>
          </w:p>
        </w:tc>
        <w:tc>
          <w:tcPr>
            <w:tcW w:w="1134" w:type="dxa"/>
            <w:shd w:val="clear" w:color="auto" w:fill="auto"/>
            <w:noWrap/>
            <w:vAlign w:val="bottom"/>
          </w:tcPr>
          <w:p w14:paraId="5762DC7F" w14:textId="77777777" w:rsidR="00804B66" w:rsidRPr="00C31906" w:rsidRDefault="00804B66" w:rsidP="001C4D74">
            <w:pPr>
              <w:spacing w:before="40"/>
              <w:jc w:val="right"/>
              <w:rPr>
                <w:b/>
                <w:bCs/>
                <w:sz w:val="22"/>
                <w:szCs w:val="22"/>
                <w:highlight w:val="yellow"/>
              </w:rPr>
            </w:pPr>
            <w:r>
              <w:rPr>
                <w:color w:val="000000"/>
                <w:sz w:val="22"/>
                <w:szCs w:val="22"/>
              </w:rPr>
              <w:t>3.84 ILS to 1 EUR</w:t>
            </w:r>
          </w:p>
        </w:tc>
        <w:tc>
          <w:tcPr>
            <w:tcW w:w="992" w:type="dxa"/>
            <w:shd w:val="clear" w:color="auto" w:fill="auto"/>
            <w:noWrap/>
            <w:vAlign w:val="bottom"/>
          </w:tcPr>
          <w:p w14:paraId="06B1E2E2" w14:textId="77777777" w:rsidR="00804B66" w:rsidRPr="00C31906" w:rsidRDefault="00804B66" w:rsidP="001C4D74">
            <w:pPr>
              <w:spacing w:before="40"/>
              <w:jc w:val="right"/>
              <w:rPr>
                <w:b/>
                <w:bCs/>
                <w:sz w:val="22"/>
                <w:szCs w:val="22"/>
                <w:highlight w:val="yellow"/>
              </w:rPr>
            </w:pPr>
            <w:r>
              <w:rPr>
                <w:color w:val="000000"/>
                <w:sz w:val="22"/>
                <w:szCs w:val="22"/>
              </w:rPr>
              <w:t>370,000</w:t>
            </w:r>
          </w:p>
        </w:tc>
        <w:tc>
          <w:tcPr>
            <w:tcW w:w="1067" w:type="dxa"/>
            <w:shd w:val="clear" w:color="auto" w:fill="auto"/>
            <w:noWrap/>
            <w:vAlign w:val="bottom"/>
          </w:tcPr>
          <w:p w14:paraId="7159BD68" w14:textId="77777777" w:rsidR="00804B66" w:rsidRPr="00C31906" w:rsidRDefault="00804B66" w:rsidP="001C4D74">
            <w:pPr>
              <w:spacing w:before="40"/>
              <w:jc w:val="right"/>
              <w:rPr>
                <w:b/>
                <w:bCs/>
                <w:sz w:val="22"/>
                <w:szCs w:val="22"/>
                <w:highlight w:val="yellow"/>
              </w:rPr>
            </w:pPr>
            <w:r>
              <w:rPr>
                <w:color w:val="000000"/>
                <w:sz w:val="22"/>
                <w:szCs w:val="22"/>
              </w:rPr>
              <w:t>(6,200)</w:t>
            </w:r>
          </w:p>
        </w:tc>
      </w:tr>
    </w:tbl>
    <w:p w14:paraId="0B2EADEA" w14:textId="77777777" w:rsidR="00804B66" w:rsidRPr="00582CEC" w:rsidRDefault="00804B66" w:rsidP="0020502A">
      <w:pPr>
        <w:rPr>
          <w:b/>
          <w:bCs/>
          <w:sz w:val="22"/>
          <w:szCs w:val="22"/>
        </w:rPr>
      </w:pPr>
    </w:p>
    <w:p w14:paraId="1DC813C3" w14:textId="04AFE847" w:rsidR="00C35D07" w:rsidRPr="00582CEC" w:rsidRDefault="00C35D07" w:rsidP="00C01E5D">
      <w:pPr>
        <w:outlineLvl w:val="2"/>
        <w:rPr>
          <w:b/>
          <w:bCs/>
          <w:sz w:val="22"/>
          <w:szCs w:val="22"/>
        </w:rPr>
      </w:pPr>
      <w:r w:rsidRPr="00582CEC">
        <w:rPr>
          <w:b/>
          <w:bCs/>
          <w:sz w:val="22"/>
          <w:szCs w:val="22"/>
        </w:rPr>
        <w:t xml:space="preserve">Note </w:t>
      </w:r>
      <w:r w:rsidR="00A75D35" w:rsidRPr="00582CEC">
        <w:rPr>
          <w:b/>
          <w:bCs/>
          <w:sz w:val="22"/>
          <w:szCs w:val="22"/>
        </w:rPr>
        <w:t xml:space="preserve">22 </w:t>
      </w:r>
      <w:r w:rsidRPr="00582CEC">
        <w:rPr>
          <w:b/>
          <w:bCs/>
          <w:sz w:val="22"/>
          <w:szCs w:val="22"/>
        </w:rPr>
        <w:t xml:space="preserve">- Contingent Liabilities </w:t>
      </w:r>
    </w:p>
    <w:bookmarkEnd w:id="216"/>
    <w:p w14:paraId="1FAADEC8" w14:textId="77777777" w:rsidR="00C35D07" w:rsidRPr="00F02921" w:rsidRDefault="00C35D07" w:rsidP="00BB2B57">
      <w:pPr>
        <w:jc w:val="both"/>
        <w:rPr>
          <w:b/>
          <w:bCs/>
          <w:sz w:val="26"/>
          <w:szCs w:val="26"/>
        </w:rPr>
      </w:pPr>
    </w:p>
    <w:p w14:paraId="7931684F" w14:textId="7B2CAFB0" w:rsidR="00C35D07" w:rsidRPr="00F02921" w:rsidRDefault="00693D8E" w:rsidP="00C01E5D">
      <w:pPr>
        <w:ind w:left="720"/>
        <w:jc w:val="both"/>
        <w:outlineLvl w:val="3"/>
        <w:rPr>
          <w:b/>
          <w:bCs/>
          <w:sz w:val="26"/>
          <w:szCs w:val="26"/>
        </w:rPr>
      </w:pPr>
      <w:bookmarkStart w:id="217" w:name="H4_A_Securities_guarantees_and_pledges_u"/>
      <w:r w:rsidRPr="00F02921">
        <w:rPr>
          <w:b/>
          <w:bCs/>
          <w:sz w:val="22"/>
          <w:szCs w:val="22"/>
        </w:rPr>
        <w:t>Securities</w:t>
      </w:r>
      <w:r>
        <w:rPr>
          <w:b/>
          <w:bCs/>
          <w:sz w:val="22"/>
          <w:szCs w:val="22"/>
        </w:rPr>
        <w:t>,</w:t>
      </w:r>
      <w:r w:rsidR="00C35D07" w:rsidRPr="00F02921">
        <w:rPr>
          <w:b/>
          <w:bCs/>
          <w:sz w:val="22"/>
          <w:szCs w:val="22"/>
        </w:rPr>
        <w:t xml:space="preserve"> guarantees and pledges under bank finance agreements</w:t>
      </w:r>
      <w:r w:rsidR="00C35D07" w:rsidRPr="00F02921">
        <w:rPr>
          <w:b/>
          <w:bCs/>
          <w:sz w:val="26"/>
          <w:szCs w:val="26"/>
        </w:rPr>
        <w:t xml:space="preserve"> </w:t>
      </w:r>
    </w:p>
    <w:bookmarkEnd w:id="217"/>
    <w:p w14:paraId="777B8DBD" w14:textId="77777777" w:rsidR="00C35D07" w:rsidRPr="00F02921" w:rsidRDefault="00C35D07" w:rsidP="00EE656D">
      <w:pPr>
        <w:ind w:left="720"/>
        <w:jc w:val="both"/>
        <w:rPr>
          <w:sz w:val="22"/>
          <w:szCs w:val="22"/>
        </w:rPr>
      </w:pPr>
    </w:p>
    <w:p w14:paraId="59F9935B" w14:textId="5F7ACEEE" w:rsidR="00C35D07" w:rsidRPr="00151827" w:rsidRDefault="00C35D07" w:rsidP="00B11489">
      <w:pPr>
        <w:ind w:left="720"/>
        <w:jc w:val="both"/>
        <w:rPr>
          <w:sz w:val="22"/>
          <w:szCs w:val="22"/>
        </w:rPr>
      </w:pPr>
      <w:r w:rsidRPr="00151827">
        <w:rPr>
          <w:sz w:val="22"/>
          <w:szCs w:val="22"/>
        </w:rPr>
        <w:t xml:space="preserve">According to some of the financing agreements to which group companies are parties, the Company is obliged to provide additional funding </w:t>
      </w:r>
      <w:proofErr w:type="gramStart"/>
      <w:r w:rsidRPr="00151827">
        <w:rPr>
          <w:sz w:val="22"/>
          <w:szCs w:val="22"/>
        </w:rPr>
        <w:t>in case</w:t>
      </w:r>
      <w:proofErr w:type="gramEnd"/>
      <w:r w:rsidRPr="00151827">
        <w:rPr>
          <w:sz w:val="22"/>
          <w:szCs w:val="22"/>
        </w:rPr>
        <w:t xml:space="preserve"> such funding is required to complete the releva</w:t>
      </w:r>
      <w:r w:rsidR="002B51C1" w:rsidRPr="00151827">
        <w:rPr>
          <w:sz w:val="22"/>
          <w:szCs w:val="22"/>
        </w:rPr>
        <w:t>nt project.  Furthermore, some G</w:t>
      </w:r>
      <w:r w:rsidRPr="00151827">
        <w:rPr>
          <w:sz w:val="22"/>
          <w:szCs w:val="22"/>
        </w:rPr>
        <w:t>roup companies agreed to comply with certain reporting requirements, as well as to maintain certain financial ratios and minimum cash balances (covenants), such as (</w:t>
      </w:r>
      <w:proofErr w:type="spellStart"/>
      <w:r w:rsidRPr="00151827">
        <w:rPr>
          <w:sz w:val="22"/>
          <w:szCs w:val="22"/>
        </w:rPr>
        <w:t>i</w:t>
      </w:r>
      <w:proofErr w:type="spellEnd"/>
      <w:r w:rsidRPr="00151827">
        <w:rPr>
          <w:sz w:val="22"/>
          <w:szCs w:val="22"/>
        </w:rPr>
        <w:t xml:space="preserve">) certain DSCR between net rental income and debt service amount, and (ii) certain LTV ratios between the outstanding balance of a loan and the value of the relevant assets securing the repayment of such loan. </w:t>
      </w:r>
    </w:p>
    <w:p w14:paraId="5696E219" w14:textId="77777777" w:rsidR="00C35D07" w:rsidRPr="00151827" w:rsidRDefault="00C35D07" w:rsidP="00B11489">
      <w:pPr>
        <w:ind w:left="720"/>
        <w:jc w:val="both"/>
        <w:rPr>
          <w:sz w:val="22"/>
          <w:szCs w:val="22"/>
        </w:rPr>
      </w:pPr>
    </w:p>
    <w:p w14:paraId="756CC354" w14:textId="14145311" w:rsidR="00C35D07" w:rsidRPr="00693D8E" w:rsidRDefault="00056637" w:rsidP="00B36C93">
      <w:pPr>
        <w:ind w:left="720"/>
        <w:jc w:val="both"/>
        <w:rPr>
          <w:sz w:val="22"/>
          <w:szCs w:val="22"/>
        </w:rPr>
      </w:pPr>
      <w:r w:rsidRPr="00151827">
        <w:rPr>
          <w:sz w:val="22"/>
          <w:szCs w:val="22"/>
        </w:rPr>
        <w:t>To the best of the Company’s knowledge, the Company is not aware of any breach of covenants under the various financing agreements to w</w:t>
      </w:r>
      <w:r w:rsidR="002B51C1" w:rsidRPr="00151827">
        <w:rPr>
          <w:sz w:val="22"/>
          <w:szCs w:val="22"/>
        </w:rPr>
        <w:t>hich G</w:t>
      </w:r>
      <w:r w:rsidRPr="00151827">
        <w:rPr>
          <w:sz w:val="22"/>
          <w:szCs w:val="22"/>
        </w:rPr>
        <w:t>roup companies are parties</w:t>
      </w:r>
      <w:r w:rsidR="00693D8E" w:rsidRPr="00151827">
        <w:rPr>
          <w:sz w:val="22"/>
          <w:szCs w:val="22"/>
        </w:rPr>
        <w:t>.</w:t>
      </w:r>
    </w:p>
    <w:p w14:paraId="688E5D15" w14:textId="77777777" w:rsidR="00056637" w:rsidRPr="00693D8E" w:rsidRDefault="00056637" w:rsidP="00EE656D">
      <w:pPr>
        <w:ind w:left="720"/>
        <w:jc w:val="both"/>
        <w:rPr>
          <w:sz w:val="22"/>
          <w:szCs w:val="22"/>
        </w:rPr>
      </w:pPr>
    </w:p>
    <w:p w14:paraId="41855EF5" w14:textId="77777777" w:rsidR="0095120A" w:rsidRDefault="0095120A">
      <w:pPr>
        <w:rPr>
          <w:b/>
          <w:bCs/>
          <w:sz w:val="26"/>
          <w:szCs w:val="26"/>
        </w:rPr>
      </w:pPr>
      <w:r>
        <w:rPr>
          <w:b/>
          <w:bCs/>
          <w:sz w:val="26"/>
          <w:szCs w:val="26"/>
        </w:rPr>
        <w:br w:type="page"/>
      </w:r>
    </w:p>
    <w:p w14:paraId="1123190B" w14:textId="77777777" w:rsidR="00582CEC" w:rsidRPr="00582CEC" w:rsidRDefault="00582CEC" w:rsidP="0020502A">
      <w:pPr>
        <w:rPr>
          <w:b/>
          <w:bCs/>
          <w:sz w:val="22"/>
          <w:szCs w:val="22"/>
        </w:rPr>
      </w:pPr>
      <w:bookmarkStart w:id="218" w:name="H3_Note_23_Related_Parties_"/>
    </w:p>
    <w:p w14:paraId="566F350E" w14:textId="7F1CDBA4" w:rsidR="00C35D07" w:rsidRDefault="00C35D07" w:rsidP="00582CEC">
      <w:pPr>
        <w:jc w:val="both"/>
        <w:outlineLvl w:val="2"/>
        <w:rPr>
          <w:b/>
          <w:bCs/>
          <w:sz w:val="22"/>
          <w:szCs w:val="22"/>
        </w:rPr>
      </w:pPr>
      <w:r w:rsidRPr="00582CEC">
        <w:rPr>
          <w:b/>
          <w:bCs/>
          <w:sz w:val="22"/>
          <w:szCs w:val="22"/>
        </w:rPr>
        <w:t xml:space="preserve">Note </w:t>
      </w:r>
      <w:r w:rsidR="00A75D35" w:rsidRPr="00582CEC">
        <w:rPr>
          <w:b/>
          <w:bCs/>
          <w:sz w:val="22"/>
          <w:szCs w:val="22"/>
        </w:rPr>
        <w:t>23</w:t>
      </w:r>
      <w:r w:rsidRPr="00582CEC">
        <w:rPr>
          <w:b/>
          <w:bCs/>
          <w:sz w:val="22"/>
          <w:szCs w:val="22"/>
        </w:rPr>
        <w:t xml:space="preserve">- Related Parties </w:t>
      </w:r>
    </w:p>
    <w:p w14:paraId="61F6E797" w14:textId="77777777" w:rsidR="00D85F46" w:rsidRPr="00582CEC" w:rsidRDefault="00D85F46" w:rsidP="00903C29">
      <w:pPr>
        <w:jc w:val="both"/>
        <w:rPr>
          <w:b/>
          <w:bCs/>
          <w:sz w:val="22"/>
          <w:szCs w:val="22"/>
        </w:rPr>
      </w:pPr>
    </w:p>
    <w:bookmarkEnd w:id="218"/>
    <w:p w14:paraId="29357E11" w14:textId="77787049" w:rsidR="00C63F1D" w:rsidRDefault="00C63F1D" w:rsidP="00C63F1D">
      <w:pPr>
        <w:ind w:left="720"/>
        <w:jc w:val="both"/>
        <w:rPr>
          <w:sz w:val="22"/>
          <w:szCs w:val="22"/>
        </w:rPr>
      </w:pPr>
      <w:r w:rsidRPr="00FB5406">
        <w:rPr>
          <w:sz w:val="22"/>
          <w:szCs w:val="22"/>
        </w:rPr>
        <w:t>The parent company is AFI Properties Holdings Ltd</w:t>
      </w:r>
      <w:r w:rsidR="00B20BEA">
        <w:rPr>
          <w:sz w:val="22"/>
          <w:szCs w:val="22"/>
        </w:rPr>
        <w:t>.</w:t>
      </w:r>
      <w:r w:rsidRPr="00FB5406">
        <w:rPr>
          <w:sz w:val="22"/>
          <w:szCs w:val="22"/>
        </w:rPr>
        <w:t xml:space="preserve"> (Israel) which is </w:t>
      </w:r>
      <w:r w:rsidR="009A05CC">
        <w:rPr>
          <w:sz w:val="22"/>
          <w:szCs w:val="22"/>
        </w:rPr>
        <w:t>a fully owned subsidiary</w:t>
      </w:r>
      <w:r w:rsidR="009A05CC" w:rsidRPr="00FB5406">
        <w:rPr>
          <w:sz w:val="22"/>
          <w:szCs w:val="22"/>
        </w:rPr>
        <w:t xml:space="preserve"> of AFI Properties</w:t>
      </w:r>
      <w:r>
        <w:rPr>
          <w:sz w:val="22"/>
          <w:szCs w:val="22"/>
        </w:rPr>
        <w:t>.</w:t>
      </w:r>
    </w:p>
    <w:p w14:paraId="043214CA" w14:textId="77777777" w:rsidR="00C63F1D" w:rsidRPr="00FC7FC1" w:rsidRDefault="00C63F1D" w:rsidP="00C63F1D">
      <w:pPr>
        <w:ind w:left="720"/>
        <w:jc w:val="both"/>
        <w:rPr>
          <w:sz w:val="16"/>
          <w:szCs w:val="16"/>
        </w:rPr>
      </w:pPr>
    </w:p>
    <w:p w14:paraId="10544F38" w14:textId="77777777" w:rsidR="00C63F1D" w:rsidRPr="00FC7FC1" w:rsidRDefault="00C63F1D" w:rsidP="00C63F1D">
      <w:pPr>
        <w:ind w:left="720"/>
        <w:jc w:val="both"/>
        <w:rPr>
          <w:sz w:val="22"/>
          <w:szCs w:val="22"/>
        </w:rPr>
      </w:pPr>
      <w:r w:rsidRPr="00FC7FC1">
        <w:rPr>
          <w:sz w:val="22"/>
          <w:szCs w:val="22"/>
        </w:rPr>
        <w:t xml:space="preserve">Transactions between the companies within the Group, which are related parties, have been eliminated in the consolidated financial statements and are not disclosed in this note. </w:t>
      </w:r>
    </w:p>
    <w:p w14:paraId="6C6AD352" w14:textId="77777777" w:rsidR="003765D4" w:rsidRDefault="003765D4" w:rsidP="00D2653F">
      <w:pPr>
        <w:ind w:left="720"/>
        <w:jc w:val="both"/>
        <w:rPr>
          <w:sz w:val="22"/>
          <w:szCs w:val="22"/>
        </w:rPr>
      </w:pPr>
    </w:p>
    <w:p w14:paraId="5055B624" w14:textId="4DE88609" w:rsidR="00C35D07" w:rsidRDefault="00C35D07" w:rsidP="00D2653F">
      <w:pPr>
        <w:ind w:left="720"/>
        <w:jc w:val="both"/>
        <w:rPr>
          <w:sz w:val="22"/>
          <w:szCs w:val="22"/>
        </w:rPr>
      </w:pPr>
      <w:r w:rsidRPr="00F02921">
        <w:rPr>
          <w:sz w:val="22"/>
          <w:szCs w:val="22"/>
        </w:rPr>
        <w:t xml:space="preserve">Details of transactions between the Group and other related parties are disclosed below: </w:t>
      </w:r>
    </w:p>
    <w:p w14:paraId="033955E1" w14:textId="77777777" w:rsidR="007E55CA" w:rsidRPr="00210FED" w:rsidRDefault="007E55CA" w:rsidP="00D2653F">
      <w:pPr>
        <w:ind w:left="720"/>
        <w:jc w:val="both"/>
        <w:rPr>
          <w:sz w:val="16"/>
          <w:szCs w:val="16"/>
        </w:rPr>
      </w:pPr>
    </w:p>
    <w:p w14:paraId="49A04133" w14:textId="77777777" w:rsidR="00C35D07" w:rsidRPr="00F02921" w:rsidRDefault="00C35D07" w:rsidP="00D2653F">
      <w:pPr>
        <w:ind w:left="720"/>
        <w:rPr>
          <w:rStyle w:val="Koteret"/>
          <w:b w:val="0"/>
          <w:bCs/>
          <w:i/>
          <w:iCs/>
        </w:rPr>
      </w:pPr>
      <w:r w:rsidRPr="00F02921">
        <w:rPr>
          <w:rStyle w:val="Koteret"/>
          <w:b w:val="0"/>
          <w:bCs/>
          <w:i/>
          <w:iCs/>
        </w:rPr>
        <w:t>In thousands of Euros</w:t>
      </w:r>
    </w:p>
    <w:tbl>
      <w:tblPr>
        <w:tblW w:w="9296" w:type="dxa"/>
        <w:tblInd w:w="392" w:type="dxa"/>
        <w:tblLook w:val="06A0" w:firstRow="1" w:lastRow="0" w:firstColumn="1" w:lastColumn="0" w:noHBand="1" w:noVBand="1"/>
        <w:tblCaption w:val="AHR01"/>
        <w:tblDescription w:val="Details of transactions between the Group and other related parties"/>
      </w:tblPr>
      <w:tblGrid>
        <w:gridCol w:w="4535"/>
        <w:gridCol w:w="1587"/>
        <w:gridCol w:w="1587"/>
        <w:gridCol w:w="1587"/>
      </w:tblGrid>
      <w:tr w:rsidR="00B0145E" w:rsidRPr="002B51C1" w14:paraId="64E8AAEC" w14:textId="77777777" w:rsidTr="005101BC">
        <w:trPr>
          <w:cantSplit/>
          <w:trHeight w:val="747"/>
          <w:tblHeader/>
        </w:trPr>
        <w:tc>
          <w:tcPr>
            <w:tcW w:w="4535" w:type="dxa"/>
            <w:shd w:val="clear" w:color="auto" w:fill="auto"/>
            <w:vAlign w:val="bottom"/>
            <w:hideMark/>
          </w:tcPr>
          <w:p w14:paraId="23F21EAB" w14:textId="77777777" w:rsidR="00B0145E" w:rsidRPr="002B51C1" w:rsidRDefault="00B0145E">
            <w:pPr>
              <w:spacing w:before="40"/>
              <w:rPr>
                <w:rFonts w:asciiTheme="majorBidi" w:eastAsia="Arial" w:hAnsiTheme="majorBidi" w:cstheme="majorBidi"/>
                <w:sz w:val="20"/>
              </w:rPr>
            </w:pPr>
            <w:bookmarkStart w:id="219" w:name="Title_63" w:colFirst="0" w:colLast="0"/>
          </w:p>
        </w:tc>
        <w:tc>
          <w:tcPr>
            <w:tcW w:w="1587" w:type="dxa"/>
            <w:shd w:val="clear" w:color="auto" w:fill="auto"/>
            <w:noWrap/>
            <w:vAlign w:val="bottom"/>
            <w:hideMark/>
          </w:tcPr>
          <w:p w14:paraId="6CFE9C3A" w14:textId="77777777" w:rsidR="00B0145E" w:rsidRPr="00F1128F" w:rsidRDefault="00B0145E" w:rsidP="005031F8">
            <w:pPr>
              <w:spacing w:before="40"/>
              <w:jc w:val="center"/>
              <w:rPr>
                <w:rFonts w:asciiTheme="majorBidi" w:hAnsiTheme="majorBidi" w:cstheme="majorBidi"/>
                <w:b/>
                <w:bCs/>
                <w:sz w:val="20"/>
              </w:rPr>
            </w:pPr>
            <w:r w:rsidRPr="00F1128F">
              <w:rPr>
                <w:rFonts w:asciiTheme="majorBidi" w:hAnsiTheme="majorBidi" w:cstheme="majorBidi"/>
                <w:b/>
                <w:bCs/>
                <w:color w:val="000000"/>
                <w:sz w:val="20"/>
              </w:rPr>
              <w:t>December 31,</w:t>
            </w:r>
          </w:p>
          <w:p w14:paraId="1A8F4823" w14:textId="2E34A561" w:rsidR="00B0145E" w:rsidRPr="00F1128F" w:rsidRDefault="00AD1E41" w:rsidP="005031F8">
            <w:pPr>
              <w:pBdr>
                <w:bottom w:val="single" w:sz="4" w:space="0" w:color="000000"/>
              </w:pBdr>
              <w:bidi/>
              <w:spacing w:before="40"/>
              <w:ind w:left="57"/>
              <w:jc w:val="center"/>
              <w:rPr>
                <w:rFonts w:asciiTheme="majorBidi" w:hAnsiTheme="majorBidi" w:cstheme="majorBidi"/>
                <w:b/>
                <w:bCs/>
                <w:sz w:val="20"/>
              </w:rPr>
            </w:pPr>
            <w:r>
              <w:rPr>
                <w:rFonts w:asciiTheme="majorBidi" w:hAnsiTheme="majorBidi" w:cstheme="majorBidi" w:hint="cs"/>
                <w:b/>
                <w:bCs/>
                <w:color w:val="000000"/>
                <w:sz w:val="20"/>
                <w:rtl/>
                <w:lang w:bidi="he-IL"/>
              </w:rPr>
              <w:t>202</w:t>
            </w:r>
            <w:r w:rsidR="00A95416">
              <w:rPr>
                <w:rFonts w:asciiTheme="majorBidi" w:hAnsiTheme="majorBidi" w:cstheme="majorBidi" w:hint="cs"/>
                <w:b/>
                <w:bCs/>
                <w:color w:val="000000"/>
                <w:sz w:val="20"/>
                <w:rtl/>
                <w:lang w:bidi="he-IL"/>
              </w:rPr>
              <w:t>4</w:t>
            </w:r>
          </w:p>
        </w:tc>
        <w:tc>
          <w:tcPr>
            <w:tcW w:w="1587" w:type="dxa"/>
            <w:shd w:val="clear" w:color="auto" w:fill="auto"/>
            <w:noWrap/>
            <w:vAlign w:val="bottom"/>
            <w:hideMark/>
          </w:tcPr>
          <w:p w14:paraId="595FD5B8" w14:textId="77777777" w:rsidR="00B0145E" w:rsidRPr="009A5ABF" w:rsidRDefault="00B0145E" w:rsidP="005031F8">
            <w:pPr>
              <w:spacing w:before="40"/>
              <w:jc w:val="center"/>
              <w:rPr>
                <w:rFonts w:asciiTheme="majorBidi" w:hAnsiTheme="majorBidi" w:cstheme="majorBidi"/>
                <w:b/>
                <w:bCs/>
                <w:sz w:val="20"/>
              </w:rPr>
            </w:pPr>
            <w:r w:rsidRPr="009A5ABF">
              <w:rPr>
                <w:rFonts w:asciiTheme="majorBidi" w:hAnsiTheme="majorBidi" w:cstheme="majorBidi"/>
                <w:b/>
                <w:bCs/>
                <w:color w:val="000000"/>
                <w:sz w:val="20"/>
              </w:rPr>
              <w:t>December 31,</w:t>
            </w:r>
          </w:p>
          <w:p w14:paraId="05CF1B2B" w14:textId="14D82D14" w:rsidR="00B0145E" w:rsidRPr="009A5ABF" w:rsidRDefault="00A95416" w:rsidP="005031F8">
            <w:pPr>
              <w:pBdr>
                <w:bottom w:val="single" w:sz="4" w:space="0" w:color="000000"/>
              </w:pBdr>
              <w:bidi/>
              <w:spacing w:before="40"/>
              <w:ind w:left="57"/>
              <w:jc w:val="center"/>
              <w:rPr>
                <w:rFonts w:asciiTheme="majorBidi" w:hAnsiTheme="majorBidi" w:cstheme="majorBidi"/>
                <w:b/>
                <w:bCs/>
                <w:sz w:val="20"/>
                <w:lang w:bidi="he-IL"/>
              </w:rPr>
            </w:pPr>
            <w:r>
              <w:rPr>
                <w:rFonts w:asciiTheme="majorBidi" w:hAnsiTheme="majorBidi" w:cstheme="majorBidi"/>
                <w:b/>
                <w:bCs/>
                <w:color w:val="000000"/>
                <w:sz w:val="20"/>
              </w:rPr>
              <w:t>2023</w:t>
            </w:r>
          </w:p>
        </w:tc>
        <w:tc>
          <w:tcPr>
            <w:tcW w:w="1587" w:type="dxa"/>
            <w:shd w:val="clear" w:color="auto" w:fill="auto"/>
            <w:noWrap/>
            <w:vAlign w:val="bottom"/>
            <w:hideMark/>
          </w:tcPr>
          <w:p w14:paraId="68314646" w14:textId="77777777" w:rsidR="00B0145E" w:rsidRPr="009A5ABF" w:rsidRDefault="00B0145E" w:rsidP="005031F8">
            <w:pPr>
              <w:spacing w:before="40"/>
              <w:jc w:val="center"/>
              <w:rPr>
                <w:rFonts w:asciiTheme="majorBidi" w:hAnsiTheme="majorBidi" w:cstheme="majorBidi"/>
                <w:b/>
                <w:bCs/>
                <w:sz w:val="20"/>
              </w:rPr>
            </w:pPr>
            <w:r w:rsidRPr="009A5ABF">
              <w:rPr>
                <w:rFonts w:asciiTheme="majorBidi" w:hAnsiTheme="majorBidi" w:cstheme="majorBidi"/>
                <w:b/>
                <w:bCs/>
                <w:color w:val="000000"/>
                <w:sz w:val="20"/>
              </w:rPr>
              <w:t>December 31,</w:t>
            </w:r>
          </w:p>
          <w:p w14:paraId="7551F9CA" w14:textId="532991FF" w:rsidR="00B0145E" w:rsidRPr="009A5ABF" w:rsidRDefault="0008676C" w:rsidP="005031F8">
            <w:pPr>
              <w:pBdr>
                <w:bottom w:val="single" w:sz="4" w:space="0" w:color="000000"/>
              </w:pBdr>
              <w:bidi/>
              <w:spacing w:before="40"/>
              <w:ind w:left="57"/>
              <w:jc w:val="center"/>
              <w:rPr>
                <w:rFonts w:asciiTheme="majorBidi" w:hAnsiTheme="majorBidi" w:cstheme="majorBidi"/>
                <w:b/>
                <w:bCs/>
                <w:sz w:val="20"/>
              </w:rPr>
            </w:pPr>
            <w:r>
              <w:rPr>
                <w:rFonts w:asciiTheme="majorBidi" w:hAnsiTheme="majorBidi" w:cstheme="majorBidi"/>
                <w:b/>
                <w:bCs/>
                <w:color w:val="000000"/>
                <w:sz w:val="20"/>
              </w:rPr>
              <w:t>20</w:t>
            </w:r>
            <w:r w:rsidR="00A95416">
              <w:rPr>
                <w:rFonts w:asciiTheme="majorBidi" w:hAnsiTheme="majorBidi" w:cstheme="majorBidi"/>
                <w:b/>
                <w:bCs/>
                <w:color w:val="000000"/>
                <w:sz w:val="20"/>
              </w:rPr>
              <w:t>22</w:t>
            </w:r>
          </w:p>
        </w:tc>
      </w:tr>
      <w:bookmarkEnd w:id="219"/>
      <w:tr w:rsidR="005E1CAB" w:rsidRPr="002B51C1" w14:paraId="64E3AF7C" w14:textId="77777777" w:rsidTr="005101BC">
        <w:trPr>
          <w:trHeight w:val="283"/>
        </w:trPr>
        <w:tc>
          <w:tcPr>
            <w:tcW w:w="4535" w:type="dxa"/>
            <w:shd w:val="clear" w:color="auto" w:fill="auto"/>
            <w:vAlign w:val="bottom"/>
            <w:hideMark/>
          </w:tcPr>
          <w:p w14:paraId="0672C98E" w14:textId="3BF46CE7" w:rsidR="005E1CAB" w:rsidRPr="00055843" w:rsidRDefault="005E1CAB" w:rsidP="005E1CAB">
            <w:pPr>
              <w:spacing w:before="40"/>
              <w:rPr>
                <w:rFonts w:asciiTheme="majorBidi" w:hAnsiTheme="majorBidi" w:cstheme="majorBidi"/>
                <w:sz w:val="22"/>
                <w:szCs w:val="22"/>
              </w:rPr>
            </w:pPr>
            <w:r w:rsidRPr="00055843">
              <w:rPr>
                <w:rFonts w:asciiTheme="majorBidi" w:hAnsiTheme="majorBidi" w:cstheme="majorBidi"/>
                <w:color w:val="000000"/>
                <w:sz w:val="22"/>
                <w:szCs w:val="22"/>
              </w:rPr>
              <w:t>Management fees to AFI Properties</w:t>
            </w:r>
          </w:p>
        </w:tc>
        <w:tc>
          <w:tcPr>
            <w:tcW w:w="1587" w:type="dxa"/>
            <w:shd w:val="clear" w:color="auto" w:fill="auto"/>
            <w:noWrap/>
            <w:vAlign w:val="bottom"/>
          </w:tcPr>
          <w:p w14:paraId="7CAAFB90" w14:textId="7F29F801" w:rsidR="005E1CAB" w:rsidRPr="005E1CAB" w:rsidRDefault="005E1CAB" w:rsidP="005E1CAB">
            <w:pPr>
              <w:spacing w:before="40"/>
              <w:jc w:val="right"/>
              <w:rPr>
                <w:b/>
                <w:bCs/>
                <w:sz w:val="22"/>
                <w:szCs w:val="22"/>
                <w:highlight w:val="yellow"/>
              </w:rPr>
            </w:pPr>
            <w:r w:rsidRPr="005E1CAB">
              <w:rPr>
                <w:sz w:val="22"/>
                <w:szCs w:val="22"/>
              </w:rPr>
              <w:t>(3,511)</w:t>
            </w:r>
          </w:p>
        </w:tc>
        <w:tc>
          <w:tcPr>
            <w:tcW w:w="1587" w:type="dxa"/>
            <w:shd w:val="clear" w:color="auto" w:fill="auto"/>
            <w:noWrap/>
            <w:vAlign w:val="bottom"/>
          </w:tcPr>
          <w:p w14:paraId="4681BF3E" w14:textId="71C3BAE1" w:rsidR="005E1CAB" w:rsidRPr="005031F8" w:rsidRDefault="005E1CAB" w:rsidP="005E1CAB">
            <w:pPr>
              <w:spacing w:before="40"/>
              <w:jc w:val="right"/>
              <w:rPr>
                <w:rFonts w:asciiTheme="majorBidi" w:hAnsiTheme="majorBidi" w:cstheme="majorBidi"/>
                <w:sz w:val="22"/>
                <w:szCs w:val="22"/>
              </w:rPr>
            </w:pPr>
            <w:r>
              <w:rPr>
                <w:sz w:val="22"/>
                <w:szCs w:val="22"/>
              </w:rPr>
              <w:t>(1,906)</w:t>
            </w:r>
          </w:p>
        </w:tc>
        <w:tc>
          <w:tcPr>
            <w:tcW w:w="1587" w:type="dxa"/>
            <w:shd w:val="clear" w:color="auto" w:fill="auto"/>
            <w:noWrap/>
            <w:vAlign w:val="bottom"/>
          </w:tcPr>
          <w:p w14:paraId="7A929825" w14:textId="032FF5DA" w:rsidR="005E1CAB" w:rsidRPr="003C5E0D" w:rsidRDefault="005E1CAB" w:rsidP="005E1CAB">
            <w:pPr>
              <w:spacing w:before="40"/>
              <w:jc w:val="right"/>
              <w:rPr>
                <w:rFonts w:asciiTheme="majorBidi" w:hAnsiTheme="majorBidi" w:cstheme="majorBidi"/>
                <w:sz w:val="22"/>
                <w:szCs w:val="22"/>
              </w:rPr>
            </w:pPr>
            <w:r w:rsidRPr="005031F8">
              <w:rPr>
                <w:sz w:val="22"/>
                <w:szCs w:val="22"/>
              </w:rPr>
              <w:t>(3,730)</w:t>
            </w:r>
          </w:p>
        </w:tc>
      </w:tr>
      <w:tr w:rsidR="005E1CAB" w:rsidRPr="002B51C1" w14:paraId="60D8A1AA" w14:textId="77777777" w:rsidTr="005101BC">
        <w:trPr>
          <w:trHeight w:val="283"/>
        </w:trPr>
        <w:tc>
          <w:tcPr>
            <w:tcW w:w="4535" w:type="dxa"/>
            <w:shd w:val="clear" w:color="auto" w:fill="auto"/>
            <w:vAlign w:val="bottom"/>
            <w:hideMark/>
          </w:tcPr>
          <w:p w14:paraId="0DD0258E" w14:textId="002B949B" w:rsidR="005E1CAB" w:rsidRPr="00055843" w:rsidRDefault="005E1CAB" w:rsidP="005E1CAB">
            <w:pPr>
              <w:spacing w:before="40"/>
              <w:rPr>
                <w:rFonts w:asciiTheme="majorBidi" w:hAnsiTheme="majorBidi" w:cstheme="majorBidi"/>
                <w:sz w:val="22"/>
                <w:szCs w:val="22"/>
                <w:lang w:bidi="he-IL"/>
              </w:rPr>
            </w:pPr>
            <w:r w:rsidRPr="00055843">
              <w:rPr>
                <w:rFonts w:asciiTheme="majorBidi" w:hAnsiTheme="majorBidi" w:cstheme="majorBidi"/>
                <w:color w:val="000000"/>
                <w:sz w:val="22"/>
                <w:szCs w:val="22"/>
              </w:rPr>
              <w:t>Interest expenses to AFI Properties</w:t>
            </w:r>
            <w:r w:rsidRPr="00055843">
              <w:rPr>
                <w:rFonts w:asciiTheme="majorBidi" w:hAnsiTheme="majorBidi" w:cstheme="majorBidi" w:hint="cs"/>
                <w:color w:val="000000"/>
                <w:sz w:val="22"/>
                <w:szCs w:val="22"/>
                <w:rtl/>
                <w:lang w:bidi="he-IL"/>
              </w:rPr>
              <w:t xml:space="preserve"> </w:t>
            </w:r>
            <w:r w:rsidRPr="00055843">
              <w:rPr>
                <w:rFonts w:asciiTheme="majorBidi" w:hAnsiTheme="majorBidi" w:cstheme="majorBidi"/>
                <w:color w:val="000000"/>
                <w:sz w:val="22"/>
                <w:szCs w:val="22"/>
                <w:lang w:bidi="he-IL"/>
              </w:rPr>
              <w:t>(*)</w:t>
            </w:r>
          </w:p>
        </w:tc>
        <w:tc>
          <w:tcPr>
            <w:tcW w:w="1587" w:type="dxa"/>
            <w:shd w:val="clear" w:color="auto" w:fill="auto"/>
            <w:noWrap/>
            <w:vAlign w:val="bottom"/>
          </w:tcPr>
          <w:p w14:paraId="053D7595" w14:textId="081C2D7C" w:rsidR="005E1CAB" w:rsidRPr="005E1CAB" w:rsidRDefault="005E1CAB" w:rsidP="005E1CAB">
            <w:pPr>
              <w:spacing w:before="40"/>
              <w:jc w:val="right"/>
              <w:rPr>
                <w:b/>
                <w:bCs/>
                <w:sz w:val="22"/>
                <w:szCs w:val="22"/>
                <w:highlight w:val="yellow"/>
              </w:rPr>
            </w:pPr>
            <w:r w:rsidRPr="005E1CAB">
              <w:rPr>
                <w:sz w:val="22"/>
                <w:szCs w:val="22"/>
              </w:rPr>
              <w:t>(57,909)</w:t>
            </w:r>
          </w:p>
        </w:tc>
        <w:tc>
          <w:tcPr>
            <w:tcW w:w="1587" w:type="dxa"/>
            <w:shd w:val="clear" w:color="auto" w:fill="auto"/>
            <w:noWrap/>
            <w:vAlign w:val="bottom"/>
          </w:tcPr>
          <w:p w14:paraId="21D48310" w14:textId="61F7715A" w:rsidR="005E1CAB" w:rsidRPr="005031F8" w:rsidRDefault="005E1CAB" w:rsidP="005E1CAB">
            <w:pPr>
              <w:spacing w:before="40"/>
              <w:jc w:val="right"/>
              <w:rPr>
                <w:rFonts w:asciiTheme="majorBidi" w:hAnsiTheme="majorBidi" w:cstheme="majorBidi"/>
                <w:sz w:val="22"/>
                <w:szCs w:val="22"/>
              </w:rPr>
            </w:pPr>
            <w:r>
              <w:rPr>
                <w:sz w:val="22"/>
                <w:szCs w:val="22"/>
              </w:rPr>
              <w:t>(49,009)</w:t>
            </w:r>
          </w:p>
        </w:tc>
        <w:tc>
          <w:tcPr>
            <w:tcW w:w="1587" w:type="dxa"/>
            <w:shd w:val="clear" w:color="auto" w:fill="auto"/>
            <w:noWrap/>
            <w:vAlign w:val="bottom"/>
          </w:tcPr>
          <w:p w14:paraId="70B4BD8C" w14:textId="48EE5C1F" w:rsidR="005E1CAB" w:rsidRPr="003C5E0D" w:rsidRDefault="005E1CAB" w:rsidP="005E1CAB">
            <w:pPr>
              <w:spacing w:before="40"/>
              <w:jc w:val="right"/>
              <w:rPr>
                <w:rFonts w:asciiTheme="majorBidi" w:hAnsiTheme="majorBidi" w:cstheme="majorBidi"/>
                <w:sz w:val="22"/>
                <w:szCs w:val="22"/>
              </w:rPr>
            </w:pPr>
            <w:r w:rsidRPr="005031F8">
              <w:rPr>
                <w:sz w:val="22"/>
                <w:szCs w:val="22"/>
              </w:rPr>
              <w:t>(25,457)</w:t>
            </w:r>
          </w:p>
        </w:tc>
      </w:tr>
      <w:tr w:rsidR="005E1CAB" w:rsidRPr="002B51C1" w14:paraId="07ACE61D" w14:textId="77777777" w:rsidTr="005101BC">
        <w:trPr>
          <w:trHeight w:val="283"/>
        </w:trPr>
        <w:tc>
          <w:tcPr>
            <w:tcW w:w="4535" w:type="dxa"/>
            <w:shd w:val="clear" w:color="auto" w:fill="auto"/>
            <w:vAlign w:val="bottom"/>
            <w:hideMark/>
          </w:tcPr>
          <w:p w14:paraId="71BECFB2" w14:textId="75074FB5" w:rsidR="005E1CAB" w:rsidRPr="00055843" w:rsidRDefault="005E1CAB" w:rsidP="005E1CAB">
            <w:pPr>
              <w:spacing w:before="40"/>
              <w:rPr>
                <w:rFonts w:asciiTheme="majorBidi" w:hAnsiTheme="majorBidi" w:cstheme="majorBidi"/>
                <w:sz w:val="22"/>
                <w:szCs w:val="22"/>
              </w:rPr>
            </w:pPr>
            <w:proofErr w:type="gramStart"/>
            <w:r w:rsidRPr="00055843">
              <w:rPr>
                <w:rFonts w:asciiTheme="majorBidi" w:hAnsiTheme="majorBidi" w:cstheme="majorBidi"/>
                <w:color w:val="000000"/>
                <w:sz w:val="22"/>
                <w:szCs w:val="22"/>
              </w:rPr>
              <w:t>Interest</w:t>
            </w:r>
            <w:proofErr w:type="gramEnd"/>
            <w:r w:rsidRPr="00055843">
              <w:rPr>
                <w:rFonts w:asciiTheme="majorBidi" w:hAnsiTheme="majorBidi" w:cstheme="majorBidi"/>
                <w:color w:val="000000"/>
                <w:sz w:val="22"/>
                <w:szCs w:val="22"/>
              </w:rPr>
              <w:t xml:space="preserve"> income from other related parties, net</w:t>
            </w:r>
          </w:p>
        </w:tc>
        <w:tc>
          <w:tcPr>
            <w:tcW w:w="1587" w:type="dxa"/>
            <w:shd w:val="clear" w:color="auto" w:fill="auto"/>
            <w:noWrap/>
            <w:vAlign w:val="bottom"/>
          </w:tcPr>
          <w:p w14:paraId="4032D0CE" w14:textId="5AAE4A85" w:rsidR="005E1CAB" w:rsidRPr="005E1CAB" w:rsidRDefault="005E1CAB" w:rsidP="005E1CAB">
            <w:pPr>
              <w:pBdr>
                <w:bottom w:val="single" w:sz="4" w:space="0" w:color="000000"/>
              </w:pBdr>
              <w:spacing w:before="40"/>
              <w:jc w:val="right"/>
              <w:rPr>
                <w:b/>
                <w:bCs/>
                <w:sz w:val="22"/>
                <w:szCs w:val="22"/>
                <w:highlight w:val="yellow"/>
              </w:rPr>
            </w:pPr>
            <w:r w:rsidRPr="005E1CAB">
              <w:rPr>
                <w:sz w:val="22"/>
                <w:szCs w:val="22"/>
              </w:rPr>
              <w:t>1,280</w:t>
            </w:r>
          </w:p>
        </w:tc>
        <w:tc>
          <w:tcPr>
            <w:tcW w:w="1587" w:type="dxa"/>
            <w:shd w:val="clear" w:color="auto" w:fill="auto"/>
            <w:noWrap/>
            <w:vAlign w:val="bottom"/>
          </w:tcPr>
          <w:p w14:paraId="78815376" w14:textId="7B50E21B" w:rsidR="005E1CAB" w:rsidRPr="005031F8" w:rsidRDefault="005E1CAB" w:rsidP="005E1CAB">
            <w:pPr>
              <w:pBdr>
                <w:bottom w:val="single" w:sz="4" w:space="0" w:color="000000"/>
              </w:pBdr>
              <w:spacing w:before="40"/>
              <w:jc w:val="right"/>
              <w:rPr>
                <w:rFonts w:asciiTheme="majorBidi" w:hAnsiTheme="majorBidi" w:cstheme="majorBidi"/>
                <w:sz w:val="22"/>
                <w:szCs w:val="22"/>
              </w:rPr>
            </w:pPr>
            <w:r>
              <w:rPr>
                <w:sz w:val="22"/>
                <w:szCs w:val="22"/>
              </w:rPr>
              <w:t>802</w:t>
            </w:r>
          </w:p>
        </w:tc>
        <w:tc>
          <w:tcPr>
            <w:tcW w:w="1587" w:type="dxa"/>
            <w:shd w:val="clear" w:color="auto" w:fill="auto"/>
            <w:noWrap/>
            <w:vAlign w:val="bottom"/>
          </w:tcPr>
          <w:p w14:paraId="146BD3E6" w14:textId="1F53B38F" w:rsidR="005E1CAB" w:rsidRPr="003C5E0D" w:rsidRDefault="005E1CAB" w:rsidP="005E1CAB">
            <w:pPr>
              <w:pBdr>
                <w:bottom w:val="single" w:sz="4" w:space="0" w:color="000000"/>
              </w:pBdr>
              <w:spacing w:before="40"/>
              <w:jc w:val="right"/>
              <w:rPr>
                <w:rFonts w:asciiTheme="majorBidi" w:hAnsiTheme="majorBidi" w:cstheme="majorBidi"/>
                <w:sz w:val="22"/>
                <w:szCs w:val="22"/>
              </w:rPr>
            </w:pPr>
            <w:r w:rsidRPr="005031F8">
              <w:rPr>
                <w:sz w:val="22"/>
                <w:szCs w:val="22"/>
              </w:rPr>
              <w:t>132</w:t>
            </w:r>
          </w:p>
        </w:tc>
      </w:tr>
      <w:tr w:rsidR="005E1CAB" w:rsidRPr="002B51C1" w14:paraId="77165169" w14:textId="77777777" w:rsidTr="005101BC">
        <w:trPr>
          <w:trHeight w:val="283"/>
        </w:trPr>
        <w:tc>
          <w:tcPr>
            <w:tcW w:w="4535" w:type="dxa"/>
            <w:shd w:val="clear" w:color="auto" w:fill="auto"/>
            <w:vAlign w:val="bottom"/>
            <w:hideMark/>
          </w:tcPr>
          <w:p w14:paraId="0F04ABEC" w14:textId="77777777" w:rsidR="005E1CAB" w:rsidRPr="00F1128F" w:rsidRDefault="005E1CAB" w:rsidP="005E1CAB">
            <w:pPr>
              <w:spacing w:before="40"/>
              <w:rPr>
                <w:rFonts w:asciiTheme="majorBidi" w:hAnsiTheme="majorBidi" w:cstheme="majorBidi"/>
                <w:b/>
                <w:bCs/>
                <w:sz w:val="14"/>
                <w:szCs w:val="14"/>
              </w:rPr>
            </w:pPr>
          </w:p>
        </w:tc>
        <w:tc>
          <w:tcPr>
            <w:tcW w:w="1587" w:type="dxa"/>
            <w:shd w:val="clear" w:color="auto" w:fill="auto"/>
            <w:noWrap/>
            <w:vAlign w:val="bottom"/>
          </w:tcPr>
          <w:p w14:paraId="414437DA" w14:textId="6B6DB817" w:rsidR="005E1CAB" w:rsidRPr="005E1CAB" w:rsidRDefault="005E1CAB" w:rsidP="005E1CAB">
            <w:pPr>
              <w:pBdr>
                <w:bottom w:val="double" w:sz="4" w:space="0" w:color="000000"/>
              </w:pBdr>
              <w:spacing w:before="40"/>
              <w:jc w:val="right"/>
              <w:rPr>
                <w:b/>
                <w:bCs/>
                <w:sz w:val="22"/>
                <w:szCs w:val="22"/>
                <w:highlight w:val="yellow"/>
              </w:rPr>
            </w:pPr>
            <w:r w:rsidRPr="005E1CAB">
              <w:rPr>
                <w:sz w:val="22"/>
                <w:szCs w:val="22"/>
              </w:rPr>
              <w:t>(60,140)</w:t>
            </w:r>
          </w:p>
        </w:tc>
        <w:tc>
          <w:tcPr>
            <w:tcW w:w="1587" w:type="dxa"/>
            <w:shd w:val="clear" w:color="auto" w:fill="auto"/>
            <w:noWrap/>
            <w:vAlign w:val="bottom"/>
          </w:tcPr>
          <w:p w14:paraId="711F8C18" w14:textId="691C4A84" w:rsidR="005E1CAB" w:rsidRPr="005031F8" w:rsidRDefault="005E1CAB" w:rsidP="005E1CAB">
            <w:pPr>
              <w:pBdr>
                <w:bottom w:val="double" w:sz="4" w:space="0" w:color="000000"/>
              </w:pBdr>
              <w:spacing w:before="40"/>
              <w:jc w:val="right"/>
              <w:rPr>
                <w:sz w:val="22"/>
                <w:szCs w:val="22"/>
              </w:rPr>
            </w:pPr>
            <w:r>
              <w:rPr>
                <w:sz w:val="22"/>
                <w:szCs w:val="22"/>
              </w:rPr>
              <w:t>(50,113)</w:t>
            </w:r>
          </w:p>
        </w:tc>
        <w:tc>
          <w:tcPr>
            <w:tcW w:w="1587" w:type="dxa"/>
            <w:shd w:val="clear" w:color="auto" w:fill="auto"/>
            <w:noWrap/>
            <w:vAlign w:val="bottom"/>
          </w:tcPr>
          <w:p w14:paraId="624E761E" w14:textId="7041F7B4" w:rsidR="005E1CAB" w:rsidRPr="008B5B2D" w:rsidRDefault="005E1CAB" w:rsidP="005E1CAB">
            <w:pPr>
              <w:pBdr>
                <w:bottom w:val="double" w:sz="4" w:space="0" w:color="000000"/>
              </w:pBdr>
              <w:spacing w:before="40"/>
              <w:jc w:val="right"/>
              <w:rPr>
                <w:sz w:val="22"/>
                <w:szCs w:val="22"/>
              </w:rPr>
            </w:pPr>
            <w:r w:rsidRPr="005031F8">
              <w:rPr>
                <w:sz w:val="22"/>
                <w:szCs w:val="22"/>
              </w:rPr>
              <w:t>(29,055)</w:t>
            </w:r>
          </w:p>
        </w:tc>
      </w:tr>
      <w:tr w:rsidR="00A95416" w:rsidRPr="002B51C1" w14:paraId="53631913" w14:textId="77777777" w:rsidTr="005101BC">
        <w:trPr>
          <w:trHeight w:val="283"/>
        </w:trPr>
        <w:tc>
          <w:tcPr>
            <w:tcW w:w="4535" w:type="dxa"/>
            <w:shd w:val="clear" w:color="auto" w:fill="auto"/>
            <w:vAlign w:val="bottom"/>
            <w:hideMark/>
          </w:tcPr>
          <w:p w14:paraId="2E3E144B" w14:textId="77777777" w:rsidR="00A95416" w:rsidRPr="00F1128F" w:rsidRDefault="00A95416" w:rsidP="00A95416">
            <w:pPr>
              <w:spacing w:before="40"/>
              <w:rPr>
                <w:rFonts w:asciiTheme="majorBidi" w:hAnsiTheme="majorBidi" w:cstheme="majorBidi"/>
                <w:sz w:val="22"/>
                <w:szCs w:val="22"/>
              </w:rPr>
            </w:pPr>
            <w:r w:rsidRPr="00F1128F">
              <w:rPr>
                <w:rFonts w:asciiTheme="majorBidi" w:hAnsiTheme="majorBidi" w:cstheme="majorBidi"/>
                <w:color w:val="000000"/>
                <w:sz w:val="22"/>
                <w:szCs w:val="22"/>
              </w:rPr>
              <w:t xml:space="preserve">Balance: </w:t>
            </w:r>
          </w:p>
        </w:tc>
        <w:tc>
          <w:tcPr>
            <w:tcW w:w="1587" w:type="dxa"/>
            <w:shd w:val="clear" w:color="auto" w:fill="auto"/>
            <w:noWrap/>
            <w:vAlign w:val="bottom"/>
          </w:tcPr>
          <w:p w14:paraId="1E9D517F" w14:textId="77777777" w:rsidR="00A95416" w:rsidRPr="005E1CAB" w:rsidRDefault="00A95416" w:rsidP="005E1CAB">
            <w:pPr>
              <w:spacing w:before="40"/>
              <w:jc w:val="right"/>
              <w:rPr>
                <w:rFonts w:asciiTheme="majorBidi" w:hAnsiTheme="majorBidi" w:cstheme="majorBidi"/>
                <w:sz w:val="22"/>
                <w:szCs w:val="22"/>
                <w:highlight w:val="yellow"/>
              </w:rPr>
            </w:pPr>
          </w:p>
        </w:tc>
        <w:tc>
          <w:tcPr>
            <w:tcW w:w="1587" w:type="dxa"/>
            <w:shd w:val="clear" w:color="auto" w:fill="auto"/>
            <w:noWrap/>
            <w:vAlign w:val="bottom"/>
          </w:tcPr>
          <w:p w14:paraId="144C3D39" w14:textId="77777777" w:rsidR="00A95416" w:rsidRPr="005031F8" w:rsidRDefault="00A95416" w:rsidP="00A95416">
            <w:pPr>
              <w:spacing w:before="40"/>
              <w:jc w:val="right"/>
              <w:rPr>
                <w:rFonts w:asciiTheme="majorBidi" w:hAnsiTheme="majorBidi" w:cstheme="majorBidi"/>
                <w:sz w:val="22"/>
                <w:szCs w:val="22"/>
              </w:rPr>
            </w:pPr>
          </w:p>
        </w:tc>
        <w:tc>
          <w:tcPr>
            <w:tcW w:w="1587" w:type="dxa"/>
            <w:shd w:val="clear" w:color="auto" w:fill="auto"/>
            <w:noWrap/>
            <w:vAlign w:val="bottom"/>
          </w:tcPr>
          <w:p w14:paraId="4BD55D24" w14:textId="77777777" w:rsidR="00A95416" w:rsidRPr="002B51C1" w:rsidRDefault="00A95416" w:rsidP="00A95416">
            <w:pPr>
              <w:spacing w:before="40"/>
              <w:jc w:val="right"/>
              <w:rPr>
                <w:rFonts w:asciiTheme="majorBidi" w:hAnsiTheme="majorBidi" w:cstheme="majorBidi"/>
                <w:sz w:val="22"/>
                <w:szCs w:val="22"/>
              </w:rPr>
            </w:pPr>
          </w:p>
        </w:tc>
      </w:tr>
      <w:tr w:rsidR="005E1CAB" w:rsidRPr="002B51C1" w14:paraId="1A0EB724" w14:textId="77777777" w:rsidTr="005101BC">
        <w:trPr>
          <w:trHeight w:val="283"/>
        </w:trPr>
        <w:tc>
          <w:tcPr>
            <w:tcW w:w="4535" w:type="dxa"/>
            <w:shd w:val="clear" w:color="auto" w:fill="auto"/>
            <w:vAlign w:val="bottom"/>
            <w:hideMark/>
          </w:tcPr>
          <w:p w14:paraId="1BC5D66E" w14:textId="5BBDB7BC" w:rsidR="005E1CAB" w:rsidRPr="00055843" w:rsidRDefault="005E1CAB" w:rsidP="005E1CAB">
            <w:pPr>
              <w:spacing w:before="40"/>
              <w:rPr>
                <w:rFonts w:asciiTheme="majorBidi" w:hAnsiTheme="majorBidi" w:cstheme="majorBidi"/>
                <w:sz w:val="22"/>
                <w:szCs w:val="22"/>
              </w:rPr>
            </w:pPr>
            <w:r w:rsidRPr="00055843">
              <w:rPr>
                <w:rFonts w:asciiTheme="majorBidi" w:hAnsiTheme="majorBidi" w:cstheme="majorBidi"/>
                <w:color w:val="000000"/>
                <w:sz w:val="22"/>
                <w:szCs w:val="22"/>
              </w:rPr>
              <w:t>Loans from AFI Properties (see Note 12)</w:t>
            </w:r>
          </w:p>
        </w:tc>
        <w:tc>
          <w:tcPr>
            <w:tcW w:w="1587" w:type="dxa"/>
            <w:shd w:val="clear" w:color="auto" w:fill="auto"/>
            <w:noWrap/>
            <w:vAlign w:val="bottom"/>
          </w:tcPr>
          <w:p w14:paraId="0FBFFC5A" w14:textId="6B3C3A25" w:rsidR="005E1CAB" w:rsidRPr="005E1CAB" w:rsidRDefault="005E1CAB" w:rsidP="005E1CAB">
            <w:pPr>
              <w:spacing w:before="40"/>
              <w:jc w:val="right"/>
              <w:rPr>
                <w:b/>
                <w:bCs/>
                <w:sz w:val="22"/>
                <w:szCs w:val="22"/>
                <w:highlight w:val="yellow"/>
              </w:rPr>
            </w:pPr>
            <w:r w:rsidRPr="005E1CAB">
              <w:rPr>
                <w:sz w:val="22"/>
                <w:szCs w:val="22"/>
              </w:rPr>
              <w:t>(1,162,733)</w:t>
            </w:r>
          </w:p>
        </w:tc>
        <w:tc>
          <w:tcPr>
            <w:tcW w:w="1587" w:type="dxa"/>
            <w:shd w:val="clear" w:color="auto" w:fill="auto"/>
            <w:noWrap/>
            <w:vAlign w:val="bottom"/>
          </w:tcPr>
          <w:p w14:paraId="5340B99F" w14:textId="2DC8B9FD" w:rsidR="005E1CAB" w:rsidRPr="005031F8" w:rsidRDefault="005E1CAB" w:rsidP="005E1CAB">
            <w:pPr>
              <w:spacing w:before="40"/>
              <w:jc w:val="right"/>
              <w:rPr>
                <w:rFonts w:asciiTheme="majorBidi" w:hAnsiTheme="majorBidi" w:cstheme="majorBidi"/>
                <w:sz w:val="22"/>
                <w:szCs w:val="22"/>
              </w:rPr>
            </w:pPr>
            <w:r>
              <w:rPr>
                <w:sz w:val="22"/>
                <w:szCs w:val="22"/>
              </w:rPr>
              <w:t>(954,412)</w:t>
            </w:r>
          </w:p>
        </w:tc>
        <w:tc>
          <w:tcPr>
            <w:tcW w:w="1587" w:type="dxa"/>
            <w:shd w:val="clear" w:color="auto" w:fill="auto"/>
            <w:noWrap/>
            <w:vAlign w:val="bottom"/>
          </w:tcPr>
          <w:p w14:paraId="751DFA0D" w14:textId="2EF73838" w:rsidR="005E1CAB" w:rsidRPr="002B51C1" w:rsidRDefault="005E1CAB" w:rsidP="005E1CAB">
            <w:pPr>
              <w:spacing w:before="40"/>
              <w:jc w:val="right"/>
              <w:rPr>
                <w:rFonts w:asciiTheme="majorBidi" w:hAnsiTheme="majorBidi" w:cstheme="majorBidi"/>
                <w:sz w:val="22"/>
                <w:szCs w:val="22"/>
              </w:rPr>
            </w:pPr>
            <w:r w:rsidRPr="005031F8">
              <w:rPr>
                <w:sz w:val="22"/>
                <w:szCs w:val="22"/>
              </w:rPr>
              <w:t>(1,001,491)</w:t>
            </w:r>
          </w:p>
        </w:tc>
      </w:tr>
      <w:tr w:rsidR="005E1CAB" w:rsidRPr="002B51C1" w14:paraId="0C0E6650" w14:textId="77777777" w:rsidTr="005101BC">
        <w:trPr>
          <w:trHeight w:val="283"/>
        </w:trPr>
        <w:tc>
          <w:tcPr>
            <w:tcW w:w="4535" w:type="dxa"/>
            <w:shd w:val="clear" w:color="auto" w:fill="auto"/>
            <w:vAlign w:val="bottom"/>
          </w:tcPr>
          <w:p w14:paraId="76B8823D" w14:textId="76F38FC7" w:rsidR="005E1CAB" w:rsidRPr="00055843" w:rsidRDefault="005E1CAB" w:rsidP="005E1CAB">
            <w:pPr>
              <w:spacing w:before="40"/>
              <w:rPr>
                <w:rFonts w:asciiTheme="majorBidi" w:hAnsiTheme="majorBidi" w:cstheme="majorBidi"/>
                <w:color w:val="000000"/>
                <w:sz w:val="22"/>
                <w:szCs w:val="22"/>
                <w:rtl/>
                <w:lang w:bidi="he-IL"/>
              </w:rPr>
            </w:pPr>
            <w:r w:rsidRPr="00055843">
              <w:rPr>
                <w:color w:val="000000"/>
                <w:sz w:val="22"/>
                <w:szCs w:val="22"/>
              </w:rPr>
              <w:t>Payables to AFI Properties</w:t>
            </w:r>
          </w:p>
        </w:tc>
        <w:tc>
          <w:tcPr>
            <w:tcW w:w="1587" w:type="dxa"/>
            <w:shd w:val="clear" w:color="auto" w:fill="auto"/>
            <w:noWrap/>
            <w:vAlign w:val="bottom"/>
          </w:tcPr>
          <w:p w14:paraId="1F6950A7" w14:textId="008F9DF3" w:rsidR="005E1CAB" w:rsidRPr="005E1CAB" w:rsidRDefault="005E1CAB" w:rsidP="005E1CAB">
            <w:pPr>
              <w:spacing w:before="40"/>
              <w:jc w:val="right"/>
              <w:rPr>
                <w:b/>
                <w:bCs/>
                <w:sz w:val="22"/>
                <w:szCs w:val="22"/>
                <w:highlight w:val="yellow"/>
              </w:rPr>
            </w:pPr>
            <w:r w:rsidRPr="005E1CAB">
              <w:rPr>
                <w:sz w:val="22"/>
                <w:szCs w:val="22"/>
              </w:rPr>
              <w:t>(1,848)</w:t>
            </w:r>
          </w:p>
        </w:tc>
        <w:tc>
          <w:tcPr>
            <w:tcW w:w="1587" w:type="dxa"/>
            <w:shd w:val="clear" w:color="auto" w:fill="auto"/>
            <w:noWrap/>
            <w:vAlign w:val="bottom"/>
          </w:tcPr>
          <w:p w14:paraId="2647DF20" w14:textId="7E953BCE" w:rsidR="005E1CAB" w:rsidRDefault="005E1CAB" w:rsidP="005E1CAB">
            <w:pPr>
              <w:spacing w:before="40"/>
              <w:jc w:val="right"/>
              <w:rPr>
                <w:sz w:val="22"/>
                <w:szCs w:val="22"/>
              </w:rPr>
            </w:pPr>
            <w:r>
              <w:rPr>
                <w:sz w:val="22"/>
                <w:szCs w:val="22"/>
              </w:rPr>
              <w:t>-</w:t>
            </w:r>
          </w:p>
        </w:tc>
        <w:tc>
          <w:tcPr>
            <w:tcW w:w="1587" w:type="dxa"/>
            <w:shd w:val="clear" w:color="auto" w:fill="auto"/>
            <w:noWrap/>
            <w:vAlign w:val="bottom"/>
          </w:tcPr>
          <w:p w14:paraId="2E479AE7" w14:textId="05508F47" w:rsidR="005E1CAB" w:rsidRPr="005031F8" w:rsidRDefault="005E1CAB" w:rsidP="005E1CAB">
            <w:pPr>
              <w:spacing w:before="40"/>
              <w:jc w:val="right"/>
              <w:rPr>
                <w:sz w:val="22"/>
                <w:szCs w:val="22"/>
              </w:rPr>
            </w:pPr>
            <w:r>
              <w:rPr>
                <w:sz w:val="22"/>
                <w:szCs w:val="22"/>
              </w:rPr>
              <w:t>-</w:t>
            </w:r>
          </w:p>
        </w:tc>
      </w:tr>
      <w:tr w:rsidR="005E1CAB" w:rsidRPr="002B51C1" w14:paraId="58DFF0DE" w14:textId="77777777" w:rsidTr="005101BC">
        <w:trPr>
          <w:trHeight w:val="283"/>
        </w:trPr>
        <w:tc>
          <w:tcPr>
            <w:tcW w:w="4535" w:type="dxa"/>
            <w:shd w:val="clear" w:color="auto" w:fill="auto"/>
            <w:vAlign w:val="bottom"/>
            <w:hideMark/>
          </w:tcPr>
          <w:p w14:paraId="4194A1A4" w14:textId="5192AE54" w:rsidR="005E1CAB" w:rsidRPr="00055843" w:rsidRDefault="005E1CAB" w:rsidP="005E1CAB">
            <w:pPr>
              <w:spacing w:before="40"/>
              <w:rPr>
                <w:rFonts w:asciiTheme="majorBidi" w:hAnsiTheme="majorBidi" w:cstheme="majorBidi"/>
                <w:sz w:val="22"/>
                <w:szCs w:val="22"/>
              </w:rPr>
            </w:pPr>
            <w:r w:rsidRPr="00055843">
              <w:rPr>
                <w:rFonts w:asciiTheme="majorBidi" w:hAnsiTheme="majorBidi" w:cstheme="majorBidi"/>
                <w:color w:val="000000"/>
                <w:sz w:val="22"/>
                <w:szCs w:val="22"/>
              </w:rPr>
              <w:t>Loans to associate company</w:t>
            </w:r>
            <w:r w:rsidRPr="00055843">
              <w:rPr>
                <w:rFonts w:asciiTheme="majorBidi" w:hAnsiTheme="majorBidi" w:cstheme="majorBidi"/>
                <w:sz w:val="22"/>
                <w:szCs w:val="22"/>
              </w:rPr>
              <w:t xml:space="preserve"> (see Note 4)</w:t>
            </w:r>
          </w:p>
        </w:tc>
        <w:tc>
          <w:tcPr>
            <w:tcW w:w="1587" w:type="dxa"/>
            <w:shd w:val="clear" w:color="auto" w:fill="auto"/>
            <w:noWrap/>
            <w:vAlign w:val="bottom"/>
          </w:tcPr>
          <w:p w14:paraId="7E09E7F1" w14:textId="5E31ABDC" w:rsidR="005E1CAB" w:rsidRPr="005E1CAB" w:rsidRDefault="005E1CAB" w:rsidP="005E1CAB">
            <w:pPr>
              <w:spacing w:before="40"/>
              <w:jc w:val="right"/>
              <w:rPr>
                <w:b/>
                <w:bCs/>
                <w:sz w:val="22"/>
                <w:szCs w:val="22"/>
              </w:rPr>
            </w:pPr>
            <w:r w:rsidRPr="005E1CAB">
              <w:rPr>
                <w:sz w:val="22"/>
                <w:szCs w:val="22"/>
              </w:rPr>
              <w:t>16,213</w:t>
            </w:r>
          </w:p>
        </w:tc>
        <w:tc>
          <w:tcPr>
            <w:tcW w:w="1587" w:type="dxa"/>
            <w:shd w:val="clear" w:color="auto" w:fill="auto"/>
            <w:noWrap/>
            <w:vAlign w:val="bottom"/>
          </w:tcPr>
          <w:p w14:paraId="5D1400CF" w14:textId="5D347B0F" w:rsidR="005E1CAB" w:rsidRPr="005031F8" w:rsidRDefault="005E1CAB" w:rsidP="005E1CAB">
            <w:pPr>
              <w:spacing w:before="40"/>
              <w:jc w:val="right"/>
              <w:rPr>
                <w:rFonts w:asciiTheme="majorBidi" w:hAnsiTheme="majorBidi" w:cstheme="majorBidi"/>
                <w:sz w:val="22"/>
                <w:szCs w:val="22"/>
              </w:rPr>
            </w:pPr>
            <w:r>
              <w:rPr>
                <w:sz w:val="22"/>
                <w:szCs w:val="22"/>
              </w:rPr>
              <w:t>11,998</w:t>
            </w:r>
          </w:p>
        </w:tc>
        <w:tc>
          <w:tcPr>
            <w:tcW w:w="1587" w:type="dxa"/>
            <w:shd w:val="clear" w:color="auto" w:fill="auto"/>
            <w:noWrap/>
            <w:vAlign w:val="bottom"/>
          </w:tcPr>
          <w:p w14:paraId="636FF391" w14:textId="5F7E6E5B" w:rsidR="005E1CAB" w:rsidRPr="002B51C1" w:rsidRDefault="005E1CAB" w:rsidP="005E1CAB">
            <w:pPr>
              <w:spacing w:before="40"/>
              <w:jc w:val="right"/>
              <w:rPr>
                <w:rFonts w:asciiTheme="majorBidi" w:hAnsiTheme="majorBidi" w:cstheme="majorBidi"/>
                <w:sz w:val="22"/>
                <w:szCs w:val="22"/>
              </w:rPr>
            </w:pPr>
            <w:r w:rsidRPr="005031F8">
              <w:rPr>
                <w:sz w:val="22"/>
                <w:szCs w:val="22"/>
              </w:rPr>
              <w:t>7,154</w:t>
            </w:r>
          </w:p>
        </w:tc>
      </w:tr>
    </w:tbl>
    <w:p w14:paraId="500724F1" w14:textId="77777777" w:rsidR="00B74F92" w:rsidRPr="00210FED" w:rsidRDefault="00B74F92" w:rsidP="005862F2">
      <w:pPr>
        <w:jc w:val="both"/>
        <w:rPr>
          <w:sz w:val="16"/>
          <w:szCs w:val="16"/>
        </w:rPr>
      </w:pPr>
    </w:p>
    <w:p w14:paraId="53FA6852" w14:textId="14C4449F" w:rsidR="002E76E0" w:rsidRPr="00210FED" w:rsidRDefault="00C63F1D" w:rsidP="002E76E0">
      <w:pPr>
        <w:pStyle w:val="af2"/>
        <w:rPr>
          <w:sz w:val="10"/>
          <w:szCs w:val="10"/>
        </w:rPr>
      </w:pPr>
      <w:r w:rsidRPr="003245ED">
        <w:rPr>
          <w:sz w:val="22"/>
          <w:szCs w:val="22"/>
        </w:rPr>
        <w:t>(*) Including interest capitalized</w:t>
      </w:r>
      <w:r>
        <w:rPr>
          <w:sz w:val="22"/>
          <w:szCs w:val="22"/>
        </w:rPr>
        <w:t xml:space="preserve"> to investment properties under development and inventory under development. </w:t>
      </w:r>
    </w:p>
    <w:p w14:paraId="192A39D6" w14:textId="77777777" w:rsidR="00E119A0" w:rsidRPr="0020502A" w:rsidRDefault="00E119A0" w:rsidP="0020502A">
      <w:pPr>
        <w:rPr>
          <w:b/>
          <w:bCs/>
          <w:sz w:val="22"/>
          <w:szCs w:val="22"/>
        </w:rPr>
      </w:pPr>
    </w:p>
    <w:p w14:paraId="00842D7E" w14:textId="5B1672A0" w:rsidR="00C35D07" w:rsidRPr="005031F8" w:rsidRDefault="00C35D07" w:rsidP="00C01E5D">
      <w:pPr>
        <w:outlineLvl w:val="2"/>
        <w:rPr>
          <w:sz w:val="22"/>
          <w:szCs w:val="22"/>
        </w:rPr>
      </w:pPr>
      <w:bookmarkStart w:id="220" w:name="H4_Note_24__Operating_Segments"/>
      <w:bookmarkStart w:id="221" w:name="H3_Note_24__Operating_Segments"/>
      <w:r w:rsidRPr="005031F8">
        <w:rPr>
          <w:b/>
          <w:bCs/>
          <w:sz w:val="22"/>
          <w:szCs w:val="22"/>
        </w:rPr>
        <w:t xml:space="preserve">Note </w:t>
      </w:r>
      <w:r w:rsidR="00A75D35" w:rsidRPr="005031F8">
        <w:rPr>
          <w:b/>
          <w:bCs/>
          <w:sz w:val="22"/>
          <w:szCs w:val="22"/>
        </w:rPr>
        <w:t xml:space="preserve">24 </w:t>
      </w:r>
      <w:r w:rsidRPr="005031F8">
        <w:rPr>
          <w:b/>
          <w:bCs/>
          <w:sz w:val="22"/>
          <w:szCs w:val="22"/>
        </w:rPr>
        <w:t>- Operating Segments</w:t>
      </w:r>
    </w:p>
    <w:bookmarkEnd w:id="220"/>
    <w:bookmarkEnd w:id="221"/>
    <w:p w14:paraId="69D1F18B" w14:textId="77777777" w:rsidR="00C35D07" w:rsidRPr="00210FED" w:rsidRDefault="00C35D07" w:rsidP="004A3C21">
      <w:pPr>
        <w:ind w:left="720"/>
        <w:jc w:val="both"/>
        <w:rPr>
          <w:sz w:val="16"/>
          <w:szCs w:val="16"/>
        </w:rPr>
      </w:pPr>
    </w:p>
    <w:p w14:paraId="362C593C" w14:textId="77777777" w:rsidR="00C35D07" w:rsidRPr="00E13DA6" w:rsidRDefault="00C35D07" w:rsidP="009A5ABF">
      <w:pPr>
        <w:ind w:left="720"/>
        <w:jc w:val="both"/>
        <w:rPr>
          <w:sz w:val="22"/>
          <w:szCs w:val="22"/>
        </w:rPr>
      </w:pPr>
      <w:r w:rsidRPr="00E13DA6">
        <w:rPr>
          <w:sz w:val="22"/>
          <w:szCs w:val="22"/>
        </w:rPr>
        <w:t xml:space="preserve">The </w:t>
      </w:r>
      <w:r w:rsidR="009A5ABF">
        <w:rPr>
          <w:sz w:val="22"/>
          <w:szCs w:val="22"/>
        </w:rPr>
        <w:t>Group</w:t>
      </w:r>
      <w:r w:rsidRPr="00E13DA6">
        <w:rPr>
          <w:sz w:val="22"/>
          <w:szCs w:val="22"/>
        </w:rPr>
        <w:t xml:space="preserve"> is presenting reportable operating segments, as described below, in accordance with IFRS 8. The operating segments are based on geographical areas which reflect the principal and material source of risks and rewards to which the </w:t>
      </w:r>
      <w:r w:rsidR="009A5ABF">
        <w:rPr>
          <w:sz w:val="22"/>
          <w:szCs w:val="22"/>
        </w:rPr>
        <w:t>Group</w:t>
      </w:r>
      <w:r w:rsidRPr="00E13DA6">
        <w:rPr>
          <w:sz w:val="22"/>
          <w:szCs w:val="22"/>
        </w:rPr>
        <w:t xml:space="preserve"> is exposed and are managed separately. Operating segments are identified </w:t>
      </w:r>
      <w:proofErr w:type="gramStart"/>
      <w:r w:rsidRPr="00E13DA6">
        <w:rPr>
          <w:sz w:val="22"/>
          <w:szCs w:val="22"/>
        </w:rPr>
        <w:t>on the basis of</w:t>
      </w:r>
      <w:proofErr w:type="gramEnd"/>
      <w:r w:rsidRPr="00E13DA6">
        <w:rPr>
          <w:sz w:val="22"/>
          <w:szCs w:val="22"/>
        </w:rPr>
        <w:t xml:space="preserve"> internal management reports which are reviewed on a regular basis by the Group’s chief operating decision maker (CODM). </w:t>
      </w:r>
    </w:p>
    <w:p w14:paraId="5E681BC7" w14:textId="77777777" w:rsidR="00C35D07" w:rsidRPr="00210FED" w:rsidRDefault="00C35D07" w:rsidP="004A3C21">
      <w:pPr>
        <w:ind w:left="720"/>
        <w:jc w:val="both"/>
        <w:rPr>
          <w:sz w:val="16"/>
          <w:szCs w:val="16"/>
        </w:rPr>
      </w:pPr>
    </w:p>
    <w:p w14:paraId="5CE6E0B0" w14:textId="2B55AA02" w:rsidR="00BA0040" w:rsidRDefault="00BA0040" w:rsidP="00E13DA6">
      <w:pPr>
        <w:ind w:left="720"/>
        <w:jc w:val="both"/>
        <w:rPr>
          <w:sz w:val="22"/>
          <w:szCs w:val="22"/>
        </w:rPr>
      </w:pPr>
      <w:r w:rsidRPr="00BA0040">
        <w:rPr>
          <w:sz w:val="22"/>
          <w:szCs w:val="22"/>
        </w:rPr>
        <w:t>Performance is measured based on segment operating profit before administrative, selling and marketing expenses, as included in reports that are regularly reviewed by the chief operating decision maker. Segment profit is used to measure performance as management believes that such information is the most relevant in evaluating the results of certain segments relative to other entities that operate within these industries. Segment results reported to the chief operating decision maker include items directly attributable to a segment on a reasonable basis.</w:t>
      </w:r>
    </w:p>
    <w:p w14:paraId="4F1EBD9F" w14:textId="77777777" w:rsidR="00BA0040" w:rsidRPr="00210FED" w:rsidRDefault="00BA0040" w:rsidP="00E13DA6">
      <w:pPr>
        <w:ind w:left="720"/>
        <w:jc w:val="both"/>
        <w:rPr>
          <w:sz w:val="16"/>
          <w:szCs w:val="16"/>
        </w:rPr>
      </w:pPr>
    </w:p>
    <w:p w14:paraId="5AFE77FC" w14:textId="20469715" w:rsidR="00C35D07" w:rsidRPr="00B242C0" w:rsidRDefault="00C35D07" w:rsidP="00E13DA6">
      <w:pPr>
        <w:ind w:left="720"/>
        <w:jc w:val="both"/>
        <w:rPr>
          <w:sz w:val="22"/>
          <w:szCs w:val="22"/>
        </w:rPr>
      </w:pPr>
      <w:r w:rsidRPr="00B242C0">
        <w:rPr>
          <w:sz w:val="22"/>
          <w:szCs w:val="22"/>
        </w:rPr>
        <w:t xml:space="preserve">The accounting policies of the reportable segments are the same as described in </w:t>
      </w:r>
      <w:r w:rsidRPr="00232C85">
        <w:rPr>
          <w:sz w:val="22"/>
          <w:szCs w:val="22"/>
        </w:rPr>
        <w:t xml:space="preserve">Note </w:t>
      </w:r>
      <w:r w:rsidR="00E13DA6" w:rsidRPr="00232C85">
        <w:rPr>
          <w:sz w:val="22"/>
          <w:szCs w:val="22"/>
        </w:rPr>
        <w:t>3</w:t>
      </w:r>
      <w:r w:rsidRPr="00B242C0">
        <w:rPr>
          <w:sz w:val="22"/>
          <w:szCs w:val="22"/>
        </w:rPr>
        <w:t xml:space="preserve"> regarding significant accounting policies.</w:t>
      </w:r>
    </w:p>
    <w:p w14:paraId="6F4DDE74" w14:textId="77777777" w:rsidR="00C35D07" w:rsidRPr="00210FED" w:rsidRDefault="00C35D07" w:rsidP="004A3C21">
      <w:pPr>
        <w:ind w:left="720"/>
        <w:jc w:val="both"/>
        <w:rPr>
          <w:sz w:val="16"/>
          <w:szCs w:val="16"/>
        </w:rPr>
      </w:pPr>
    </w:p>
    <w:p w14:paraId="195BF52A" w14:textId="77777777" w:rsidR="00C35D07" w:rsidRPr="00F02921" w:rsidRDefault="00C35D07" w:rsidP="00C01E5D">
      <w:pPr>
        <w:ind w:left="720"/>
        <w:outlineLvl w:val="3"/>
        <w:rPr>
          <w:sz w:val="22"/>
          <w:szCs w:val="22"/>
          <w:u w:val="single"/>
        </w:rPr>
      </w:pPr>
      <w:bookmarkStart w:id="222" w:name="H4_Geographical_segments"/>
      <w:r w:rsidRPr="00F02921">
        <w:rPr>
          <w:sz w:val="22"/>
          <w:szCs w:val="22"/>
          <w:u w:val="single"/>
        </w:rPr>
        <w:t xml:space="preserve">Geographical </w:t>
      </w:r>
      <w:r w:rsidR="00E13DA6">
        <w:rPr>
          <w:sz w:val="22"/>
          <w:szCs w:val="22"/>
          <w:u w:val="single"/>
        </w:rPr>
        <w:t>s</w:t>
      </w:r>
      <w:r w:rsidRPr="00F02921">
        <w:rPr>
          <w:sz w:val="22"/>
          <w:szCs w:val="22"/>
          <w:u w:val="single"/>
        </w:rPr>
        <w:t>egments</w:t>
      </w:r>
    </w:p>
    <w:bookmarkEnd w:id="222"/>
    <w:p w14:paraId="77D90AD2" w14:textId="233BC54C" w:rsidR="00C35D07" w:rsidRPr="00F02921" w:rsidRDefault="00C35D07" w:rsidP="000610CB">
      <w:pPr>
        <w:ind w:left="709"/>
        <w:jc w:val="both"/>
        <w:rPr>
          <w:sz w:val="22"/>
          <w:szCs w:val="22"/>
          <w:lang w:bidi="he-IL"/>
        </w:rPr>
      </w:pPr>
      <w:r w:rsidRPr="00F02921">
        <w:rPr>
          <w:sz w:val="22"/>
          <w:szCs w:val="22"/>
        </w:rPr>
        <w:t xml:space="preserve">The Company has </w:t>
      </w:r>
      <w:r w:rsidR="00E82D02">
        <w:rPr>
          <w:sz w:val="22"/>
          <w:szCs w:val="22"/>
        </w:rPr>
        <w:t>several</w:t>
      </w:r>
      <w:r w:rsidR="00E82D02" w:rsidRPr="00F02921">
        <w:rPr>
          <w:sz w:val="22"/>
          <w:szCs w:val="22"/>
        </w:rPr>
        <w:t xml:space="preserve"> </w:t>
      </w:r>
      <w:r w:rsidRPr="00F02921">
        <w:rPr>
          <w:sz w:val="22"/>
          <w:szCs w:val="22"/>
        </w:rPr>
        <w:t>main geographical areas: Czech Republic, Serbia, Romania, Poland</w:t>
      </w:r>
      <w:r w:rsidR="00A367DA">
        <w:rPr>
          <w:sz w:val="22"/>
          <w:szCs w:val="22"/>
        </w:rPr>
        <w:t xml:space="preserve"> </w:t>
      </w:r>
      <w:r w:rsidR="009A5ABF">
        <w:rPr>
          <w:sz w:val="22"/>
          <w:szCs w:val="22"/>
        </w:rPr>
        <w:t>and o</w:t>
      </w:r>
      <w:r w:rsidRPr="00F02921">
        <w:rPr>
          <w:sz w:val="22"/>
          <w:szCs w:val="22"/>
        </w:rPr>
        <w:t xml:space="preserve">ther </w:t>
      </w:r>
      <w:r w:rsidR="00E13DA6">
        <w:rPr>
          <w:sz w:val="22"/>
          <w:szCs w:val="22"/>
        </w:rPr>
        <w:t>r</w:t>
      </w:r>
      <w:r w:rsidRPr="00F02921">
        <w:rPr>
          <w:sz w:val="22"/>
          <w:szCs w:val="22"/>
        </w:rPr>
        <w:t>egions</w:t>
      </w:r>
      <w:r w:rsidR="000610CB">
        <w:rPr>
          <w:sz w:val="22"/>
          <w:szCs w:val="22"/>
          <w:lang w:bidi="he-IL"/>
        </w:rPr>
        <w:t>.</w:t>
      </w:r>
    </w:p>
    <w:p w14:paraId="469F487E" w14:textId="77777777" w:rsidR="0059413A" w:rsidRDefault="0059413A">
      <w:pPr>
        <w:rPr>
          <w:sz w:val="22"/>
          <w:szCs w:val="22"/>
          <w:highlight w:val="yellow"/>
        </w:rPr>
      </w:pPr>
    </w:p>
    <w:p w14:paraId="5DFC5B73" w14:textId="77777777" w:rsidR="00A95416" w:rsidRDefault="00A95416">
      <w:pPr>
        <w:rPr>
          <w:sz w:val="22"/>
          <w:szCs w:val="22"/>
          <w:highlight w:val="yellow"/>
        </w:rPr>
        <w:sectPr w:rsidR="00A95416" w:rsidSect="00593E8F">
          <w:headerReference w:type="even" r:id="rId32"/>
          <w:headerReference w:type="default" r:id="rId33"/>
          <w:headerReference w:type="first" r:id="rId34"/>
          <w:endnotePr>
            <w:numFmt w:val="lowerLetter"/>
          </w:endnotePr>
          <w:type w:val="nextColumn"/>
          <w:pgSz w:w="11906" w:h="16838"/>
          <w:pgMar w:top="1134" w:right="1134" w:bottom="1134" w:left="1134" w:header="567" w:footer="567" w:gutter="0"/>
          <w:paperSrc w:first="15" w:other="15"/>
          <w:cols w:space="720"/>
          <w:bidi/>
          <w:docGrid w:linePitch="326"/>
        </w:sectPr>
      </w:pPr>
    </w:p>
    <w:p w14:paraId="64394566" w14:textId="77777777" w:rsidR="005031F8" w:rsidRDefault="005031F8" w:rsidP="00BF2911">
      <w:pPr>
        <w:rPr>
          <w:b/>
          <w:bCs/>
          <w:sz w:val="22"/>
          <w:szCs w:val="22"/>
        </w:rPr>
      </w:pPr>
    </w:p>
    <w:p w14:paraId="354D3806" w14:textId="02572529" w:rsidR="00C35D07" w:rsidRPr="005031F8" w:rsidRDefault="00C35D07" w:rsidP="00BF2911">
      <w:pPr>
        <w:rPr>
          <w:b/>
          <w:bCs/>
          <w:sz w:val="22"/>
          <w:szCs w:val="22"/>
        </w:rPr>
      </w:pPr>
      <w:r w:rsidRPr="005031F8">
        <w:rPr>
          <w:b/>
          <w:bCs/>
          <w:sz w:val="22"/>
          <w:szCs w:val="22"/>
        </w:rPr>
        <w:t xml:space="preserve">Note </w:t>
      </w:r>
      <w:r w:rsidR="00093EA6" w:rsidRPr="005031F8">
        <w:rPr>
          <w:b/>
          <w:bCs/>
          <w:sz w:val="22"/>
          <w:szCs w:val="22"/>
        </w:rPr>
        <w:t xml:space="preserve">24 </w:t>
      </w:r>
      <w:r w:rsidRPr="005031F8">
        <w:rPr>
          <w:b/>
          <w:bCs/>
          <w:sz w:val="22"/>
          <w:szCs w:val="22"/>
        </w:rPr>
        <w:t>- Operating Segments (cont’d)</w:t>
      </w:r>
    </w:p>
    <w:p w14:paraId="6E6B1193" w14:textId="77777777" w:rsidR="0059413A" w:rsidRDefault="0059413A" w:rsidP="0059413A">
      <w:pPr>
        <w:ind w:left="720"/>
        <w:rPr>
          <w:rStyle w:val="Koteret"/>
          <w:b w:val="0"/>
          <w:bCs/>
          <w:i/>
          <w:iCs/>
        </w:rPr>
      </w:pPr>
    </w:p>
    <w:p w14:paraId="4DE8456C" w14:textId="77777777" w:rsidR="00A95416" w:rsidRDefault="00A95416" w:rsidP="0059413A">
      <w:pPr>
        <w:ind w:left="720"/>
        <w:rPr>
          <w:rStyle w:val="Koteret"/>
          <w:b w:val="0"/>
          <w:bCs/>
          <w:i/>
          <w:iCs/>
        </w:rPr>
      </w:pPr>
    </w:p>
    <w:p w14:paraId="1AA7162C" w14:textId="77777777" w:rsidR="00A95416" w:rsidRDefault="00A95416" w:rsidP="00A95416">
      <w:pPr>
        <w:rPr>
          <w:rStyle w:val="Koteret"/>
          <w:b w:val="0"/>
          <w:bCs/>
          <w:i/>
          <w:iCs/>
        </w:rPr>
      </w:pPr>
      <w:r w:rsidRPr="0076385F">
        <w:rPr>
          <w:rStyle w:val="Koteret"/>
          <w:b w:val="0"/>
          <w:bCs/>
          <w:i/>
          <w:iCs/>
        </w:rPr>
        <w:t>In thousands of Euros</w:t>
      </w:r>
    </w:p>
    <w:p w14:paraId="7F24D402" w14:textId="77777777" w:rsidR="00A95416" w:rsidRDefault="00A95416" w:rsidP="0059413A">
      <w:pPr>
        <w:ind w:left="720"/>
        <w:rPr>
          <w:rStyle w:val="Koteret"/>
          <w:b w:val="0"/>
          <w:bCs/>
          <w:i/>
          <w:iCs/>
        </w:rPr>
      </w:pPr>
    </w:p>
    <w:tbl>
      <w:tblPr>
        <w:tblW w:w="14570" w:type="dxa"/>
        <w:tblLayout w:type="fixed"/>
        <w:tblLook w:val="06A0" w:firstRow="1" w:lastRow="0" w:firstColumn="1" w:lastColumn="0" w:noHBand="1" w:noVBand="1"/>
        <w:tblCaption w:val="AHR02"/>
        <w:tblDescription w:val="Operating Segments year of report"/>
      </w:tblPr>
      <w:tblGrid>
        <w:gridCol w:w="4819"/>
        <w:gridCol w:w="1587"/>
        <w:gridCol w:w="1587"/>
        <w:gridCol w:w="1587"/>
        <w:gridCol w:w="1587"/>
        <w:gridCol w:w="1587"/>
        <w:gridCol w:w="1816"/>
      </w:tblGrid>
      <w:tr w:rsidR="005101BC" w14:paraId="577AF6B2" w14:textId="77777777" w:rsidTr="005101BC">
        <w:trPr>
          <w:cantSplit/>
          <w:trHeight w:val="280"/>
          <w:tblHeader/>
        </w:trPr>
        <w:tc>
          <w:tcPr>
            <w:tcW w:w="4819" w:type="dxa"/>
            <w:vMerge w:val="restart"/>
            <w:shd w:val="clear" w:color="auto" w:fill="auto"/>
            <w:vAlign w:val="bottom"/>
            <w:hideMark/>
          </w:tcPr>
          <w:p w14:paraId="614FF791" w14:textId="77777777" w:rsidR="005101BC" w:rsidRDefault="005101BC" w:rsidP="00327BFD">
            <w:pPr>
              <w:spacing w:before="40"/>
              <w:rPr>
                <w:rFonts w:ascii="Arial" w:eastAsia="Arial" w:hAnsi="Arial" w:cs="Arial"/>
                <w:sz w:val="22"/>
              </w:rPr>
            </w:pPr>
          </w:p>
        </w:tc>
        <w:tc>
          <w:tcPr>
            <w:tcW w:w="9751" w:type="dxa"/>
            <w:gridSpan w:val="6"/>
            <w:shd w:val="clear" w:color="auto" w:fill="auto"/>
            <w:noWrap/>
            <w:vAlign w:val="bottom"/>
            <w:hideMark/>
          </w:tcPr>
          <w:p w14:paraId="53D96EC2" w14:textId="77777777" w:rsidR="005101BC" w:rsidRPr="00E57D86" w:rsidRDefault="005101BC" w:rsidP="00327BFD">
            <w:pPr>
              <w:pBdr>
                <w:bottom w:val="single" w:sz="4" w:space="0" w:color="000000"/>
              </w:pBdr>
              <w:bidi/>
              <w:spacing w:before="40"/>
              <w:ind w:left="57"/>
              <w:jc w:val="center"/>
              <w:rPr>
                <w:b/>
                <w:bCs/>
                <w:sz w:val="16"/>
                <w:lang w:bidi="he-IL"/>
              </w:rPr>
            </w:pPr>
            <w:r w:rsidRPr="00E57D86">
              <w:rPr>
                <w:b/>
                <w:bCs/>
                <w:color w:val="000000"/>
                <w:sz w:val="20"/>
              </w:rPr>
              <w:t xml:space="preserve">For the year ended </w:t>
            </w:r>
            <w:proofErr w:type="gramStart"/>
            <w:r>
              <w:rPr>
                <w:b/>
                <w:bCs/>
                <w:color w:val="000000"/>
                <w:sz w:val="20"/>
              </w:rPr>
              <w:t>at</w:t>
            </w:r>
            <w:proofErr w:type="gramEnd"/>
            <w:r>
              <w:rPr>
                <w:b/>
                <w:bCs/>
                <w:color w:val="000000"/>
                <w:sz w:val="20"/>
              </w:rPr>
              <w:t xml:space="preserve"> </w:t>
            </w:r>
            <w:r w:rsidRPr="00E57D86">
              <w:rPr>
                <w:b/>
                <w:bCs/>
                <w:color w:val="000000"/>
                <w:sz w:val="20"/>
              </w:rPr>
              <w:t xml:space="preserve">December 31, </w:t>
            </w:r>
            <w:r>
              <w:rPr>
                <w:b/>
                <w:bCs/>
                <w:color w:val="000000"/>
                <w:sz w:val="20"/>
                <w:lang w:bidi="he-IL"/>
              </w:rPr>
              <w:t>2024</w:t>
            </w:r>
          </w:p>
        </w:tc>
      </w:tr>
      <w:tr w:rsidR="005101BC" w14:paraId="01249A61" w14:textId="77777777" w:rsidTr="005101BC">
        <w:trPr>
          <w:cantSplit/>
          <w:trHeight w:val="280"/>
          <w:tblHeader/>
        </w:trPr>
        <w:tc>
          <w:tcPr>
            <w:tcW w:w="4819" w:type="dxa"/>
            <w:vMerge/>
            <w:shd w:val="clear" w:color="auto" w:fill="auto"/>
            <w:vAlign w:val="bottom"/>
            <w:hideMark/>
          </w:tcPr>
          <w:p w14:paraId="2356EBEC" w14:textId="77777777" w:rsidR="005101BC" w:rsidRDefault="005101BC" w:rsidP="00327BFD">
            <w:pPr>
              <w:spacing w:before="40"/>
              <w:rPr>
                <w:rFonts w:ascii="Arial" w:eastAsia="Arial" w:hAnsi="Arial" w:cs="Arial"/>
                <w:sz w:val="22"/>
              </w:rPr>
            </w:pPr>
          </w:p>
        </w:tc>
        <w:tc>
          <w:tcPr>
            <w:tcW w:w="1587" w:type="dxa"/>
            <w:shd w:val="clear" w:color="auto" w:fill="auto"/>
            <w:vAlign w:val="bottom"/>
            <w:hideMark/>
          </w:tcPr>
          <w:p w14:paraId="58A58DBB" w14:textId="77777777" w:rsidR="005101BC" w:rsidRPr="007F692C" w:rsidRDefault="005101BC" w:rsidP="00327BFD">
            <w:pPr>
              <w:pBdr>
                <w:bottom w:val="single" w:sz="4" w:space="0" w:color="000000"/>
              </w:pBdr>
              <w:spacing w:before="40"/>
              <w:jc w:val="center"/>
              <w:rPr>
                <w:b/>
                <w:bCs/>
                <w:sz w:val="20"/>
              </w:rPr>
            </w:pPr>
            <w:r w:rsidRPr="007F692C">
              <w:rPr>
                <w:b/>
                <w:bCs/>
                <w:color w:val="000000"/>
                <w:sz w:val="20"/>
              </w:rPr>
              <w:t>Czech Republic</w:t>
            </w:r>
          </w:p>
        </w:tc>
        <w:tc>
          <w:tcPr>
            <w:tcW w:w="1587" w:type="dxa"/>
            <w:shd w:val="clear" w:color="auto" w:fill="auto"/>
            <w:noWrap/>
            <w:vAlign w:val="bottom"/>
            <w:hideMark/>
          </w:tcPr>
          <w:p w14:paraId="623B2655" w14:textId="77777777" w:rsidR="005101BC" w:rsidRPr="007F692C" w:rsidRDefault="005101BC" w:rsidP="00327BFD">
            <w:pPr>
              <w:pBdr>
                <w:bottom w:val="single" w:sz="4" w:space="0" w:color="000000"/>
              </w:pBdr>
              <w:spacing w:before="40"/>
              <w:jc w:val="center"/>
              <w:rPr>
                <w:b/>
                <w:bCs/>
                <w:sz w:val="20"/>
              </w:rPr>
            </w:pPr>
            <w:r w:rsidRPr="007F692C">
              <w:rPr>
                <w:b/>
                <w:bCs/>
                <w:color w:val="000000"/>
                <w:sz w:val="20"/>
              </w:rPr>
              <w:t>Serbia</w:t>
            </w:r>
          </w:p>
        </w:tc>
        <w:tc>
          <w:tcPr>
            <w:tcW w:w="1587" w:type="dxa"/>
            <w:shd w:val="clear" w:color="auto" w:fill="auto"/>
            <w:noWrap/>
            <w:vAlign w:val="bottom"/>
            <w:hideMark/>
          </w:tcPr>
          <w:p w14:paraId="123A7E32" w14:textId="77777777" w:rsidR="005101BC" w:rsidRPr="007F692C" w:rsidRDefault="005101BC" w:rsidP="00327BFD">
            <w:pPr>
              <w:pBdr>
                <w:bottom w:val="single" w:sz="4" w:space="0" w:color="000000"/>
              </w:pBdr>
              <w:spacing w:before="40"/>
              <w:jc w:val="center"/>
              <w:rPr>
                <w:b/>
                <w:bCs/>
                <w:sz w:val="20"/>
              </w:rPr>
            </w:pPr>
            <w:r w:rsidRPr="007F692C">
              <w:rPr>
                <w:b/>
                <w:bCs/>
                <w:color w:val="000000"/>
                <w:sz w:val="20"/>
              </w:rPr>
              <w:t>Romania</w:t>
            </w:r>
          </w:p>
        </w:tc>
        <w:tc>
          <w:tcPr>
            <w:tcW w:w="1587" w:type="dxa"/>
            <w:shd w:val="clear" w:color="auto" w:fill="auto"/>
            <w:noWrap/>
            <w:vAlign w:val="bottom"/>
            <w:hideMark/>
          </w:tcPr>
          <w:p w14:paraId="69080C8B" w14:textId="77777777" w:rsidR="005101BC" w:rsidRPr="007F692C" w:rsidRDefault="005101BC" w:rsidP="00327BFD">
            <w:pPr>
              <w:pBdr>
                <w:bottom w:val="single" w:sz="4" w:space="0" w:color="000000"/>
              </w:pBdr>
              <w:spacing w:before="40"/>
              <w:jc w:val="center"/>
              <w:rPr>
                <w:b/>
                <w:bCs/>
                <w:sz w:val="20"/>
              </w:rPr>
            </w:pPr>
            <w:r w:rsidRPr="007F692C">
              <w:rPr>
                <w:b/>
                <w:bCs/>
                <w:color w:val="000000"/>
                <w:sz w:val="20"/>
              </w:rPr>
              <w:t>Poland</w:t>
            </w:r>
          </w:p>
        </w:tc>
        <w:tc>
          <w:tcPr>
            <w:tcW w:w="1587" w:type="dxa"/>
            <w:shd w:val="clear" w:color="auto" w:fill="auto"/>
            <w:vAlign w:val="bottom"/>
            <w:hideMark/>
          </w:tcPr>
          <w:p w14:paraId="74D61C2A" w14:textId="77777777" w:rsidR="005101BC" w:rsidRPr="007F692C" w:rsidRDefault="005101BC" w:rsidP="00327BFD">
            <w:pPr>
              <w:pBdr>
                <w:bottom w:val="single" w:sz="4" w:space="0" w:color="000000"/>
              </w:pBdr>
              <w:spacing w:before="40"/>
              <w:jc w:val="center"/>
              <w:rPr>
                <w:b/>
                <w:bCs/>
                <w:sz w:val="20"/>
              </w:rPr>
            </w:pPr>
            <w:r w:rsidRPr="007F692C">
              <w:rPr>
                <w:b/>
                <w:bCs/>
                <w:color w:val="000000"/>
                <w:sz w:val="20"/>
              </w:rPr>
              <w:t>Other regions</w:t>
            </w:r>
          </w:p>
        </w:tc>
        <w:tc>
          <w:tcPr>
            <w:tcW w:w="1816" w:type="dxa"/>
            <w:shd w:val="clear" w:color="auto" w:fill="auto"/>
            <w:vAlign w:val="bottom"/>
            <w:hideMark/>
          </w:tcPr>
          <w:p w14:paraId="55037822" w14:textId="77777777" w:rsidR="005101BC" w:rsidRPr="007F692C" w:rsidRDefault="005101BC" w:rsidP="00327BFD">
            <w:pPr>
              <w:pBdr>
                <w:bottom w:val="single" w:sz="4" w:space="0" w:color="000000"/>
              </w:pBdr>
              <w:spacing w:before="40"/>
              <w:jc w:val="center"/>
              <w:rPr>
                <w:b/>
                <w:bCs/>
                <w:sz w:val="20"/>
              </w:rPr>
            </w:pPr>
            <w:r w:rsidRPr="007F692C">
              <w:rPr>
                <w:b/>
                <w:bCs/>
                <w:color w:val="000000"/>
                <w:sz w:val="20"/>
              </w:rPr>
              <w:t>Total consolidated</w:t>
            </w:r>
          </w:p>
        </w:tc>
      </w:tr>
      <w:tr w:rsidR="00A95416" w14:paraId="58F46C12" w14:textId="77777777" w:rsidTr="005101BC">
        <w:trPr>
          <w:trHeight w:val="280"/>
        </w:trPr>
        <w:tc>
          <w:tcPr>
            <w:tcW w:w="4819" w:type="dxa"/>
            <w:shd w:val="clear" w:color="auto" w:fill="auto"/>
            <w:vAlign w:val="bottom"/>
            <w:hideMark/>
          </w:tcPr>
          <w:p w14:paraId="74432F89" w14:textId="77777777" w:rsidR="00A95416" w:rsidRDefault="00A95416" w:rsidP="00327BFD">
            <w:pPr>
              <w:spacing w:before="40"/>
              <w:rPr>
                <w:sz w:val="20"/>
              </w:rPr>
            </w:pPr>
            <w:r>
              <w:rPr>
                <w:color w:val="000000"/>
                <w:sz w:val="20"/>
              </w:rPr>
              <w:t>Income from external customers:</w:t>
            </w:r>
          </w:p>
        </w:tc>
        <w:tc>
          <w:tcPr>
            <w:tcW w:w="1587" w:type="dxa"/>
            <w:shd w:val="clear" w:color="auto" w:fill="auto"/>
            <w:noWrap/>
            <w:vAlign w:val="bottom"/>
          </w:tcPr>
          <w:p w14:paraId="508392BB" w14:textId="77777777" w:rsidR="00A95416" w:rsidRPr="001F0577" w:rsidRDefault="00A95416" w:rsidP="00327BFD">
            <w:pPr>
              <w:spacing w:before="40"/>
              <w:jc w:val="right"/>
              <w:rPr>
                <w:b/>
                <w:bCs/>
                <w:sz w:val="20"/>
              </w:rPr>
            </w:pPr>
          </w:p>
        </w:tc>
        <w:tc>
          <w:tcPr>
            <w:tcW w:w="1587" w:type="dxa"/>
            <w:shd w:val="clear" w:color="auto" w:fill="auto"/>
            <w:noWrap/>
            <w:vAlign w:val="bottom"/>
          </w:tcPr>
          <w:p w14:paraId="62A0EDF8" w14:textId="77777777" w:rsidR="00A95416" w:rsidRPr="001F0577" w:rsidRDefault="00A95416" w:rsidP="00327BFD">
            <w:pPr>
              <w:spacing w:before="40"/>
              <w:jc w:val="right"/>
              <w:rPr>
                <w:b/>
                <w:bCs/>
                <w:sz w:val="20"/>
              </w:rPr>
            </w:pPr>
          </w:p>
        </w:tc>
        <w:tc>
          <w:tcPr>
            <w:tcW w:w="1587" w:type="dxa"/>
            <w:shd w:val="clear" w:color="auto" w:fill="auto"/>
            <w:noWrap/>
            <w:vAlign w:val="bottom"/>
          </w:tcPr>
          <w:p w14:paraId="52D61B5C" w14:textId="77777777" w:rsidR="00A95416" w:rsidRPr="001F0577" w:rsidRDefault="00A95416" w:rsidP="00327BFD">
            <w:pPr>
              <w:spacing w:before="40"/>
              <w:jc w:val="right"/>
              <w:rPr>
                <w:b/>
                <w:bCs/>
                <w:sz w:val="20"/>
              </w:rPr>
            </w:pPr>
          </w:p>
        </w:tc>
        <w:tc>
          <w:tcPr>
            <w:tcW w:w="1587" w:type="dxa"/>
            <w:shd w:val="clear" w:color="auto" w:fill="auto"/>
            <w:noWrap/>
            <w:vAlign w:val="bottom"/>
          </w:tcPr>
          <w:p w14:paraId="7AE47135" w14:textId="77777777" w:rsidR="00A95416" w:rsidRPr="001F0577" w:rsidRDefault="00A95416" w:rsidP="00327BFD">
            <w:pPr>
              <w:spacing w:before="40"/>
              <w:jc w:val="right"/>
              <w:rPr>
                <w:b/>
                <w:bCs/>
                <w:sz w:val="20"/>
              </w:rPr>
            </w:pPr>
          </w:p>
        </w:tc>
        <w:tc>
          <w:tcPr>
            <w:tcW w:w="1587" w:type="dxa"/>
            <w:shd w:val="clear" w:color="auto" w:fill="auto"/>
            <w:noWrap/>
            <w:vAlign w:val="bottom"/>
          </w:tcPr>
          <w:p w14:paraId="28D807D3" w14:textId="77777777" w:rsidR="00A95416" w:rsidRPr="001F0577" w:rsidRDefault="00A95416" w:rsidP="00327BFD">
            <w:pPr>
              <w:spacing w:before="40"/>
              <w:jc w:val="right"/>
              <w:rPr>
                <w:b/>
                <w:bCs/>
                <w:sz w:val="20"/>
              </w:rPr>
            </w:pPr>
          </w:p>
        </w:tc>
        <w:tc>
          <w:tcPr>
            <w:tcW w:w="1816" w:type="dxa"/>
            <w:shd w:val="clear" w:color="auto" w:fill="auto"/>
            <w:noWrap/>
            <w:vAlign w:val="bottom"/>
          </w:tcPr>
          <w:p w14:paraId="02B0F004" w14:textId="77777777" w:rsidR="00A95416" w:rsidRPr="001F0577" w:rsidRDefault="00A95416" w:rsidP="00327BFD">
            <w:pPr>
              <w:spacing w:before="40"/>
              <w:jc w:val="right"/>
              <w:rPr>
                <w:b/>
                <w:bCs/>
                <w:sz w:val="20"/>
              </w:rPr>
            </w:pPr>
          </w:p>
        </w:tc>
      </w:tr>
      <w:tr w:rsidR="00D009DD" w14:paraId="1A337CE2" w14:textId="77777777" w:rsidTr="005101BC">
        <w:trPr>
          <w:trHeight w:val="280"/>
        </w:trPr>
        <w:tc>
          <w:tcPr>
            <w:tcW w:w="4819" w:type="dxa"/>
            <w:shd w:val="clear" w:color="auto" w:fill="auto"/>
            <w:noWrap/>
            <w:vAlign w:val="bottom"/>
            <w:hideMark/>
          </w:tcPr>
          <w:p w14:paraId="33E2C53C" w14:textId="77777777" w:rsidR="00D009DD" w:rsidRDefault="00D009DD" w:rsidP="00D009DD">
            <w:pPr>
              <w:spacing w:before="40"/>
              <w:rPr>
                <w:sz w:val="20"/>
              </w:rPr>
            </w:pPr>
            <w:r>
              <w:rPr>
                <w:color w:val="000000"/>
                <w:sz w:val="20"/>
              </w:rPr>
              <w:t>Gross rental income</w:t>
            </w:r>
          </w:p>
        </w:tc>
        <w:tc>
          <w:tcPr>
            <w:tcW w:w="1587" w:type="dxa"/>
            <w:shd w:val="clear" w:color="auto" w:fill="auto"/>
            <w:noWrap/>
            <w:vAlign w:val="bottom"/>
          </w:tcPr>
          <w:p w14:paraId="1DB55F59" w14:textId="77777777" w:rsidR="00D009DD" w:rsidRPr="00425DB1" w:rsidRDefault="00D009DD" w:rsidP="00425DB1">
            <w:pPr>
              <w:spacing w:before="40"/>
              <w:jc w:val="right"/>
              <w:rPr>
                <w:sz w:val="20"/>
              </w:rPr>
            </w:pPr>
            <w:r w:rsidRPr="00425DB1">
              <w:rPr>
                <w:sz w:val="20"/>
              </w:rPr>
              <w:t>28,357</w:t>
            </w:r>
          </w:p>
        </w:tc>
        <w:tc>
          <w:tcPr>
            <w:tcW w:w="1587" w:type="dxa"/>
            <w:shd w:val="clear" w:color="auto" w:fill="auto"/>
            <w:noWrap/>
            <w:vAlign w:val="bottom"/>
          </w:tcPr>
          <w:p w14:paraId="521796EC" w14:textId="1AF2FD27" w:rsidR="00D009DD" w:rsidRPr="00425DB1" w:rsidRDefault="00D009DD" w:rsidP="00425DB1">
            <w:pPr>
              <w:spacing w:before="40"/>
              <w:jc w:val="right"/>
              <w:rPr>
                <w:sz w:val="20"/>
              </w:rPr>
            </w:pPr>
            <w:r w:rsidRPr="00425DB1">
              <w:rPr>
                <w:sz w:val="20"/>
              </w:rPr>
              <w:t>40,845</w:t>
            </w:r>
          </w:p>
        </w:tc>
        <w:tc>
          <w:tcPr>
            <w:tcW w:w="1587" w:type="dxa"/>
            <w:shd w:val="clear" w:color="auto" w:fill="auto"/>
            <w:noWrap/>
            <w:vAlign w:val="bottom"/>
          </w:tcPr>
          <w:p w14:paraId="6E05C169" w14:textId="01E4D1D1" w:rsidR="00D009DD" w:rsidRPr="00425DB1" w:rsidRDefault="00D009DD" w:rsidP="00425DB1">
            <w:pPr>
              <w:spacing w:before="40"/>
              <w:jc w:val="right"/>
              <w:rPr>
                <w:sz w:val="20"/>
              </w:rPr>
            </w:pPr>
            <w:r w:rsidRPr="00425DB1">
              <w:rPr>
                <w:sz w:val="20"/>
              </w:rPr>
              <w:t>112,568</w:t>
            </w:r>
          </w:p>
        </w:tc>
        <w:tc>
          <w:tcPr>
            <w:tcW w:w="1587" w:type="dxa"/>
            <w:shd w:val="clear" w:color="auto" w:fill="auto"/>
            <w:noWrap/>
            <w:vAlign w:val="bottom"/>
          </w:tcPr>
          <w:p w14:paraId="6DD9C5A3" w14:textId="5BBEF73F" w:rsidR="00D009DD" w:rsidRPr="00425DB1" w:rsidRDefault="00D009DD" w:rsidP="00425DB1">
            <w:pPr>
              <w:spacing w:before="40"/>
              <w:jc w:val="right"/>
              <w:rPr>
                <w:sz w:val="20"/>
              </w:rPr>
            </w:pPr>
            <w:r w:rsidRPr="00425DB1">
              <w:rPr>
                <w:sz w:val="20"/>
              </w:rPr>
              <w:t>16,573</w:t>
            </w:r>
          </w:p>
        </w:tc>
        <w:tc>
          <w:tcPr>
            <w:tcW w:w="1587" w:type="dxa"/>
            <w:shd w:val="clear" w:color="auto" w:fill="auto"/>
            <w:noWrap/>
            <w:vAlign w:val="bottom"/>
          </w:tcPr>
          <w:p w14:paraId="567FFF04" w14:textId="137974DA" w:rsidR="00D009DD" w:rsidRPr="00425DB1" w:rsidRDefault="00D009DD" w:rsidP="00425DB1">
            <w:pPr>
              <w:spacing w:before="40"/>
              <w:jc w:val="right"/>
              <w:rPr>
                <w:sz w:val="20"/>
              </w:rPr>
            </w:pPr>
            <w:r w:rsidRPr="00425DB1">
              <w:rPr>
                <w:sz w:val="20"/>
              </w:rPr>
              <w:t>2,209</w:t>
            </w:r>
          </w:p>
        </w:tc>
        <w:tc>
          <w:tcPr>
            <w:tcW w:w="1816" w:type="dxa"/>
            <w:shd w:val="clear" w:color="auto" w:fill="auto"/>
            <w:noWrap/>
            <w:vAlign w:val="bottom"/>
          </w:tcPr>
          <w:p w14:paraId="07671F96" w14:textId="39369F68" w:rsidR="00D009DD" w:rsidRPr="00425DB1" w:rsidRDefault="00D009DD" w:rsidP="00425DB1">
            <w:pPr>
              <w:spacing w:before="40"/>
              <w:jc w:val="right"/>
              <w:rPr>
                <w:sz w:val="20"/>
              </w:rPr>
            </w:pPr>
            <w:r w:rsidRPr="00425DB1">
              <w:rPr>
                <w:sz w:val="20"/>
              </w:rPr>
              <w:t>200,552</w:t>
            </w:r>
          </w:p>
        </w:tc>
      </w:tr>
      <w:tr w:rsidR="00D009DD" w14:paraId="383CB946" w14:textId="77777777" w:rsidTr="005101BC">
        <w:trPr>
          <w:trHeight w:val="280"/>
        </w:trPr>
        <w:tc>
          <w:tcPr>
            <w:tcW w:w="4819" w:type="dxa"/>
            <w:shd w:val="clear" w:color="auto" w:fill="auto"/>
            <w:noWrap/>
            <w:vAlign w:val="bottom"/>
            <w:hideMark/>
          </w:tcPr>
          <w:p w14:paraId="444AB734" w14:textId="77777777" w:rsidR="00D009DD" w:rsidRDefault="00D009DD" w:rsidP="00D009DD">
            <w:pPr>
              <w:spacing w:before="40"/>
              <w:rPr>
                <w:sz w:val="20"/>
              </w:rPr>
            </w:pPr>
            <w:r w:rsidRPr="00F77708">
              <w:rPr>
                <w:color w:val="000000"/>
                <w:sz w:val="20"/>
              </w:rPr>
              <w:t>Proceeds from sale of trading property</w:t>
            </w:r>
          </w:p>
        </w:tc>
        <w:tc>
          <w:tcPr>
            <w:tcW w:w="1587" w:type="dxa"/>
            <w:shd w:val="clear" w:color="auto" w:fill="auto"/>
            <w:noWrap/>
            <w:vAlign w:val="bottom"/>
          </w:tcPr>
          <w:p w14:paraId="01631C36" w14:textId="09D7965D" w:rsidR="00D009DD" w:rsidRPr="00425DB1" w:rsidRDefault="00D009DD" w:rsidP="00425DB1">
            <w:pPr>
              <w:spacing w:before="40"/>
              <w:jc w:val="right"/>
              <w:rPr>
                <w:sz w:val="20"/>
              </w:rPr>
            </w:pPr>
            <w:r w:rsidRPr="00425DB1">
              <w:rPr>
                <w:sz w:val="20"/>
              </w:rPr>
              <w:t>658</w:t>
            </w:r>
          </w:p>
        </w:tc>
        <w:tc>
          <w:tcPr>
            <w:tcW w:w="1587" w:type="dxa"/>
            <w:shd w:val="clear" w:color="auto" w:fill="auto"/>
            <w:noWrap/>
            <w:vAlign w:val="bottom"/>
          </w:tcPr>
          <w:p w14:paraId="523E00AF" w14:textId="37D6038B" w:rsidR="00D009DD" w:rsidRPr="00425DB1" w:rsidRDefault="00D009DD" w:rsidP="00425DB1">
            <w:pPr>
              <w:spacing w:before="40"/>
              <w:jc w:val="right"/>
              <w:rPr>
                <w:sz w:val="20"/>
              </w:rPr>
            </w:pPr>
            <w:r w:rsidRPr="00425DB1">
              <w:rPr>
                <w:sz w:val="20"/>
              </w:rPr>
              <w:t>-</w:t>
            </w:r>
          </w:p>
        </w:tc>
        <w:tc>
          <w:tcPr>
            <w:tcW w:w="1587" w:type="dxa"/>
            <w:shd w:val="clear" w:color="auto" w:fill="auto"/>
            <w:noWrap/>
            <w:vAlign w:val="bottom"/>
          </w:tcPr>
          <w:p w14:paraId="2FAD14D7" w14:textId="0B4F3B92" w:rsidR="00D009DD" w:rsidRPr="00425DB1" w:rsidRDefault="00D009DD" w:rsidP="00425DB1">
            <w:pPr>
              <w:spacing w:before="40"/>
              <w:jc w:val="right"/>
              <w:rPr>
                <w:sz w:val="20"/>
              </w:rPr>
            </w:pPr>
            <w:r w:rsidRPr="00425DB1">
              <w:rPr>
                <w:sz w:val="20"/>
              </w:rPr>
              <w:t>-</w:t>
            </w:r>
          </w:p>
        </w:tc>
        <w:tc>
          <w:tcPr>
            <w:tcW w:w="1587" w:type="dxa"/>
            <w:shd w:val="clear" w:color="auto" w:fill="auto"/>
            <w:noWrap/>
            <w:vAlign w:val="bottom"/>
          </w:tcPr>
          <w:p w14:paraId="1E054430" w14:textId="7FB1567F" w:rsidR="00D009DD" w:rsidRPr="00425DB1" w:rsidRDefault="00D009DD" w:rsidP="00425DB1">
            <w:pPr>
              <w:spacing w:before="40"/>
              <w:jc w:val="right"/>
              <w:rPr>
                <w:sz w:val="20"/>
              </w:rPr>
            </w:pPr>
            <w:r w:rsidRPr="00425DB1">
              <w:rPr>
                <w:sz w:val="20"/>
              </w:rPr>
              <w:t>91</w:t>
            </w:r>
          </w:p>
        </w:tc>
        <w:tc>
          <w:tcPr>
            <w:tcW w:w="1587" w:type="dxa"/>
            <w:shd w:val="clear" w:color="auto" w:fill="auto"/>
            <w:noWrap/>
            <w:vAlign w:val="bottom"/>
          </w:tcPr>
          <w:p w14:paraId="4B15B53C" w14:textId="1150B637" w:rsidR="00D009DD" w:rsidRPr="00425DB1" w:rsidRDefault="00D009DD" w:rsidP="00425DB1">
            <w:pPr>
              <w:spacing w:before="40"/>
              <w:jc w:val="right"/>
              <w:rPr>
                <w:sz w:val="20"/>
              </w:rPr>
            </w:pPr>
            <w:r w:rsidRPr="00425DB1">
              <w:rPr>
                <w:sz w:val="20"/>
              </w:rPr>
              <w:t>7,366</w:t>
            </w:r>
          </w:p>
        </w:tc>
        <w:tc>
          <w:tcPr>
            <w:tcW w:w="1816" w:type="dxa"/>
            <w:shd w:val="clear" w:color="auto" w:fill="auto"/>
            <w:noWrap/>
            <w:vAlign w:val="bottom"/>
          </w:tcPr>
          <w:p w14:paraId="1AD6A9CC" w14:textId="07CC5B34" w:rsidR="00D009DD" w:rsidRPr="00425DB1" w:rsidRDefault="00D009DD" w:rsidP="00425DB1">
            <w:pPr>
              <w:spacing w:before="40"/>
              <w:jc w:val="right"/>
              <w:rPr>
                <w:sz w:val="20"/>
              </w:rPr>
            </w:pPr>
            <w:r w:rsidRPr="00425DB1">
              <w:rPr>
                <w:sz w:val="20"/>
              </w:rPr>
              <w:t>8,115</w:t>
            </w:r>
          </w:p>
        </w:tc>
      </w:tr>
      <w:tr w:rsidR="00D009DD" w14:paraId="1EB89D15" w14:textId="77777777" w:rsidTr="005101BC">
        <w:trPr>
          <w:trHeight w:val="280"/>
        </w:trPr>
        <w:tc>
          <w:tcPr>
            <w:tcW w:w="4819" w:type="dxa"/>
            <w:shd w:val="clear" w:color="auto" w:fill="auto"/>
            <w:vAlign w:val="bottom"/>
            <w:hideMark/>
          </w:tcPr>
          <w:p w14:paraId="0C9C74D2" w14:textId="77777777" w:rsidR="00D009DD" w:rsidRDefault="00D009DD" w:rsidP="00D009DD">
            <w:pPr>
              <w:spacing w:before="40"/>
              <w:rPr>
                <w:sz w:val="20"/>
              </w:rPr>
            </w:pPr>
            <w:r>
              <w:rPr>
                <w:color w:val="000000"/>
                <w:sz w:val="20"/>
              </w:rPr>
              <w:t>Service charge income</w:t>
            </w:r>
          </w:p>
        </w:tc>
        <w:tc>
          <w:tcPr>
            <w:tcW w:w="1587" w:type="dxa"/>
            <w:shd w:val="clear" w:color="auto" w:fill="auto"/>
            <w:noWrap/>
            <w:vAlign w:val="bottom"/>
          </w:tcPr>
          <w:p w14:paraId="693A4D37" w14:textId="60367D11" w:rsidR="00D009DD" w:rsidRPr="00425DB1" w:rsidRDefault="00D009DD" w:rsidP="00425DB1">
            <w:pPr>
              <w:spacing w:before="40"/>
              <w:jc w:val="right"/>
              <w:rPr>
                <w:sz w:val="20"/>
              </w:rPr>
            </w:pPr>
            <w:r w:rsidRPr="00425DB1">
              <w:rPr>
                <w:sz w:val="20"/>
              </w:rPr>
              <w:t>10,731</w:t>
            </w:r>
          </w:p>
        </w:tc>
        <w:tc>
          <w:tcPr>
            <w:tcW w:w="1587" w:type="dxa"/>
            <w:shd w:val="clear" w:color="auto" w:fill="auto"/>
            <w:noWrap/>
            <w:vAlign w:val="bottom"/>
          </w:tcPr>
          <w:p w14:paraId="7CB12845" w14:textId="45DF8451" w:rsidR="00D009DD" w:rsidRPr="00425DB1" w:rsidRDefault="00D009DD" w:rsidP="00425DB1">
            <w:pPr>
              <w:spacing w:before="40"/>
              <w:jc w:val="right"/>
              <w:rPr>
                <w:sz w:val="20"/>
              </w:rPr>
            </w:pPr>
            <w:r w:rsidRPr="00425DB1">
              <w:rPr>
                <w:sz w:val="20"/>
              </w:rPr>
              <w:t>13,610</w:t>
            </w:r>
          </w:p>
        </w:tc>
        <w:tc>
          <w:tcPr>
            <w:tcW w:w="1587" w:type="dxa"/>
            <w:shd w:val="clear" w:color="auto" w:fill="auto"/>
            <w:noWrap/>
            <w:vAlign w:val="bottom"/>
          </w:tcPr>
          <w:p w14:paraId="3362D17C" w14:textId="05807152" w:rsidR="00D009DD" w:rsidRPr="00425DB1" w:rsidRDefault="00D009DD" w:rsidP="00425DB1">
            <w:pPr>
              <w:spacing w:before="40"/>
              <w:jc w:val="right"/>
              <w:rPr>
                <w:sz w:val="20"/>
              </w:rPr>
            </w:pPr>
            <w:r w:rsidRPr="00425DB1">
              <w:rPr>
                <w:sz w:val="20"/>
              </w:rPr>
              <w:t>36,135</w:t>
            </w:r>
          </w:p>
        </w:tc>
        <w:tc>
          <w:tcPr>
            <w:tcW w:w="1587" w:type="dxa"/>
            <w:shd w:val="clear" w:color="auto" w:fill="auto"/>
            <w:noWrap/>
            <w:vAlign w:val="bottom"/>
          </w:tcPr>
          <w:p w14:paraId="710B439B" w14:textId="1AB15EE4" w:rsidR="00D009DD" w:rsidRPr="00425DB1" w:rsidRDefault="00D009DD" w:rsidP="00425DB1">
            <w:pPr>
              <w:spacing w:before="40"/>
              <w:jc w:val="right"/>
              <w:rPr>
                <w:sz w:val="20"/>
              </w:rPr>
            </w:pPr>
            <w:r w:rsidRPr="00425DB1">
              <w:rPr>
                <w:sz w:val="20"/>
              </w:rPr>
              <w:t>7,905</w:t>
            </w:r>
          </w:p>
        </w:tc>
        <w:tc>
          <w:tcPr>
            <w:tcW w:w="1587" w:type="dxa"/>
            <w:shd w:val="clear" w:color="auto" w:fill="auto"/>
            <w:noWrap/>
            <w:vAlign w:val="bottom"/>
          </w:tcPr>
          <w:p w14:paraId="582D8F0A" w14:textId="79CA555C" w:rsidR="00D009DD" w:rsidRPr="00425DB1" w:rsidRDefault="00D009DD" w:rsidP="00425DB1">
            <w:pPr>
              <w:spacing w:before="40"/>
              <w:jc w:val="right"/>
              <w:rPr>
                <w:sz w:val="20"/>
              </w:rPr>
            </w:pPr>
            <w:r w:rsidRPr="00425DB1">
              <w:rPr>
                <w:sz w:val="20"/>
              </w:rPr>
              <w:t>892</w:t>
            </w:r>
          </w:p>
        </w:tc>
        <w:tc>
          <w:tcPr>
            <w:tcW w:w="1816" w:type="dxa"/>
            <w:shd w:val="clear" w:color="auto" w:fill="auto"/>
            <w:noWrap/>
            <w:vAlign w:val="bottom"/>
          </w:tcPr>
          <w:p w14:paraId="66D544AD" w14:textId="562BD249" w:rsidR="00D009DD" w:rsidRPr="00425DB1" w:rsidRDefault="00D009DD" w:rsidP="00425DB1">
            <w:pPr>
              <w:spacing w:before="40"/>
              <w:jc w:val="right"/>
              <w:rPr>
                <w:sz w:val="20"/>
              </w:rPr>
            </w:pPr>
            <w:r w:rsidRPr="00425DB1">
              <w:rPr>
                <w:sz w:val="20"/>
              </w:rPr>
              <w:t>69,273</w:t>
            </w:r>
          </w:p>
        </w:tc>
      </w:tr>
      <w:tr w:rsidR="00D009DD" w14:paraId="7B9ADC34" w14:textId="77777777" w:rsidTr="005101BC">
        <w:trPr>
          <w:trHeight w:val="280"/>
        </w:trPr>
        <w:tc>
          <w:tcPr>
            <w:tcW w:w="4819" w:type="dxa"/>
            <w:shd w:val="clear" w:color="auto" w:fill="auto"/>
            <w:vAlign w:val="bottom"/>
            <w:hideMark/>
          </w:tcPr>
          <w:p w14:paraId="2B6EE840" w14:textId="77777777" w:rsidR="00D009DD" w:rsidRDefault="00D009DD" w:rsidP="00D009DD">
            <w:pPr>
              <w:spacing w:before="40"/>
              <w:rPr>
                <w:sz w:val="20"/>
              </w:rPr>
            </w:pPr>
            <w:r>
              <w:rPr>
                <w:color w:val="000000"/>
                <w:sz w:val="20"/>
              </w:rPr>
              <w:t>Other</w:t>
            </w:r>
            <w:r>
              <w:rPr>
                <w:sz w:val="20"/>
              </w:rPr>
              <w:t xml:space="preserve"> income</w:t>
            </w:r>
          </w:p>
        </w:tc>
        <w:tc>
          <w:tcPr>
            <w:tcW w:w="1587" w:type="dxa"/>
            <w:shd w:val="clear" w:color="auto" w:fill="auto"/>
            <w:noWrap/>
            <w:vAlign w:val="bottom"/>
          </w:tcPr>
          <w:p w14:paraId="58D0ACE0" w14:textId="2E435B88" w:rsidR="00D009DD" w:rsidRPr="00425DB1" w:rsidRDefault="00D009DD" w:rsidP="00425DB1">
            <w:pPr>
              <w:pBdr>
                <w:bottom w:val="single" w:sz="4" w:space="0" w:color="000000"/>
              </w:pBdr>
              <w:spacing w:before="40"/>
              <w:jc w:val="right"/>
              <w:rPr>
                <w:sz w:val="20"/>
              </w:rPr>
            </w:pPr>
            <w:r w:rsidRPr="00425DB1">
              <w:rPr>
                <w:sz w:val="20"/>
              </w:rPr>
              <w:t>295</w:t>
            </w:r>
          </w:p>
        </w:tc>
        <w:tc>
          <w:tcPr>
            <w:tcW w:w="1587" w:type="dxa"/>
            <w:shd w:val="clear" w:color="auto" w:fill="auto"/>
            <w:noWrap/>
            <w:vAlign w:val="bottom"/>
          </w:tcPr>
          <w:p w14:paraId="5884EE1B" w14:textId="53CEA928" w:rsidR="00D009DD" w:rsidRPr="00425DB1" w:rsidRDefault="00D009DD" w:rsidP="00425DB1">
            <w:pPr>
              <w:pBdr>
                <w:bottom w:val="single" w:sz="4" w:space="0" w:color="000000"/>
              </w:pBdr>
              <w:spacing w:before="40"/>
              <w:jc w:val="right"/>
              <w:rPr>
                <w:sz w:val="20"/>
              </w:rPr>
            </w:pPr>
            <w:r w:rsidRPr="00425DB1">
              <w:rPr>
                <w:sz w:val="20"/>
              </w:rPr>
              <w:t>1,201</w:t>
            </w:r>
          </w:p>
        </w:tc>
        <w:tc>
          <w:tcPr>
            <w:tcW w:w="1587" w:type="dxa"/>
            <w:shd w:val="clear" w:color="auto" w:fill="auto"/>
            <w:noWrap/>
            <w:vAlign w:val="bottom"/>
          </w:tcPr>
          <w:p w14:paraId="7EAF6EC0" w14:textId="36473D73" w:rsidR="00D009DD" w:rsidRPr="00425DB1" w:rsidRDefault="00D009DD" w:rsidP="00425DB1">
            <w:pPr>
              <w:pBdr>
                <w:bottom w:val="single" w:sz="4" w:space="0" w:color="000000"/>
              </w:pBdr>
              <w:spacing w:before="40"/>
              <w:jc w:val="right"/>
              <w:rPr>
                <w:sz w:val="20"/>
              </w:rPr>
            </w:pPr>
            <w:r w:rsidRPr="00425DB1">
              <w:rPr>
                <w:sz w:val="20"/>
              </w:rPr>
              <w:t>2,971</w:t>
            </w:r>
          </w:p>
        </w:tc>
        <w:tc>
          <w:tcPr>
            <w:tcW w:w="1587" w:type="dxa"/>
            <w:shd w:val="clear" w:color="auto" w:fill="auto"/>
            <w:noWrap/>
            <w:vAlign w:val="bottom"/>
          </w:tcPr>
          <w:p w14:paraId="2B38C000" w14:textId="22EBFECF" w:rsidR="00D009DD" w:rsidRPr="00425DB1" w:rsidRDefault="00D009DD" w:rsidP="00425DB1">
            <w:pPr>
              <w:pBdr>
                <w:bottom w:val="single" w:sz="4" w:space="0" w:color="000000"/>
              </w:pBdr>
              <w:spacing w:before="40"/>
              <w:jc w:val="right"/>
              <w:rPr>
                <w:sz w:val="20"/>
              </w:rPr>
            </w:pPr>
            <w:r w:rsidRPr="00425DB1">
              <w:rPr>
                <w:sz w:val="20"/>
              </w:rPr>
              <w:t>188</w:t>
            </w:r>
          </w:p>
        </w:tc>
        <w:tc>
          <w:tcPr>
            <w:tcW w:w="1587" w:type="dxa"/>
            <w:shd w:val="clear" w:color="auto" w:fill="auto"/>
            <w:noWrap/>
            <w:vAlign w:val="bottom"/>
          </w:tcPr>
          <w:p w14:paraId="3B2A8A68" w14:textId="21428C56" w:rsidR="00D009DD" w:rsidRPr="00425DB1" w:rsidRDefault="00D009DD" w:rsidP="00425DB1">
            <w:pPr>
              <w:pBdr>
                <w:bottom w:val="single" w:sz="4" w:space="0" w:color="000000"/>
              </w:pBdr>
              <w:spacing w:before="40"/>
              <w:jc w:val="right"/>
              <w:rPr>
                <w:sz w:val="20"/>
              </w:rPr>
            </w:pPr>
            <w:r w:rsidRPr="00425DB1">
              <w:rPr>
                <w:sz w:val="20"/>
              </w:rPr>
              <w:t>735</w:t>
            </w:r>
          </w:p>
        </w:tc>
        <w:tc>
          <w:tcPr>
            <w:tcW w:w="1816" w:type="dxa"/>
            <w:shd w:val="clear" w:color="auto" w:fill="auto"/>
            <w:noWrap/>
            <w:vAlign w:val="bottom"/>
          </w:tcPr>
          <w:p w14:paraId="6A0C796B" w14:textId="7780F2E5" w:rsidR="00D009DD" w:rsidRPr="00425DB1" w:rsidRDefault="00D009DD" w:rsidP="00425DB1">
            <w:pPr>
              <w:pBdr>
                <w:bottom w:val="single" w:sz="4" w:space="0" w:color="000000"/>
              </w:pBdr>
              <w:spacing w:before="40"/>
              <w:jc w:val="right"/>
              <w:rPr>
                <w:sz w:val="20"/>
              </w:rPr>
            </w:pPr>
            <w:r w:rsidRPr="00425DB1">
              <w:rPr>
                <w:sz w:val="20"/>
              </w:rPr>
              <w:t>5,390</w:t>
            </w:r>
          </w:p>
        </w:tc>
      </w:tr>
      <w:tr w:rsidR="00D009DD" w14:paraId="4D099CF8" w14:textId="77777777" w:rsidTr="005101BC">
        <w:trPr>
          <w:trHeight w:val="280"/>
        </w:trPr>
        <w:tc>
          <w:tcPr>
            <w:tcW w:w="4819" w:type="dxa"/>
            <w:shd w:val="clear" w:color="auto" w:fill="auto"/>
            <w:vAlign w:val="bottom"/>
            <w:hideMark/>
          </w:tcPr>
          <w:p w14:paraId="7EFEAB07" w14:textId="77777777" w:rsidR="00D009DD" w:rsidRDefault="00D009DD" w:rsidP="00D009DD">
            <w:pPr>
              <w:spacing w:before="40"/>
              <w:rPr>
                <w:sz w:val="20"/>
              </w:rPr>
            </w:pPr>
            <w:r>
              <w:rPr>
                <w:color w:val="000000"/>
                <w:sz w:val="20"/>
              </w:rPr>
              <w:t>Total income</w:t>
            </w:r>
          </w:p>
        </w:tc>
        <w:tc>
          <w:tcPr>
            <w:tcW w:w="1587" w:type="dxa"/>
            <w:shd w:val="clear" w:color="auto" w:fill="auto"/>
            <w:noWrap/>
            <w:vAlign w:val="bottom"/>
          </w:tcPr>
          <w:p w14:paraId="0AF41A5E" w14:textId="1329A6D2" w:rsidR="00D009DD" w:rsidRPr="00425DB1" w:rsidRDefault="00D009DD" w:rsidP="00E43187">
            <w:pPr>
              <w:pBdr>
                <w:bottom w:val="double" w:sz="4" w:space="1" w:color="auto"/>
              </w:pBdr>
              <w:spacing w:before="40"/>
              <w:jc w:val="right"/>
              <w:rPr>
                <w:sz w:val="20"/>
              </w:rPr>
            </w:pPr>
            <w:r w:rsidRPr="00425DB1">
              <w:rPr>
                <w:sz w:val="20"/>
              </w:rPr>
              <w:t>40,041</w:t>
            </w:r>
          </w:p>
        </w:tc>
        <w:tc>
          <w:tcPr>
            <w:tcW w:w="1587" w:type="dxa"/>
            <w:shd w:val="clear" w:color="auto" w:fill="auto"/>
            <w:noWrap/>
            <w:vAlign w:val="bottom"/>
          </w:tcPr>
          <w:p w14:paraId="51A42E23" w14:textId="31BE9900" w:rsidR="00D009DD" w:rsidRPr="00425DB1" w:rsidRDefault="00D009DD" w:rsidP="00E43187">
            <w:pPr>
              <w:pBdr>
                <w:bottom w:val="double" w:sz="4" w:space="1" w:color="auto"/>
              </w:pBdr>
              <w:spacing w:before="40"/>
              <w:jc w:val="right"/>
              <w:rPr>
                <w:sz w:val="20"/>
              </w:rPr>
            </w:pPr>
            <w:r w:rsidRPr="00425DB1">
              <w:rPr>
                <w:sz w:val="20"/>
              </w:rPr>
              <w:t>55,656</w:t>
            </w:r>
          </w:p>
        </w:tc>
        <w:tc>
          <w:tcPr>
            <w:tcW w:w="1587" w:type="dxa"/>
            <w:shd w:val="clear" w:color="auto" w:fill="auto"/>
            <w:noWrap/>
            <w:vAlign w:val="bottom"/>
          </w:tcPr>
          <w:p w14:paraId="228AD214" w14:textId="420272CA" w:rsidR="00D009DD" w:rsidRPr="00425DB1" w:rsidRDefault="00D009DD" w:rsidP="00E43187">
            <w:pPr>
              <w:pBdr>
                <w:bottom w:val="double" w:sz="4" w:space="1" w:color="auto"/>
              </w:pBdr>
              <w:spacing w:before="40"/>
              <w:jc w:val="right"/>
              <w:rPr>
                <w:sz w:val="20"/>
              </w:rPr>
            </w:pPr>
            <w:r w:rsidRPr="00425DB1">
              <w:rPr>
                <w:sz w:val="20"/>
              </w:rPr>
              <w:t>151,674</w:t>
            </w:r>
          </w:p>
        </w:tc>
        <w:tc>
          <w:tcPr>
            <w:tcW w:w="1587" w:type="dxa"/>
            <w:shd w:val="clear" w:color="auto" w:fill="auto"/>
            <w:noWrap/>
            <w:vAlign w:val="bottom"/>
          </w:tcPr>
          <w:p w14:paraId="42AA092E" w14:textId="0F2D2FDE" w:rsidR="00D009DD" w:rsidRPr="00425DB1" w:rsidRDefault="00D009DD" w:rsidP="00E43187">
            <w:pPr>
              <w:pBdr>
                <w:bottom w:val="double" w:sz="4" w:space="1" w:color="auto"/>
              </w:pBdr>
              <w:spacing w:before="40"/>
              <w:jc w:val="right"/>
              <w:rPr>
                <w:sz w:val="20"/>
              </w:rPr>
            </w:pPr>
            <w:r w:rsidRPr="00425DB1">
              <w:rPr>
                <w:sz w:val="20"/>
              </w:rPr>
              <w:t>24,757</w:t>
            </w:r>
          </w:p>
        </w:tc>
        <w:tc>
          <w:tcPr>
            <w:tcW w:w="1587" w:type="dxa"/>
            <w:shd w:val="clear" w:color="auto" w:fill="auto"/>
            <w:noWrap/>
            <w:vAlign w:val="bottom"/>
          </w:tcPr>
          <w:p w14:paraId="102F013B" w14:textId="24E41ABF" w:rsidR="00D009DD" w:rsidRPr="00425DB1" w:rsidRDefault="00D009DD" w:rsidP="00E43187">
            <w:pPr>
              <w:pBdr>
                <w:bottom w:val="double" w:sz="4" w:space="1" w:color="auto"/>
              </w:pBdr>
              <w:spacing w:before="40"/>
              <w:jc w:val="right"/>
              <w:rPr>
                <w:sz w:val="20"/>
              </w:rPr>
            </w:pPr>
            <w:r w:rsidRPr="00425DB1">
              <w:rPr>
                <w:sz w:val="20"/>
              </w:rPr>
              <w:t>11,202</w:t>
            </w:r>
          </w:p>
        </w:tc>
        <w:tc>
          <w:tcPr>
            <w:tcW w:w="1816" w:type="dxa"/>
            <w:shd w:val="clear" w:color="auto" w:fill="auto"/>
            <w:noWrap/>
            <w:vAlign w:val="bottom"/>
          </w:tcPr>
          <w:p w14:paraId="764EEDE7" w14:textId="63AC35A8" w:rsidR="00D009DD" w:rsidRPr="00425DB1" w:rsidRDefault="00D009DD" w:rsidP="00E43187">
            <w:pPr>
              <w:pBdr>
                <w:bottom w:val="double" w:sz="4" w:space="1" w:color="auto"/>
              </w:pBdr>
              <w:spacing w:before="40"/>
              <w:jc w:val="right"/>
              <w:rPr>
                <w:sz w:val="20"/>
              </w:rPr>
            </w:pPr>
            <w:r w:rsidRPr="00425DB1">
              <w:rPr>
                <w:sz w:val="20"/>
              </w:rPr>
              <w:t>283,330</w:t>
            </w:r>
          </w:p>
        </w:tc>
      </w:tr>
      <w:tr w:rsidR="00F237B1" w14:paraId="1E8B41F6" w14:textId="77777777" w:rsidTr="005101BC">
        <w:trPr>
          <w:trHeight w:val="280"/>
        </w:trPr>
        <w:tc>
          <w:tcPr>
            <w:tcW w:w="4819" w:type="dxa"/>
            <w:shd w:val="clear" w:color="auto" w:fill="auto"/>
            <w:vAlign w:val="bottom"/>
          </w:tcPr>
          <w:p w14:paraId="6BF78BD4" w14:textId="59DE8D81" w:rsidR="00F237B1" w:rsidRDefault="00F237B1" w:rsidP="00F237B1">
            <w:pPr>
              <w:spacing w:before="40"/>
              <w:rPr>
                <w:color w:val="000000"/>
                <w:sz w:val="20"/>
              </w:rPr>
            </w:pPr>
            <w:r w:rsidRPr="00F237B1">
              <w:rPr>
                <w:color w:val="000000"/>
                <w:sz w:val="20"/>
              </w:rPr>
              <w:t>Gross profit</w:t>
            </w:r>
          </w:p>
        </w:tc>
        <w:tc>
          <w:tcPr>
            <w:tcW w:w="1587" w:type="dxa"/>
            <w:shd w:val="clear" w:color="auto" w:fill="auto"/>
            <w:noWrap/>
          </w:tcPr>
          <w:p w14:paraId="12BC2BA5" w14:textId="06D28029" w:rsidR="00F237B1" w:rsidRPr="00F237B1" w:rsidRDefault="00F237B1" w:rsidP="00E43187">
            <w:pPr>
              <w:pBdr>
                <w:bottom w:val="double" w:sz="4" w:space="1" w:color="auto"/>
              </w:pBdr>
              <w:spacing w:before="40"/>
              <w:jc w:val="right"/>
              <w:rPr>
                <w:sz w:val="20"/>
              </w:rPr>
            </w:pPr>
            <w:r w:rsidRPr="00E43187">
              <w:rPr>
                <w:sz w:val="20"/>
              </w:rPr>
              <w:t xml:space="preserve"> 26,278 </w:t>
            </w:r>
          </w:p>
        </w:tc>
        <w:tc>
          <w:tcPr>
            <w:tcW w:w="1587" w:type="dxa"/>
            <w:shd w:val="clear" w:color="auto" w:fill="auto"/>
            <w:noWrap/>
          </w:tcPr>
          <w:p w14:paraId="57E31482" w14:textId="548B4BC8" w:rsidR="00F237B1" w:rsidRPr="00F237B1" w:rsidRDefault="00F237B1" w:rsidP="00E43187">
            <w:pPr>
              <w:pBdr>
                <w:bottom w:val="double" w:sz="4" w:space="1" w:color="auto"/>
              </w:pBdr>
              <w:spacing w:before="40"/>
              <w:jc w:val="right"/>
              <w:rPr>
                <w:sz w:val="20"/>
              </w:rPr>
            </w:pPr>
            <w:r w:rsidRPr="00E43187">
              <w:rPr>
                <w:sz w:val="20"/>
              </w:rPr>
              <w:t xml:space="preserve"> 40,503 </w:t>
            </w:r>
          </w:p>
        </w:tc>
        <w:tc>
          <w:tcPr>
            <w:tcW w:w="1587" w:type="dxa"/>
            <w:shd w:val="clear" w:color="auto" w:fill="auto"/>
            <w:noWrap/>
          </w:tcPr>
          <w:p w14:paraId="3D96A894" w14:textId="7EE71BE8" w:rsidR="00F237B1" w:rsidRPr="00F237B1" w:rsidRDefault="00F237B1" w:rsidP="00E43187">
            <w:pPr>
              <w:pBdr>
                <w:bottom w:val="double" w:sz="4" w:space="1" w:color="auto"/>
              </w:pBdr>
              <w:spacing w:before="40"/>
              <w:jc w:val="right"/>
              <w:rPr>
                <w:sz w:val="20"/>
              </w:rPr>
            </w:pPr>
            <w:r w:rsidRPr="00E43187">
              <w:rPr>
                <w:sz w:val="20"/>
              </w:rPr>
              <w:t xml:space="preserve"> 111,960 </w:t>
            </w:r>
          </w:p>
        </w:tc>
        <w:tc>
          <w:tcPr>
            <w:tcW w:w="1587" w:type="dxa"/>
            <w:shd w:val="clear" w:color="auto" w:fill="auto"/>
            <w:noWrap/>
          </w:tcPr>
          <w:p w14:paraId="57CDF813" w14:textId="032694D6" w:rsidR="00F237B1" w:rsidRPr="00F237B1" w:rsidRDefault="00F237B1" w:rsidP="00E43187">
            <w:pPr>
              <w:pBdr>
                <w:bottom w:val="double" w:sz="4" w:space="1" w:color="auto"/>
              </w:pBdr>
              <w:spacing w:before="40"/>
              <w:jc w:val="right"/>
              <w:rPr>
                <w:sz w:val="20"/>
              </w:rPr>
            </w:pPr>
            <w:r w:rsidRPr="00E43187">
              <w:rPr>
                <w:sz w:val="20"/>
              </w:rPr>
              <w:t xml:space="preserve"> 15,004 </w:t>
            </w:r>
          </w:p>
        </w:tc>
        <w:tc>
          <w:tcPr>
            <w:tcW w:w="1587" w:type="dxa"/>
            <w:shd w:val="clear" w:color="auto" w:fill="auto"/>
            <w:noWrap/>
          </w:tcPr>
          <w:p w14:paraId="13B2E797" w14:textId="7A288B76" w:rsidR="00F237B1" w:rsidRPr="00F237B1" w:rsidRDefault="00F237B1" w:rsidP="00E43187">
            <w:pPr>
              <w:pBdr>
                <w:bottom w:val="double" w:sz="4" w:space="1" w:color="auto"/>
              </w:pBdr>
              <w:spacing w:before="40"/>
              <w:jc w:val="right"/>
              <w:rPr>
                <w:sz w:val="20"/>
              </w:rPr>
            </w:pPr>
            <w:r w:rsidRPr="00E43187">
              <w:rPr>
                <w:sz w:val="20"/>
              </w:rPr>
              <w:t xml:space="preserve"> 4,256 </w:t>
            </w:r>
          </w:p>
        </w:tc>
        <w:tc>
          <w:tcPr>
            <w:tcW w:w="1816" w:type="dxa"/>
            <w:shd w:val="clear" w:color="auto" w:fill="auto"/>
            <w:noWrap/>
          </w:tcPr>
          <w:p w14:paraId="516B5AE7" w14:textId="007B3724" w:rsidR="00F237B1" w:rsidRPr="00F237B1" w:rsidRDefault="00F237B1" w:rsidP="00E43187">
            <w:pPr>
              <w:pBdr>
                <w:bottom w:val="double" w:sz="4" w:space="1" w:color="auto"/>
              </w:pBdr>
              <w:spacing w:before="40"/>
              <w:jc w:val="right"/>
              <w:rPr>
                <w:sz w:val="20"/>
              </w:rPr>
            </w:pPr>
            <w:r w:rsidRPr="00E43187">
              <w:rPr>
                <w:sz w:val="20"/>
              </w:rPr>
              <w:t xml:space="preserve"> 198,001 </w:t>
            </w:r>
          </w:p>
        </w:tc>
      </w:tr>
      <w:tr w:rsidR="00D009DD" w14:paraId="4EBBC38B" w14:textId="77777777" w:rsidTr="005101BC">
        <w:trPr>
          <w:trHeight w:val="280"/>
        </w:trPr>
        <w:tc>
          <w:tcPr>
            <w:tcW w:w="4819" w:type="dxa"/>
            <w:shd w:val="clear" w:color="auto" w:fill="auto"/>
            <w:vAlign w:val="bottom"/>
            <w:hideMark/>
          </w:tcPr>
          <w:p w14:paraId="7EB2A8C9" w14:textId="77777777" w:rsidR="00D009DD" w:rsidRPr="00DF6139" w:rsidRDefault="00D009DD" w:rsidP="00D009DD">
            <w:pPr>
              <w:spacing w:before="40"/>
              <w:rPr>
                <w:sz w:val="20"/>
              </w:rPr>
            </w:pPr>
            <w:r w:rsidRPr="00DF6139">
              <w:rPr>
                <w:color w:val="000000"/>
                <w:sz w:val="20"/>
              </w:rPr>
              <w:t>Net valuation gains</w:t>
            </w:r>
            <w:r>
              <w:rPr>
                <w:color w:val="000000"/>
                <w:sz w:val="20"/>
              </w:rPr>
              <w:t xml:space="preserve"> (losses)</w:t>
            </w:r>
          </w:p>
        </w:tc>
        <w:tc>
          <w:tcPr>
            <w:tcW w:w="1587" w:type="dxa"/>
            <w:shd w:val="clear" w:color="auto" w:fill="auto"/>
            <w:noWrap/>
            <w:vAlign w:val="bottom"/>
          </w:tcPr>
          <w:p w14:paraId="270211CB" w14:textId="470CEC02" w:rsidR="00D009DD" w:rsidRPr="00425DB1" w:rsidRDefault="00D009DD" w:rsidP="00425DB1">
            <w:pPr>
              <w:spacing w:before="40"/>
              <w:jc w:val="right"/>
              <w:rPr>
                <w:sz w:val="20"/>
              </w:rPr>
            </w:pPr>
            <w:r w:rsidRPr="00425DB1">
              <w:rPr>
                <w:sz w:val="20"/>
              </w:rPr>
              <w:t>(11,524)</w:t>
            </w:r>
          </w:p>
        </w:tc>
        <w:tc>
          <w:tcPr>
            <w:tcW w:w="1587" w:type="dxa"/>
            <w:shd w:val="clear" w:color="auto" w:fill="auto"/>
            <w:noWrap/>
            <w:vAlign w:val="bottom"/>
          </w:tcPr>
          <w:p w14:paraId="15716C72" w14:textId="4992AA7C" w:rsidR="00D009DD" w:rsidRPr="00425DB1" w:rsidRDefault="00D009DD" w:rsidP="00425DB1">
            <w:pPr>
              <w:spacing w:before="40"/>
              <w:jc w:val="right"/>
              <w:rPr>
                <w:sz w:val="20"/>
              </w:rPr>
            </w:pPr>
            <w:r w:rsidRPr="00425DB1">
              <w:rPr>
                <w:sz w:val="20"/>
              </w:rPr>
              <w:t>22,238</w:t>
            </w:r>
          </w:p>
        </w:tc>
        <w:tc>
          <w:tcPr>
            <w:tcW w:w="1587" w:type="dxa"/>
            <w:shd w:val="clear" w:color="auto" w:fill="auto"/>
            <w:noWrap/>
            <w:vAlign w:val="bottom"/>
          </w:tcPr>
          <w:p w14:paraId="3B5A00C5" w14:textId="0409E9F3" w:rsidR="00D009DD" w:rsidRPr="00425DB1" w:rsidRDefault="00D009DD" w:rsidP="00425DB1">
            <w:pPr>
              <w:spacing w:before="40"/>
              <w:jc w:val="right"/>
              <w:rPr>
                <w:sz w:val="20"/>
              </w:rPr>
            </w:pPr>
            <w:r w:rsidRPr="00425DB1">
              <w:rPr>
                <w:sz w:val="20"/>
              </w:rPr>
              <w:t>52,135</w:t>
            </w:r>
          </w:p>
        </w:tc>
        <w:tc>
          <w:tcPr>
            <w:tcW w:w="1587" w:type="dxa"/>
            <w:shd w:val="clear" w:color="auto" w:fill="auto"/>
            <w:noWrap/>
            <w:vAlign w:val="bottom"/>
          </w:tcPr>
          <w:p w14:paraId="06DC579E" w14:textId="0B60B246" w:rsidR="00D009DD" w:rsidRPr="00425DB1" w:rsidRDefault="00D009DD" w:rsidP="00425DB1">
            <w:pPr>
              <w:spacing w:before="40"/>
              <w:jc w:val="right"/>
              <w:rPr>
                <w:sz w:val="20"/>
              </w:rPr>
            </w:pPr>
            <w:r w:rsidRPr="00425DB1">
              <w:rPr>
                <w:sz w:val="20"/>
              </w:rPr>
              <w:t>(1,879)</w:t>
            </w:r>
          </w:p>
        </w:tc>
        <w:tc>
          <w:tcPr>
            <w:tcW w:w="1587" w:type="dxa"/>
            <w:shd w:val="clear" w:color="auto" w:fill="auto"/>
            <w:noWrap/>
            <w:vAlign w:val="bottom"/>
          </w:tcPr>
          <w:p w14:paraId="4E19F7E7" w14:textId="0311F378" w:rsidR="00D009DD" w:rsidRPr="00425DB1" w:rsidRDefault="00D009DD" w:rsidP="00425DB1">
            <w:pPr>
              <w:spacing w:before="40"/>
              <w:jc w:val="right"/>
              <w:rPr>
                <w:sz w:val="20"/>
              </w:rPr>
            </w:pPr>
            <w:r w:rsidRPr="00425DB1">
              <w:rPr>
                <w:sz w:val="20"/>
              </w:rPr>
              <w:t>1,458</w:t>
            </w:r>
          </w:p>
        </w:tc>
        <w:tc>
          <w:tcPr>
            <w:tcW w:w="1816" w:type="dxa"/>
            <w:shd w:val="clear" w:color="auto" w:fill="auto"/>
            <w:noWrap/>
            <w:vAlign w:val="bottom"/>
          </w:tcPr>
          <w:p w14:paraId="554838E6" w14:textId="7715E016" w:rsidR="00D009DD" w:rsidRPr="00425DB1" w:rsidRDefault="00D009DD" w:rsidP="00425DB1">
            <w:pPr>
              <w:spacing w:before="40"/>
              <w:jc w:val="right"/>
              <w:rPr>
                <w:sz w:val="20"/>
              </w:rPr>
            </w:pPr>
            <w:r w:rsidRPr="00425DB1">
              <w:rPr>
                <w:sz w:val="20"/>
              </w:rPr>
              <w:t>62,428</w:t>
            </w:r>
          </w:p>
        </w:tc>
      </w:tr>
      <w:tr w:rsidR="00D009DD" w14:paraId="1EBFCC63" w14:textId="77777777" w:rsidTr="005101BC">
        <w:trPr>
          <w:trHeight w:val="280"/>
        </w:trPr>
        <w:tc>
          <w:tcPr>
            <w:tcW w:w="4819" w:type="dxa"/>
            <w:shd w:val="clear" w:color="auto" w:fill="auto"/>
            <w:vAlign w:val="bottom"/>
            <w:hideMark/>
          </w:tcPr>
          <w:p w14:paraId="14498C3B" w14:textId="77777777" w:rsidR="00D009DD" w:rsidRDefault="00D009DD" w:rsidP="00D009DD">
            <w:pPr>
              <w:spacing w:before="40"/>
              <w:rPr>
                <w:sz w:val="20"/>
              </w:rPr>
            </w:pPr>
            <w:r>
              <w:rPr>
                <w:color w:val="000000"/>
                <w:sz w:val="20"/>
              </w:rPr>
              <w:t>Segment result</w:t>
            </w:r>
          </w:p>
        </w:tc>
        <w:tc>
          <w:tcPr>
            <w:tcW w:w="1587" w:type="dxa"/>
            <w:shd w:val="clear" w:color="auto" w:fill="auto"/>
            <w:noWrap/>
            <w:vAlign w:val="bottom"/>
          </w:tcPr>
          <w:p w14:paraId="64957A04" w14:textId="1E65337D" w:rsidR="00D009DD" w:rsidRPr="00425DB1" w:rsidRDefault="00D009DD" w:rsidP="00425DB1">
            <w:pPr>
              <w:pBdr>
                <w:bottom w:val="double" w:sz="4" w:space="0" w:color="000000"/>
              </w:pBdr>
              <w:spacing w:before="40"/>
              <w:jc w:val="right"/>
              <w:rPr>
                <w:sz w:val="20"/>
              </w:rPr>
            </w:pPr>
            <w:r w:rsidRPr="00425DB1">
              <w:rPr>
                <w:sz w:val="20"/>
              </w:rPr>
              <w:t>14,225</w:t>
            </w:r>
          </w:p>
        </w:tc>
        <w:tc>
          <w:tcPr>
            <w:tcW w:w="1587" w:type="dxa"/>
            <w:shd w:val="clear" w:color="auto" w:fill="auto"/>
            <w:noWrap/>
            <w:vAlign w:val="bottom"/>
          </w:tcPr>
          <w:p w14:paraId="5576C956" w14:textId="4146346C" w:rsidR="00D009DD" w:rsidRPr="00425DB1" w:rsidRDefault="00D009DD" w:rsidP="00425DB1">
            <w:pPr>
              <w:pBdr>
                <w:bottom w:val="double" w:sz="4" w:space="0" w:color="000000"/>
              </w:pBdr>
              <w:spacing w:before="40"/>
              <w:jc w:val="right"/>
              <w:rPr>
                <w:sz w:val="20"/>
              </w:rPr>
            </w:pPr>
            <w:r w:rsidRPr="00425DB1">
              <w:rPr>
                <w:sz w:val="20"/>
              </w:rPr>
              <w:t>61,676</w:t>
            </w:r>
          </w:p>
        </w:tc>
        <w:tc>
          <w:tcPr>
            <w:tcW w:w="1587" w:type="dxa"/>
            <w:shd w:val="clear" w:color="auto" w:fill="auto"/>
            <w:noWrap/>
            <w:vAlign w:val="bottom"/>
          </w:tcPr>
          <w:p w14:paraId="4916D8EF" w14:textId="22EAF54B" w:rsidR="00D009DD" w:rsidRPr="00425DB1" w:rsidRDefault="00D009DD" w:rsidP="00425DB1">
            <w:pPr>
              <w:pBdr>
                <w:bottom w:val="double" w:sz="4" w:space="0" w:color="000000"/>
              </w:pBdr>
              <w:spacing w:before="40"/>
              <w:jc w:val="right"/>
              <w:rPr>
                <w:sz w:val="20"/>
              </w:rPr>
            </w:pPr>
            <w:r w:rsidRPr="00425DB1">
              <w:rPr>
                <w:sz w:val="20"/>
              </w:rPr>
              <w:t>164,846</w:t>
            </w:r>
          </w:p>
        </w:tc>
        <w:tc>
          <w:tcPr>
            <w:tcW w:w="1587" w:type="dxa"/>
            <w:shd w:val="clear" w:color="auto" w:fill="auto"/>
            <w:noWrap/>
            <w:vAlign w:val="bottom"/>
          </w:tcPr>
          <w:p w14:paraId="0C8D29DC" w14:textId="30E3C932" w:rsidR="00D009DD" w:rsidRPr="00425DB1" w:rsidRDefault="00D009DD" w:rsidP="00425DB1">
            <w:pPr>
              <w:pBdr>
                <w:bottom w:val="double" w:sz="4" w:space="0" w:color="000000"/>
              </w:pBdr>
              <w:spacing w:before="40"/>
              <w:jc w:val="right"/>
              <w:rPr>
                <w:sz w:val="20"/>
              </w:rPr>
            </w:pPr>
            <w:r w:rsidRPr="00425DB1">
              <w:rPr>
                <w:sz w:val="20"/>
              </w:rPr>
              <w:t>12,393</w:t>
            </w:r>
          </w:p>
        </w:tc>
        <w:tc>
          <w:tcPr>
            <w:tcW w:w="1587" w:type="dxa"/>
            <w:shd w:val="clear" w:color="auto" w:fill="auto"/>
            <w:noWrap/>
            <w:vAlign w:val="bottom"/>
          </w:tcPr>
          <w:p w14:paraId="1E8B9904" w14:textId="77329569" w:rsidR="00D009DD" w:rsidRPr="00425DB1" w:rsidRDefault="00D009DD" w:rsidP="00425DB1">
            <w:pPr>
              <w:pBdr>
                <w:bottom w:val="double" w:sz="4" w:space="0" w:color="000000"/>
              </w:pBdr>
              <w:spacing w:before="40"/>
              <w:jc w:val="right"/>
              <w:rPr>
                <w:sz w:val="20"/>
              </w:rPr>
            </w:pPr>
            <w:r w:rsidRPr="00425DB1">
              <w:rPr>
                <w:sz w:val="20"/>
              </w:rPr>
              <w:t>5,625</w:t>
            </w:r>
          </w:p>
        </w:tc>
        <w:tc>
          <w:tcPr>
            <w:tcW w:w="1816" w:type="dxa"/>
            <w:shd w:val="clear" w:color="auto" w:fill="auto"/>
            <w:noWrap/>
            <w:vAlign w:val="bottom"/>
          </w:tcPr>
          <w:p w14:paraId="6C79FBDA" w14:textId="4F41F280" w:rsidR="00D009DD" w:rsidRPr="00425DB1" w:rsidRDefault="00D009DD" w:rsidP="00425DB1">
            <w:pPr>
              <w:pBdr>
                <w:bottom w:val="double" w:sz="4" w:space="0" w:color="000000"/>
              </w:pBdr>
              <w:spacing w:before="40"/>
              <w:jc w:val="right"/>
              <w:rPr>
                <w:sz w:val="20"/>
              </w:rPr>
            </w:pPr>
            <w:r w:rsidRPr="00425DB1">
              <w:rPr>
                <w:sz w:val="20"/>
              </w:rPr>
              <w:t>258,765</w:t>
            </w:r>
          </w:p>
        </w:tc>
      </w:tr>
      <w:tr w:rsidR="00D009DD" w14:paraId="5AD5698A" w14:textId="77777777" w:rsidTr="005101BC">
        <w:trPr>
          <w:trHeight w:val="280"/>
        </w:trPr>
        <w:tc>
          <w:tcPr>
            <w:tcW w:w="4819" w:type="dxa"/>
            <w:shd w:val="clear" w:color="auto" w:fill="auto"/>
            <w:vAlign w:val="center"/>
            <w:hideMark/>
          </w:tcPr>
          <w:p w14:paraId="3F10C4E9" w14:textId="70A577BB" w:rsidR="00D009DD" w:rsidRDefault="00D009DD" w:rsidP="00D009DD">
            <w:pPr>
              <w:spacing w:before="40"/>
              <w:rPr>
                <w:sz w:val="20"/>
              </w:rPr>
            </w:pPr>
            <w:r w:rsidRPr="00802D81">
              <w:rPr>
                <w:color w:val="000000"/>
                <w:sz w:val="20"/>
              </w:rPr>
              <w:t xml:space="preserve">Share of </w:t>
            </w:r>
            <w:r w:rsidR="00425DB1">
              <w:rPr>
                <w:color w:val="000000"/>
                <w:sz w:val="20"/>
              </w:rPr>
              <w:t>profit</w:t>
            </w:r>
            <w:r>
              <w:rPr>
                <w:color w:val="000000"/>
                <w:sz w:val="20"/>
              </w:rPr>
              <w:t xml:space="preserve"> </w:t>
            </w:r>
            <w:r w:rsidRPr="00802D81">
              <w:rPr>
                <w:color w:val="000000"/>
                <w:sz w:val="20"/>
              </w:rPr>
              <w:t>of companies accounted for at equity, net</w:t>
            </w:r>
          </w:p>
        </w:tc>
        <w:tc>
          <w:tcPr>
            <w:tcW w:w="1587" w:type="dxa"/>
            <w:shd w:val="clear" w:color="auto" w:fill="auto"/>
            <w:noWrap/>
            <w:vAlign w:val="bottom"/>
          </w:tcPr>
          <w:p w14:paraId="015EFB69" w14:textId="2E46F1D3" w:rsidR="00D009DD" w:rsidRPr="00425DB1" w:rsidRDefault="00D009DD" w:rsidP="00425DB1">
            <w:pPr>
              <w:spacing w:before="40"/>
              <w:jc w:val="right"/>
              <w:rPr>
                <w:sz w:val="20"/>
              </w:rPr>
            </w:pPr>
            <w:r w:rsidRPr="00425DB1">
              <w:rPr>
                <w:sz w:val="20"/>
              </w:rPr>
              <w:t>-</w:t>
            </w:r>
          </w:p>
        </w:tc>
        <w:tc>
          <w:tcPr>
            <w:tcW w:w="1587" w:type="dxa"/>
            <w:shd w:val="clear" w:color="auto" w:fill="auto"/>
            <w:noWrap/>
            <w:vAlign w:val="bottom"/>
          </w:tcPr>
          <w:p w14:paraId="33DF99AD" w14:textId="15508BA2" w:rsidR="00D009DD" w:rsidRPr="00425DB1" w:rsidRDefault="00D009DD" w:rsidP="00425DB1">
            <w:pPr>
              <w:spacing w:before="40"/>
              <w:jc w:val="right"/>
              <w:rPr>
                <w:sz w:val="20"/>
              </w:rPr>
            </w:pPr>
            <w:r w:rsidRPr="00425DB1">
              <w:rPr>
                <w:sz w:val="20"/>
              </w:rPr>
              <w:t>-</w:t>
            </w:r>
          </w:p>
        </w:tc>
        <w:tc>
          <w:tcPr>
            <w:tcW w:w="1587" w:type="dxa"/>
            <w:shd w:val="clear" w:color="auto" w:fill="auto"/>
            <w:noWrap/>
            <w:vAlign w:val="bottom"/>
          </w:tcPr>
          <w:p w14:paraId="241753F9" w14:textId="5F99B97E" w:rsidR="00D009DD" w:rsidRPr="00425DB1" w:rsidRDefault="00D009DD" w:rsidP="00425DB1">
            <w:pPr>
              <w:spacing w:before="40"/>
              <w:jc w:val="right"/>
              <w:rPr>
                <w:sz w:val="20"/>
              </w:rPr>
            </w:pPr>
            <w:r w:rsidRPr="00425DB1">
              <w:rPr>
                <w:sz w:val="20"/>
              </w:rPr>
              <w:t>-</w:t>
            </w:r>
          </w:p>
        </w:tc>
        <w:tc>
          <w:tcPr>
            <w:tcW w:w="1587" w:type="dxa"/>
            <w:shd w:val="clear" w:color="auto" w:fill="auto"/>
            <w:noWrap/>
            <w:vAlign w:val="bottom"/>
          </w:tcPr>
          <w:p w14:paraId="2DFD396F" w14:textId="41A8B234" w:rsidR="00D009DD" w:rsidRPr="00425DB1" w:rsidRDefault="00D009DD" w:rsidP="00425DB1">
            <w:pPr>
              <w:spacing w:before="40"/>
              <w:jc w:val="right"/>
              <w:rPr>
                <w:sz w:val="20"/>
              </w:rPr>
            </w:pPr>
            <w:r w:rsidRPr="00425DB1">
              <w:rPr>
                <w:sz w:val="20"/>
              </w:rPr>
              <w:t>23,938</w:t>
            </w:r>
          </w:p>
        </w:tc>
        <w:tc>
          <w:tcPr>
            <w:tcW w:w="1587" w:type="dxa"/>
            <w:shd w:val="clear" w:color="auto" w:fill="auto"/>
            <w:noWrap/>
            <w:vAlign w:val="bottom"/>
          </w:tcPr>
          <w:p w14:paraId="66911B78" w14:textId="6A9319F2" w:rsidR="00D009DD" w:rsidRPr="00425DB1" w:rsidRDefault="00D009DD" w:rsidP="00425DB1">
            <w:pPr>
              <w:spacing w:before="40"/>
              <w:jc w:val="right"/>
              <w:rPr>
                <w:sz w:val="20"/>
              </w:rPr>
            </w:pPr>
            <w:r w:rsidRPr="00425DB1">
              <w:rPr>
                <w:sz w:val="20"/>
              </w:rPr>
              <w:t>-</w:t>
            </w:r>
          </w:p>
        </w:tc>
        <w:tc>
          <w:tcPr>
            <w:tcW w:w="1816" w:type="dxa"/>
            <w:shd w:val="clear" w:color="auto" w:fill="auto"/>
            <w:noWrap/>
            <w:vAlign w:val="bottom"/>
          </w:tcPr>
          <w:p w14:paraId="67D7BF5E" w14:textId="38143BD1" w:rsidR="00D009DD" w:rsidRPr="00425DB1" w:rsidRDefault="00D009DD" w:rsidP="00425DB1">
            <w:pPr>
              <w:spacing w:before="40"/>
              <w:jc w:val="right"/>
              <w:rPr>
                <w:sz w:val="20"/>
              </w:rPr>
            </w:pPr>
            <w:r w:rsidRPr="00425DB1">
              <w:rPr>
                <w:sz w:val="20"/>
              </w:rPr>
              <w:t>23,938</w:t>
            </w:r>
          </w:p>
        </w:tc>
      </w:tr>
      <w:tr w:rsidR="00D009DD" w14:paraId="1CAF0894" w14:textId="77777777" w:rsidTr="005101BC">
        <w:trPr>
          <w:trHeight w:val="280"/>
        </w:trPr>
        <w:tc>
          <w:tcPr>
            <w:tcW w:w="4819" w:type="dxa"/>
            <w:shd w:val="clear" w:color="auto" w:fill="auto"/>
            <w:vAlign w:val="bottom"/>
          </w:tcPr>
          <w:p w14:paraId="483EBEA8" w14:textId="77777777" w:rsidR="00D009DD" w:rsidRDefault="00D009DD" w:rsidP="00D009DD">
            <w:pPr>
              <w:spacing w:before="40"/>
              <w:rPr>
                <w:color w:val="000000"/>
                <w:sz w:val="20"/>
              </w:rPr>
            </w:pPr>
            <w:r>
              <w:rPr>
                <w:color w:val="000000"/>
                <w:sz w:val="20"/>
              </w:rPr>
              <w:t>Unallocated expenses</w:t>
            </w:r>
          </w:p>
        </w:tc>
        <w:tc>
          <w:tcPr>
            <w:tcW w:w="1587" w:type="dxa"/>
            <w:shd w:val="clear" w:color="auto" w:fill="auto"/>
            <w:noWrap/>
            <w:vAlign w:val="bottom"/>
          </w:tcPr>
          <w:p w14:paraId="2A24FF9C" w14:textId="77777777" w:rsidR="00D009DD" w:rsidRPr="00425DB1" w:rsidRDefault="00D009DD" w:rsidP="00425DB1">
            <w:pPr>
              <w:spacing w:before="40"/>
              <w:jc w:val="right"/>
              <w:rPr>
                <w:sz w:val="20"/>
              </w:rPr>
            </w:pPr>
          </w:p>
        </w:tc>
        <w:tc>
          <w:tcPr>
            <w:tcW w:w="1587" w:type="dxa"/>
            <w:shd w:val="clear" w:color="auto" w:fill="auto"/>
            <w:noWrap/>
            <w:vAlign w:val="bottom"/>
          </w:tcPr>
          <w:p w14:paraId="686ECF92" w14:textId="77777777" w:rsidR="00D009DD" w:rsidRPr="00425DB1" w:rsidRDefault="00D009DD" w:rsidP="00425DB1">
            <w:pPr>
              <w:spacing w:before="40"/>
              <w:jc w:val="right"/>
              <w:rPr>
                <w:sz w:val="20"/>
              </w:rPr>
            </w:pPr>
          </w:p>
        </w:tc>
        <w:tc>
          <w:tcPr>
            <w:tcW w:w="1587" w:type="dxa"/>
            <w:shd w:val="clear" w:color="auto" w:fill="auto"/>
            <w:noWrap/>
            <w:vAlign w:val="bottom"/>
          </w:tcPr>
          <w:p w14:paraId="7E1E1450" w14:textId="77777777" w:rsidR="00D009DD" w:rsidRPr="00425DB1" w:rsidRDefault="00D009DD" w:rsidP="00425DB1">
            <w:pPr>
              <w:spacing w:before="40"/>
              <w:jc w:val="right"/>
              <w:rPr>
                <w:sz w:val="20"/>
              </w:rPr>
            </w:pPr>
          </w:p>
        </w:tc>
        <w:tc>
          <w:tcPr>
            <w:tcW w:w="1587" w:type="dxa"/>
            <w:shd w:val="clear" w:color="auto" w:fill="auto"/>
            <w:noWrap/>
            <w:vAlign w:val="bottom"/>
          </w:tcPr>
          <w:p w14:paraId="62FE4010" w14:textId="77777777" w:rsidR="00D009DD" w:rsidRPr="00425DB1" w:rsidRDefault="00D009DD" w:rsidP="00425DB1">
            <w:pPr>
              <w:spacing w:before="40"/>
              <w:jc w:val="right"/>
              <w:rPr>
                <w:sz w:val="20"/>
              </w:rPr>
            </w:pPr>
          </w:p>
        </w:tc>
        <w:tc>
          <w:tcPr>
            <w:tcW w:w="1587" w:type="dxa"/>
            <w:shd w:val="clear" w:color="auto" w:fill="auto"/>
            <w:noWrap/>
            <w:vAlign w:val="bottom"/>
          </w:tcPr>
          <w:p w14:paraId="4EECA185" w14:textId="77777777" w:rsidR="00D009DD" w:rsidRPr="00425DB1" w:rsidRDefault="00D009DD" w:rsidP="00425DB1">
            <w:pPr>
              <w:spacing w:before="40"/>
              <w:jc w:val="right"/>
              <w:rPr>
                <w:sz w:val="20"/>
              </w:rPr>
            </w:pPr>
          </w:p>
        </w:tc>
        <w:tc>
          <w:tcPr>
            <w:tcW w:w="1816" w:type="dxa"/>
            <w:shd w:val="clear" w:color="auto" w:fill="auto"/>
            <w:noWrap/>
            <w:vAlign w:val="bottom"/>
          </w:tcPr>
          <w:p w14:paraId="66FD40E2" w14:textId="7B47863B" w:rsidR="00D009DD" w:rsidRPr="00425DB1" w:rsidRDefault="00D009DD" w:rsidP="00425DB1">
            <w:pPr>
              <w:pBdr>
                <w:bottom w:val="single" w:sz="4" w:space="0" w:color="000000"/>
              </w:pBdr>
              <w:spacing w:before="40"/>
              <w:jc w:val="right"/>
              <w:rPr>
                <w:sz w:val="20"/>
              </w:rPr>
            </w:pPr>
            <w:r w:rsidRPr="00425DB1">
              <w:rPr>
                <w:sz w:val="20"/>
              </w:rPr>
              <w:t>(24,553)</w:t>
            </w:r>
          </w:p>
        </w:tc>
      </w:tr>
      <w:tr w:rsidR="00D009DD" w14:paraId="0E885836" w14:textId="77777777" w:rsidTr="005101BC">
        <w:trPr>
          <w:trHeight w:val="280"/>
        </w:trPr>
        <w:tc>
          <w:tcPr>
            <w:tcW w:w="4819" w:type="dxa"/>
            <w:shd w:val="clear" w:color="auto" w:fill="auto"/>
            <w:noWrap/>
            <w:vAlign w:val="bottom"/>
            <w:hideMark/>
          </w:tcPr>
          <w:p w14:paraId="01E8CD84" w14:textId="77777777" w:rsidR="00D009DD" w:rsidRDefault="00D009DD" w:rsidP="00D009DD">
            <w:pPr>
              <w:spacing w:before="40"/>
              <w:rPr>
                <w:sz w:val="20"/>
              </w:rPr>
            </w:pPr>
            <w:r>
              <w:rPr>
                <w:color w:val="000000"/>
                <w:sz w:val="20"/>
              </w:rPr>
              <w:t>Operating profit</w:t>
            </w:r>
          </w:p>
        </w:tc>
        <w:tc>
          <w:tcPr>
            <w:tcW w:w="1587" w:type="dxa"/>
            <w:shd w:val="clear" w:color="auto" w:fill="auto"/>
            <w:noWrap/>
            <w:vAlign w:val="bottom"/>
          </w:tcPr>
          <w:p w14:paraId="5B20F9D3" w14:textId="77777777" w:rsidR="00D009DD" w:rsidRPr="00425DB1" w:rsidRDefault="00D009DD" w:rsidP="00425DB1">
            <w:pPr>
              <w:spacing w:before="40"/>
              <w:jc w:val="right"/>
              <w:rPr>
                <w:sz w:val="20"/>
                <w:highlight w:val="yellow"/>
              </w:rPr>
            </w:pPr>
          </w:p>
        </w:tc>
        <w:tc>
          <w:tcPr>
            <w:tcW w:w="1587" w:type="dxa"/>
            <w:shd w:val="clear" w:color="auto" w:fill="auto"/>
            <w:noWrap/>
            <w:vAlign w:val="bottom"/>
          </w:tcPr>
          <w:p w14:paraId="1B1CE854" w14:textId="77777777" w:rsidR="00D009DD" w:rsidRPr="00425DB1" w:rsidRDefault="00D009DD" w:rsidP="00425DB1">
            <w:pPr>
              <w:spacing w:before="40"/>
              <w:jc w:val="right"/>
              <w:rPr>
                <w:sz w:val="20"/>
                <w:highlight w:val="yellow"/>
              </w:rPr>
            </w:pPr>
          </w:p>
        </w:tc>
        <w:tc>
          <w:tcPr>
            <w:tcW w:w="1587" w:type="dxa"/>
            <w:shd w:val="clear" w:color="auto" w:fill="auto"/>
            <w:noWrap/>
            <w:vAlign w:val="bottom"/>
          </w:tcPr>
          <w:p w14:paraId="3F098C5F" w14:textId="77777777" w:rsidR="00D009DD" w:rsidRPr="00425DB1" w:rsidRDefault="00D009DD" w:rsidP="00425DB1">
            <w:pPr>
              <w:spacing w:before="40"/>
              <w:jc w:val="right"/>
              <w:rPr>
                <w:sz w:val="20"/>
                <w:highlight w:val="yellow"/>
              </w:rPr>
            </w:pPr>
          </w:p>
        </w:tc>
        <w:tc>
          <w:tcPr>
            <w:tcW w:w="1587" w:type="dxa"/>
            <w:shd w:val="clear" w:color="auto" w:fill="auto"/>
            <w:noWrap/>
            <w:vAlign w:val="bottom"/>
          </w:tcPr>
          <w:p w14:paraId="6C5AF8A4" w14:textId="77777777" w:rsidR="00D009DD" w:rsidRPr="00425DB1" w:rsidRDefault="00D009DD" w:rsidP="00425DB1">
            <w:pPr>
              <w:spacing w:before="40"/>
              <w:jc w:val="right"/>
              <w:rPr>
                <w:sz w:val="20"/>
                <w:highlight w:val="yellow"/>
              </w:rPr>
            </w:pPr>
          </w:p>
        </w:tc>
        <w:tc>
          <w:tcPr>
            <w:tcW w:w="1587" w:type="dxa"/>
            <w:shd w:val="clear" w:color="auto" w:fill="auto"/>
            <w:noWrap/>
            <w:vAlign w:val="bottom"/>
          </w:tcPr>
          <w:p w14:paraId="7901AD80" w14:textId="77777777" w:rsidR="00D009DD" w:rsidRPr="00425DB1" w:rsidRDefault="00D009DD" w:rsidP="00425DB1">
            <w:pPr>
              <w:spacing w:before="40"/>
              <w:jc w:val="right"/>
              <w:rPr>
                <w:sz w:val="20"/>
              </w:rPr>
            </w:pPr>
          </w:p>
        </w:tc>
        <w:tc>
          <w:tcPr>
            <w:tcW w:w="1816" w:type="dxa"/>
            <w:shd w:val="clear" w:color="auto" w:fill="auto"/>
            <w:noWrap/>
            <w:vAlign w:val="bottom"/>
          </w:tcPr>
          <w:p w14:paraId="506A0681" w14:textId="432E6EB9" w:rsidR="00D009DD" w:rsidRPr="00425DB1" w:rsidRDefault="00D009DD" w:rsidP="00425DB1">
            <w:pPr>
              <w:spacing w:before="40"/>
              <w:jc w:val="right"/>
              <w:rPr>
                <w:sz w:val="20"/>
              </w:rPr>
            </w:pPr>
            <w:r w:rsidRPr="00425DB1">
              <w:rPr>
                <w:sz w:val="20"/>
              </w:rPr>
              <w:t>258,150</w:t>
            </w:r>
          </w:p>
        </w:tc>
      </w:tr>
      <w:tr w:rsidR="00D009DD" w14:paraId="70D315C1" w14:textId="77777777" w:rsidTr="005101BC">
        <w:trPr>
          <w:trHeight w:val="280"/>
        </w:trPr>
        <w:tc>
          <w:tcPr>
            <w:tcW w:w="4819" w:type="dxa"/>
            <w:shd w:val="clear" w:color="auto" w:fill="auto"/>
            <w:vAlign w:val="bottom"/>
            <w:hideMark/>
          </w:tcPr>
          <w:p w14:paraId="1FACBED3" w14:textId="77777777" w:rsidR="00D009DD" w:rsidRDefault="00D009DD" w:rsidP="00D009DD">
            <w:pPr>
              <w:spacing w:before="40"/>
              <w:rPr>
                <w:sz w:val="20"/>
              </w:rPr>
            </w:pPr>
            <w:r>
              <w:rPr>
                <w:color w:val="000000"/>
                <w:sz w:val="20"/>
              </w:rPr>
              <w:t>Net financing costs</w:t>
            </w:r>
          </w:p>
        </w:tc>
        <w:tc>
          <w:tcPr>
            <w:tcW w:w="1587" w:type="dxa"/>
            <w:shd w:val="clear" w:color="auto" w:fill="auto"/>
            <w:noWrap/>
            <w:vAlign w:val="bottom"/>
          </w:tcPr>
          <w:p w14:paraId="412168C3" w14:textId="77777777" w:rsidR="00D009DD" w:rsidRPr="00425DB1" w:rsidRDefault="00D009DD" w:rsidP="00425DB1">
            <w:pPr>
              <w:spacing w:before="40"/>
              <w:jc w:val="right"/>
              <w:rPr>
                <w:sz w:val="20"/>
                <w:highlight w:val="yellow"/>
              </w:rPr>
            </w:pPr>
          </w:p>
        </w:tc>
        <w:tc>
          <w:tcPr>
            <w:tcW w:w="1587" w:type="dxa"/>
            <w:shd w:val="clear" w:color="auto" w:fill="auto"/>
            <w:noWrap/>
            <w:vAlign w:val="bottom"/>
          </w:tcPr>
          <w:p w14:paraId="39BCDEF3" w14:textId="77777777" w:rsidR="00D009DD" w:rsidRPr="00425DB1" w:rsidRDefault="00D009DD" w:rsidP="00425DB1">
            <w:pPr>
              <w:spacing w:before="40"/>
              <w:jc w:val="right"/>
              <w:rPr>
                <w:sz w:val="20"/>
                <w:highlight w:val="yellow"/>
              </w:rPr>
            </w:pPr>
          </w:p>
        </w:tc>
        <w:tc>
          <w:tcPr>
            <w:tcW w:w="1587" w:type="dxa"/>
            <w:shd w:val="clear" w:color="auto" w:fill="auto"/>
            <w:noWrap/>
            <w:vAlign w:val="bottom"/>
          </w:tcPr>
          <w:p w14:paraId="1DC1EF83" w14:textId="77777777" w:rsidR="00D009DD" w:rsidRPr="00425DB1" w:rsidRDefault="00D009DD" w:rsidP="00425DB1">
            <w:pPr>
              <w:spacing w:before="40"/>
              <w:jc w:val="right"/>
              <w:rPr>
                <w:sz w:val="20"/>
                <w:highlight w:val="yellow"/>
              </w:rPr>
            </w:pPr>
          </w:p>
        </w:tc>
        <w:tc>
          <w:tcPr>
            <w:tcW w:w="1587" w:type="dxa"/>
            <w:shd w:val="clear" w:color="auto" w:fill="auto"/>
            <w:noWrap/>
            <w:vAlign w:val="bottom"/>
          </w:tcPr>
          <w:p w14:paraId="340E4943" w14:textId="77777777" w:rsidR="00D009DD" w:rsidRPr="00425DB1" w:rsidRDefault="00D009DD" w:rsidP="00425DB1">
            <w:pPr>
              <w:spacing w:before="40"/>
              <w:jc w:val="right"/>
              <w:rPr>
                <w:sz w:val="20"/>
                <w:highlight w:val="yellow"/>
              </w:rPr>
            </w:pPr>
          </w:p>
        </w:tc>
        <w:tc>
          <w:tcPr>
            <w:tcW w:w="1587" w:type="dxa"/>
            <w:shd w:val="clear" w:color="auto" w:fill="auto"/>
            <w:noWrap/>
            <w:vAlign w:val="bottom"/>
          </w:tcPr>
          <w:p w14:paraId="231D4C8F" w14:textId="77777777" w:rsidR="00D009DD" w:rsidRPr="00425DB1" w:rsidRDefault="00D009DD" w:rsidP="00425DB1">
            <w:pPr>
              <w:spacing w:before="40"/>
              <w:jc w:val="right"/>
              <w:rPr>
                <w:sz w:val="20"/>
                <w:highlight w:val="yellow"/>
              </w:rPr>
            </w:pPr>
          </w:p>
        </w:tc>
        <w:tc>
          <w:tcPr>
            <w:tcW w:w="1816" w:type="dxa"/>
            <w:shd w:val="clear" w:color="auto" w:fill="auto"/>
            <w:noWrap/>
            <w:vAlign w:val="bottom"/>
          </w:tcPr>
          <w:p w14:paraId="360ECCC9" w14:textId="675A89DF" w:rsidR="00D009DD" w:rsidRPr="00425DB1" w:rsidRDefault="00D009DD" w:rsidP="00425DB1">
            <w:pPr>
              <w:spacing w:before="40"/>
              <w:jc w:val="right"/>
              <w:rPr>
                <w:sz w:val="20"/>
                <w:highlight w:val="yellow"/>
              </w:rPr>
            </w:pPr>
            <w:r w:rsidRPr="00425DB1">
              <w:rPr>
                <w:sz w:val="20"/>
              </w:rPr>
              <w:t>(115,383)</w:t>
            </w:r>
          </w:p>
        </w:tc>
      </w:tr>
      <w:tr w:rsidR="00D009DD" w14:paraId="32117577" w14:textId="77777777" w:rsidTr="005101BC">
        <w:trPr>
          <w:trHeight w:val="280"/>
        </w:trPr>
        <w:tc>
          <w:tcPr>
            <w:tcW w:w="4819" w:type="dxa"/>
            <w:shd w:val="clear" w:color="auto" w:fill="auto"/>
            <w:vAlign w:val="bottom"/>
            <w:hideMark/>
          </w:tcPr>
          <w:p w14:paraId="6CF68C0A" w14:textId="77777777" w:rsidR="00D009DD" w:rsidRDefault="00D009DD" w:rsidP="00D009DD">
            <w:pPr>
              <w:spacing w:before="40"/>
              <w:rPr>
                <w:sz w:val="20"/>
              </w:rPr>
            </w:pPr>
            <w:r>
              <w:rPr>
                <w:color w:val="000000"/>
                <w:sz w:val="20"/>
              </w:rPr>
              <w:t>Taxes on income</w:t>
            </w:r>
          </w:p>
        </w:tc>
        <w:tc>
          <w:tcPr>
            <w:tcW w:w="1587" w:type="dxa"/>
            <w:shd w:val="clear" w:color="auto" w:fill="auto"/>
            <w:noWrap/>
            <w:vAlign w:val="bottom"/>
          </w:tcPr>
          <w:p w14:paraId="49675072" w14:textId="77777777" w:rsidR="00D009DD" w:rsidRPr="00425DB1" w:rsidRDefault="00D009DD" w:rsidP="00425DB1">
            <w:pPr>
              <w:spacing w:before="40"/>
              <w:jc w:val="right"/>
              <w:rPr>
                <w:sz w:val="20"/>
                <w:highlight w:val="yellow"/>
              </w:rPr>
            </w:pPr>
          </w:p>
        </w:tc>
        <w:tc>
          <w:tcPr>
            <w:tcW w:w="1587" w:type="dxa"/>
            <w:shd w:val="clear" w:color="auto" w:fill="auto"/>
            <w:noWrap/>
            <w:vAlign w:val="bottom"/>
          </w:tcPr>
          <w:p w14:paraId="1B860626" w14:textId="77777777" w:rsidR="00D009DD" w:rsidRPr="00425DB1" w:rsidRDefault="00D009DD" w:rsidP="00425DB1">
            <w:pPr>
              <w:spacing w:before="40"/>
              <w:jc w:val="right"/>
              <w:rPr>
                <w:sz w:val="20"/>
                <w:highlight w:val="yellow"/>
              </w:rPr>
            </w:pPr>
          </w:p>
        </w:tc>
        <w:tc>
          <w:tcPr>
            <w:tcW w:w="1587" w:type="dxa"/>
            <w:shd w:val="clear" w:color="auto" w:fill="auto"/>
            <w:noWrap/>
            <w:vAlign w:val="bottom"/>
          </w:tcPr>
          <w:p w14:paraId="7FA6A662" w14:textId="77777777" w:rsidR="00D009DD" w:rsidRPr="00425DB1" w:rsidRDefault="00D009DD" w:rsidP="00425DB1">
            <w:pPr>
              <w:spacing w:before="40"/>
              <w:jc w:val="right"/>
              <w:rPr>
                <w:sz w:val="20"/>
                <w:highlight w:val="yellow"/>
              </w:rPr>
            </w:pPr>
          </w:p>
        </w:tc>
        <w:tc>
          <w:tcPr>
            <w:tcW w:w="1587" w:type="dxa"/>
            <w:shd w:val="clear" w:color="auto" w:fill="auto"/>
            <w:noWrap/>
            <w:vAlign w:val="bottom"/>
          </w:tcPr>
          <w:p w14:paraId="374A01DA" w14:textId="77777777" w:rsidR="00D009DD" w:rsidRPr="00425DB1" w:rsidRDefault="00D009DD" w:rsidP="00425DB1">
            <w:pPr>
              <w:spacing w:before="40"/>
              <w:jc w:val="right"/>
              <w:rPr>
                <w:sz w:val="20"/>
                <w:highlight w:val="yellow"/>
              </w:rPr>
            </w:pPr>
          </w:p>
        </w:tc>
        <w:tc>
          <w:tcPr>
            <w:tcW w:w="1587" w:type="dxa"/>
            <w:shd w:val="clear" w:color="auto" w:fill="auto"/>
            <w:noWrap/>
            <w:vAlign w:val="bottom"/>
          </w:tcPr>
          <w:p w14:paraId="2D35D29A" w14:textId="77777777" w:rsidR="00D009DD" w:rsidRPr="00425DB1" w:rsidRDefault="00D009DD" w:rsidP="00425DB1">
            <w:pPr>
              <w:spacing w:before="40"/>
              <w:jc w:val="right"/>
              <w:rPr>
                <w:sz w:val="20"/>
                <w:highlight w:val="yellow"/>
              </w:rPr>
            </w:pPr>
          </w:p>
        </w:tc>
        <w:tc>
          <w:tcPr>
            <w:tcW w:w="1816" w:type="dxa"/>
            <w:shd w:val="clear" w:color="auto" w:fill="auto"/>
            <w:noWrap/>
            <w:vAlign w:val="bottom"/>
          </w:tcPr>
          <w:p w14:paraId="04DD1F96" w14:textId="1768189D" w:rsidR="00D009DD" w:rsidRPr="00425DB1" w:rsidRDefault="00D009DD" w:rsidP="00425DB1">
            <w:pPr>
              <w:spacing w:before="40"/>
              <w:jc w:val="right"/>
              <w:rPr>
                <w:sz w:val="20"/>
                <w:highlight w:val="yellow"/>
              </w:rPr>
            </w:pPr>
            <w:r w:rsidRPr="00425DB1">
              <w:rPr>
                <w:sz w:val="20"/>
              </w:rPr>
              <w:t>(34,513)</w:t>
            </w:r>
          </w:p>
        </w:tc>
      </w:tr>
      <w:tr w:rsidR="00A95416" w14:paraId="17E4A65C" w14:textId="77777777" w:rsidTr="005101BC">
        <w:trPr>
          <w:trHeight w:val="280"/>
        </w:trPr>
        <w:tc>
          <w:tcPr>
            <w:tcW w:w="4819" w:type="dxa"/>
            <w:shd w:val="clear" w:color="auto" w:fill="auto"/>
            <w:vAlign w:val="bottom"/>
            <w:hideMark/>
          </w:tcPr>
          <w:p w14:paraId="62D42401" w14:textId="77777777" w:rsidR="00A95416" w:rsidRDefault="00A95416" w:rsidP="00327BFD">
            <w:pPr>
              <w:spacing w:before="40"/>
              <w:rPr>
                <w:rFonts w:ascii="Arial" w:eastAsia="Arial" w:hAnsi="Arial" w:cs="Arial"/>
                <w:sz w:val="22"/>
              </w:rPr>
            </w:pPr>
          </w:p>
        </w:tc>
        <w:tc>
          <w:tcPr>
            <w:tcW w:w="1587" w:type="dxa"/>
            <w:shd w:val="clear" w:color="auto" w:fill="auto"/>
            <w:noWrap/>
            <w:vAlign w:val="bottom"/>
          </w:tcPr>
          <w:p w14:paraId="7F762907" w14:textId="77777777" w:rsidR="00A95416" w:rsidRPr="00425DB1" w:rsidRDefault="00A95416" w:rsidP="00425DB1">
            <w:pPr>
              <w:spacing w:before="40"/>
              <w:jc w:val="right"/>
              <w:rPr>
                <w:rFonts w:ascii="Arial" w:eastAsia="Arial" w:hAnsi="Arial" w:cs="Arial"/>
                <w:b/>
                <w:bCs/>
                <w:sz w:val="20"/>
              </w:rPr>
            </w:pPr>
          </w:p>
        </w:tc>
        <w:tc>
          <w:tcPr>
            <w:tcW w:w="1587" w:type="dxa"/>
            <w:shd w:val="clear" w:color="auto" w:fill="auto"/>
            <w:noWrap/>
            <w:vAlign w:val="bottom"/>
          </w:tcPr>
          <w:p w14:paraId="7310FC9B" w14:textId="77777777" w:rsidR="00A95416" w:rsidRPr="00425DB1" w:rsidRDefault="00A95416" w:rsidP="00425DB1">
            <w:pPr>
              <w:spacing w:before="40"/>
              <w:jc w:val="right"/>
              <w:rPr>
                <w:rFonts w:ascii="Arial" w:eastAsia="Arial" w:hAnsi="Arial" w:cs="Arial"/>
                <w:b/>
                <w:bCs/>
                <w:sz w:val="20"/>
              </w:rPr>
            </w:pPr>
          </w:p>
        </w:tc>
        <w:tc>
          <w:tcPr>
            <w:tcW w:w="1587" w:type="dxa"/>
            <w:shd w:val="clear" w:color="auto" w:fill="auto"/>
            <w:noWrap/>
            <w:vAlign w:val="bottom"/>
          </w:tcPr>
          <w:p w14:paraId="6DB7CB4E" w14:textId="77777777" w:rsidR="00A95416" w:rsidRPr="00425DB1" w:rsidRDefault="00A95416" w:rsidP="00425DB1">
            <w:pPr>
              <w:spacing w:before="40"/>
              <w:jc w:val="right"/>
              <w:rPr>
                <w:rFonts w:ascii="Arial" w:eastAsia="Arial" w:hAnsi="Arial" w:cs="Arial"/>
                <w:b/>
                <w:bCs/>
                <w:sz w:val="20"/>
              </w:rPr>
            </w:pPr>
          </w:p>
        </w:tc>
        <w:tc>
          <w:tcPr>
            <w:tcW w:w="1587" w:type="dxa"/>
            <w:shd w:val="clear" w:color="auto" w:fill="auto"/>
            <w:noWrap/>
            <w:vAlign w:val="bottom"/>
          </w:tcPr>
          <w:p w14:paraId="3EFF590F" w14:textId="77777777" w:rsidR="00A95416" w:rsidRPr="00425DB1" w:rsidRDefault="00A95416" w:rsidP="00425DB1">
            <w:pPr>
              <w:spacing w:before="40"/>
              <w:jc w:val="right"/>
              <w:rPr>
                <w:rFonts w:ascii="Arial" w:eastAsia="Arial" w:hAnsi="Arial" w:cs="Arial"/>
                <w:b/>
                <w:bCs/>
                <w:sz w:val="20"/>
              </w:rPr>
            </w:pPr>
          </w:p>
        </w:tc>
        <w:tc>
          <w:tcPr>
            <w:tcW w:w="1587" w:type="dxa"/>
            <w:shd w:val="clear" w:color="auto" w:fill="auto"/>
            <w:noWrap/>
            <w:vAlign w:val="bottom"/>
          </w:tcPr>
          <w:p w14:paraId="650879AD" w14:textId="77777777" w:rsidR="00A95416" w:rsidRPr="00425DB1" w:rsidRDefault="00A95416" w:rsidP="00425DB1">
            <w:pPr>
              <w:spacing w:before="40"/>
              <w:jc w:val="right"/>
              <w:rPr>
                <w:rFonts w:ascii="Arial" w:eastAsia="Arial" w:hAnsi="Arial" w:cs="Arial"/>
                <w:b/>
                <w:bCs/>
                <w:sz w:val="20"/>
              </w:rPr>
            </w:pPr>
          </w:p>
        </w:tc>
        <w:tc>
          <w:tcPr>
            <w:tcW w:w="1816" w:type="dxa"/>
            <w:shd w:val="clear" w:color="auto" w:fill="auto"/>
            <w:noWrap/>
            <w:vAlign w:val="bottom"/>
          </w:tcPr>
          <w:p w14:paraId="1130CAE6" w14:textId="77777777" w:rsidR="00A95416" w:rsidRPr="00425DB1" w:rsidRDefault="00A95416" w:rsidP="00425DB1">
            <w:pPr>
              <w:spacing w:before="40"/>
              <w:jc w:val="right"/>
              <w:rPr>
                <w:rFonts w:ascii="Arial" w:eastAsia="Arial" w:hAnsi="Arial" w:cs="Arial"/>
                <w:b/>
                <w:bCs/>
                <w:sz w:val="20"/>
              </w:rPr>
            </w:pPr>
          </w:p>
        </w:tc>
      </w:tr>
      <w:tr w:rsidR="00A95416" w14:paraId="76359E1E" w14:textId="77777777" w:rsidTr="005101BC">
        <w:trPr>
          <w:trHeight w:val="280"/>
        </w:trPr>
        <w:tc>
          <w:tcPr>
            <w:tcW w:w="4819" w:type="dxa"/>
            <w:shd w:val="clear" w:color="auto" w:fill="auto"/>
            <w:noWrap/>
            <w:vAlign w:val="bottom"/>
            <w:hideMark/>
          </w:tcPr>
          <w:p w14:paraId="39CED1DE" w14:textId="77777777" w:rsidR="00A95416" w:rsidRDefault="00A95416" w:rsidP="00327BFD">
            <w:pPr>
              <w:spacing w:before="40"/>
              <w:rPr>
                <w:sz w:val="20"/>
              </w:rPr>
            </w:pPr>
            <w:r>
              <w:rPr>
                <w:color w:val="000000"/>
                <w:sz w:val="20"/>
              </w:rPr>
              <w:t xml:space="preserve">Profit </w:t>
            </w:r>
            <w:r w:rsidRPr="00606DF4">
              <w:rPr>
                <w:color w:val="000000"/>
                <w:sz w:val="20"/>
              </w:rPr>
              <w:t>for the period</w:t>
            </w:r>
          </w:p>
        </w:tc>
        <w:tc>
          <w:tcPr>
            <w:tcW w:w="1587" w:type="dxa"/>
            <w:shd w:val="clear" w:color="auto" w:fill="auto"/>
            <w:noWrap/>
            <w:vAlign w:val="bottom"/>
          </w:tcPr>
          <w:p w14:paraId="4E55FF33" w14:textId="77777777" w:rsidR="00A95416" w:rsidRPr="00425DB1" w:rsidRDefault="00A95416" w:rsidP="00425DB1">
            <w:pPr>
              <w:spacing w:before="40"/>
              <w:jc w:val="right"/>
              <w:rPr>
                <w:sz w:val="20"/>
                <w:highlight w:val="yellow"/>
              </w:rPr>
            </w:pPr>
          </w:p>
        </w:tc>
        <w:tc>
          <w:tcPr>
            <w:tcW w:w="1587" w:type="dxa"/>
            <w:shd w:val="clear" w:color="auto" w:fill="auto"/>
            <w:noWrap/>
            <w:vAlign w:val="bottom"/>
          </w:tcPr>
          <w:p w14:paraId="542C214A" w14:textId="77777777" w:rsidR="00A95416" w:rsidRPr="00425DB1" w:rsidRDefault="00A95416" w:rsidP="00425DB1">
            <w:pPr>
              <w:spacing w:before="40"/>
              <w:jc w:val="right"/>
              <w:rPr>
                <w:sz w:val="20"/>
                <w:highlight w:val="yellow"/>
              </w:rPr>
            </w:pPr>
          </w:p>
        </w:tc>
        <w:tc>
          <w:tcPr>
            <w:tcW w:w="1587" w:type="dxa"/>
            <w:shd w:val="clear" w:color="auto" w:fill="auto"/>
            <w:noWrap/>
            <w:vAlign w:val="bottom"/>
          </w:tcPr>
          <w:p w14:paraId="3C0604F3" w14:textId="77777777" w:rsidR="00A95416" w:rsidRPr="00425DB1" w:rsidRDefault="00A95416" w:rsidP="00425DB1">
            <w:pPr>
              <w:spacing w:before="40"/>
              <w:jc w:val="right"/>
              <w:rPr>
                <w:sz w:val="20"/>
                <w:highlight w:val="yellow"/>
              </w:rPr>
            </w:pPr>
          </w:p>
        </w:tc>
        <w:tc>
          <w:tcPr>
            <w:tcW w:w="1587" w:type="dxa"/>
            <w:shd w:val="clear" w:color="auto" w:fill="auto"/>
            <w:noWrap/>
            <w:vAlign w:val="bottom"/>
          </w:tcPr>
          <w:p w14:paraId="4DF8BBCA" w14:textId="77777777" w:rsidR="00A95416" w:rsidRPr="00425DB1" w:rsidRDefault="00A95416" w:rsidP="00425DB1">
            <w:pPr>
              <w:spacing w:before="40"/>
              <w:jc w:val="right"/>
              <w:rPr>
                <w:sz w:val="20"/>
                <w:highlight w:val="yellow"/>
              </w:rPr>
            </w:pPr>
          </w:p>
        </w:tc>
        <w:tc>
          <w:tcPr>
            <w:tcW w:w="1587" w:type="dxa"/>
            <w:shd w:val="clear" w:color="auto" w:fill="auto"/>
            <w:noWrap/>
            <w:vAlign w:val="bottom"/>
          </w:tcPr>
          <w:p w14:paraId="5A49023B" w14:textId="77777777" w:rsidR="00A95416" w:rsidRPr="00425DB1" w:rsidRDefault="00A95416" w:rsidP="00425DB1">
            <w:pPr>
              <w:spacing w:before="40"/>
              <w:jc w:val="right"/>
              <w:rPr>
                <w:sz w:val="20"/>
                <w:highlight w:val="yellow"/>
              </w:rPr>
            </w:pPr>
          </w:p>
        </w:tc>
        <w:tc>
          <w:tcPr>
            <w:tcW w:w="1816" w:type="dxa"/>
            <w:tcBorders>
              <w:bottom w:val="double" w:sz="4" w:space="0" w:color="auto"/>
            </w:tcBorders>
            <w:shd w:val="clear" w:color="auto" w:fill="auto"/>
            <w:noWrap/>
            <w:vAlign w:val="bottom"/>
          </w:tcPr>
          <w:p w14:paraId="3DE78712" w14:textId="603FDDA6" w:rsidR="00A95416" w:rsidRPr="00425DB1" w:rsidRDefault="00D009DD" w:rsidP="00425DB1">
            <w:pPr>
              <w:spacing w:before="40"/>
              <w:jc w:val="right"/>
              <w:rPr>
                <w:sz w:val="20"/>
                <w:highlight w:val="yellow"/>
              </w:rPr>
            </w:pPr>
            <w:r w:rsidRPr="00425DB1">
              <w:rPr>
                <w:sz w:val="20"/>
              </w:rPr>
              <w:t>108,254</w:t>
            </w:r>
          </w:p>
        </w:tc>
      </w:tr>
    </w:tbl>
    <w:p w14:paraId="664CD738" w14:textId="77777777" w:rsidR="00A95416" w:rsidRDefault="00A95416" w:rsidP="0059413A">
      <w:pPr>
        <w:ind w:left="720"/>
        <w:rPr>
          <w:rStyle w:val="Koteret"/>
          <w:b w:val="0"/>
          <w:bCs/>
          <w:i/>
          <w:iCs/>
        </w:rPr>
      </w:pPr>
    </w:p>
    <w:p w14:paraId="1C63DEF1" w14:textId="77777777" w:rsidR="009A5ABF" w:rsidRDefault="009A5ABF" w:rsidP="0059413A">
      <w:pPr>
        <w:rPr>
          <w:sz w:val="22"/>
          <w:szCs w:val="22"/>
        </w:rPr>
      </w:pPr>
    </w:p>
    <w:p w14:paraId="3E6C803E" w14:textId="77777777" w:rsidR="00A73AB7" w:rsidRDefault="00A73AB7" w:rsidP="0059413A">
      <w:pPr>
        <w:rPr>
          <w:sz w:val="22"/>
          <w:szCs w:val="22"/>
        </w:rPr>
      </w:pPr>
    </w:p>
    <w:p w14:paraId="2D8F7AFF" w14:textId="7AD3D197" w:rsidR="00D85F46" w:rsidRDefault="00D85F46">
      <w:pPr>
        <w:rPr>
          <w:sz w:val="22"/>
          <w:szCs w:val="22"/>
        </w:rPr>
      </w:pPr>
      <w:r>
        <w:rPr>
          <w:sz w:val="22"/>
          <w:szCs w:val="22"/>
        </w:rPr>
        <w:br w:type="page"/>
      </w:r>
    </w:p>
    <w:p w14:paraId="2B1C8CC9" w14:textId="77777777" w:rsidR="00393761" w:rsidRDefault="00393761" w:rsidP="0059413A">
      <w:pPr>
        <w:rPr>
          <w:sz w:val="22"/>
          <w:szCs w:val="22"/>
        </w:rPr>
      </w:pPr>
    </w:p>
    <w:p w14:paraId="6B903A3A" w14:textId="77777777" w:rsidR="00D85F46" w:rsidRPr="005031F8" w:rsidRDefault="00D85F46" w:rsidP="00D85F46">
      <w:pPr>
        <w:rPr>
          <w:b/>
          <w:bCs/>
          <w:sz w:val="22"/>
          <w:szCs w:val="22"/>
        </w:rPr>
      </w:pPr>
      <w:r w:rsidRPr="005031F8">
        <w:rPr>
          <w:b/>
          <w:bCs/>
          <w:sz w:val="22"/>
          <w:szCs w:val="22"/>
        </w:rPr>
        <w:t>Note 24 - Operating Segments (cont’d)</w:t>
      </w:r>
    </w:p>
    <w:p w14:paraId="1716B08B" w14:textId="77777777" w:rsidR="00D85F46" w:rsidRDefault="00D85F46" w:rsidP="00D85F46">
      <w:pPr>
        <w:ind w:left="720"/>
        <w:rPr>
          <w:rStyle w:val="Koteret"/>
          <w:b w:val="0"/>
          <w:bCs/>
          <w:i/>
          <w:iCs/>
        </w:rPr>
      </w:pPr>
    </w:p>
    <w:p w14:paraId="74DA54FB" w14:textId="77777777" w:rsidR="00A95416" w:rsidRDefault="00A95416" w:rsidP="00A95416">
      <w:pPr>
        <w:ind w:left="720"/>
        <w:rPr>
          <w:rStyle w:val="Koteret"/>
          <w:b w:val="0"/>
          <w:bCs/>
          <w:i/>
          <w:iCs/>
        </w:rPr>
      </w:pPr>
    </w:p>
    <w:p w14:paraId="76FB06DC" w14:textId="77777777" w:rsidR="00A95416" w:rsidRDefault="00A95416" w:rsidP="00A95416">
      <w:pPr>
        <w:rPr>
          <w:rStyle w:val="Koteret"/>
          <w:b w:val="0"/>
          <w:bCs/>
          <w:i/>
          <w:iCs/>
        </w:rPr>
      </w:pPr>
      <w:r w:rsidRPr="0076385F">
        <w:rPr>
          <w:rStyle w:val="Koteret"/>
          <w:b w:val="0"/>
          <w:bCs/>
          <w:i/>
          <w:iCs/>
        </w:rPr>
        <w:t>In thousands of Euros</w:t>
      </w:r>
    </w:p>
    <w:tbl>
      <w:tblPr>
        <w:tblW w:w="14570" w:type="dxa"/>
        <w:tblLayout w:type="fixed"/>
        <w:tblLook w:val="06A0" w:firstRow="1" w:lastRow="0" w:firstColumn="1" w:lastColumn="0" w:noHBand="1" w:noVBand="1"/>
        <w:tblCaption w:val="AHR02"/>
        <w:tblDescription w:val="Operating Segments year of report"/>
      </w:tblPr>
      <w:tblGrid>
        <w:gridCol w:w="4819"/>
        <w:gridCol w:w="1587"/>
        <w:gridCol w:w="1587"/>
        <w:gridCol w:w="1587"/>
        <w:gridCol w:w="1587"/>
        <w:gridCol w:w="1587"/>
        <w:gridCol w:w="1816"/>
      </w:tblGrid>
      <w:tr w:rsidR="005101BC" w14:paraId="62859C84" w14:textId="77777777" w:rsidTr="005101BC">
        <w:trPr>
          <w:cantSplit/>
          <w:trHeight w:val="280"/>
          <w:tblHeader/>
        </w:trPr>
        <w:tc>
          <w:tcPr>
            <w:tcW w:w="4819" w:type="dxa"/>
            <w:vMerge w:val="restart"/>
            <w:shd w:val="clear" w:color="auto" w:fill="auto"/>
            <w:vAlign w:val="bottom"/>
            <w:hideMark/>
          </w:tcPr>
          <w:p w14:paraId="1743127F" w14:textId="77777777" w:rsidR="005101BC" w:rsidRDefault="005101BC" w:rsidP="00327BFD">
            <w:pPr>
              <w:spacing w:before="40"/>
              <w:rPr>
                <w:rFonts w:ascii="Arial" w:eastAsia="Arial" w:hAnsi="Arial" w:cs="Arial"/>
                <w:sz w:val="22"/>
              </w:rPr>
            </w:pPr>
            <w:bookmarkStart w:id="223" w:name="Title_64" w:colFirst="0" w:colLast="0"/>
          </w:p>
        </w:tc>
        <w:tc>
          <w:tcPr>
            <w:tcW w:w="9751" w:type="dxa"/>
            <w:gridSpan w:val="6"/>
            <w:shd w:val="clear" w:color="auto" w:fill="auto"/>
            <w:noWrap/>
            <w:vAlign w:val="bottom"/>
            <w:hideMark/>
          </w:tcPr>
          <w:p w14:paraId="03294D42" w14:textId="77777777" w:rsidR="005101BC" w:rsidRPr="00E57D86" w:rsidRDefault="005101BC" w:rsidP="00327BFD">
            <w:pPr>
              <w:pBdr>
                <w:bottom w:val="single" w:sz="4" w:space="0" w:color="000000"/>
              </w:pBdr>
              <w:bidi/>
              <w:spacing w:before="40"/>
              <w:ind w:left="57"/>
              <w:jc w:val="center"/>
              <w:rPr>
                <w:b/>
                <w:bCs/>
                <w:sz w:val="16"/>
                <w:lang w:bidi="he-IL"/>
              </w:rPr>
            </w:pPr>
            <w:r w:rsidRPr="00E57D86">
              <w:rPr>
                <w:b/>
                <w:bCs/>
                <w:color w:val="000000"/>
                <w:sz w:val="20"/>
              </w:rPr>
              <w:t xml:space="preserve">For the year ended </w:t>
            </w:r>
            <w:proofErr w:type="gramStart"/>
            <w:r>
              <w:rPr>
                <w:b/>
                <w:bCs/>
                <w:color w:val="000000"/>
                <w:sz w:val="20"/>
              </w:rPr>
              <w:t>at</w:t>
            </w:r>
            <w:proofErr w:type="gramEnd"/>
            <w:r>
              <w:rPr>
                <w:b/>
                <w:bCs/>
                <w:color w:val="000000"/>
                <w:sz w:val="20"/>
              </w:rPr>
              <w:t xml:space="preserve"> </w:t>
            </w:r>
            <w:r w:rsidRPr="00E57D86">
              <w:rPr>
                <w:b/>
                <w:bCs/>
                <w:color w:val="000000"/>
                <w:sz w:val="20"/>
              </w:rPr>
              <w:t xml:space="preserve">December 31, </w:t>
            </w:r>
            <w:r>
              <w:rPr>
                <w:b/>
                <w:bCs/>
                <w:color w:val="000000"/>
                <w:sz w:val="20"/>
                <w:lang w:bidi="he-IL"/>
              </w:rPr>
              <w:t>2023</w:t>
            </w:r>
          </w:p>
        </w:tc>
      </w:tr>
      <w:bookmarkEnd w:id="223"/>
      <w:tr w:rsidR="005101BC" w14:paraId="468F723F" w14:textId="77777777" w:rsidTr="005101BC">
        <w:trPr>
          <w:cantSplit/>
          <w:trHeight w:val="280"/>
          <w:tblHeader/>
        </w:trPr>
        <w:tc>
          <w:tcPr>
            <w:tcW w:w="4819" w:type="dxa"/>
            <w:vMerge/>
            <w:shd w:val="clear" w:color="auto" w:fill="auto"/>
            <w:vAlign w:val="bottom"/>
            <w:hideMark/>
          </w:tcPr>
          <w:p w14:paraId="3AD24EFE" w14:textId="77777777" w:rsidR="005101BC" w:rsidRDefault="005101BC" w:rsidP="00327BFD">
            <w:pPr>
              <w:spacing w:before="40"/>
              <w:rPr>
                <w:rFonts w:ascii="Arial" w:eastAsia="Arial" w:hAnsi="Arial" w:cs="Arial"/>
                <w:sz w:val="22"/>
              </w:rPr>
            </w:pPr>
          </w:p>
        </w:tc>
        <w:tc>
          <w:tcPr>
            <w:tcW w:w="1587" w:type="dxa"/>
            <w:shd w:val="clear" w:color="auto" w:fill="auto"/>
            <w:vAlign w:val="bottom"/>
            <w:hideMark/>
          </w:tcPr>
          <w:p w14:paraId="312D4B5A" w14:textId="77777777" w:rsidR="005101BC" w:rsidRPr="007F692C" w:rsidRDefault="005101BC" w:rsidP="00327BFD">
            <w:pPr>
              <w:pBdr>
                <w:bottom w:val="single" w:sz="4" w:space="0" w:color="000000"/>
              </w:pBdr>
              <w:spacing w:before="40"/>
              <w:jc w:val="center"/>
              <w:rPr>
                <w:b/>
                <w:bCs/>
                <w:sz w:val="20"/>
              </w:rPr>
            </w:pPr>
            <w:r w:rsidRPr="007F692C">
              <w:rPr>
                <w:b/>
                <w:bCs/>
                <w:color w:val="000000"/>
                <w:sz w:val="20"/>
              </w:rPr>
              <w:t>Czech Republic</w:t>
            </w:r>
          </w:p>
        </w:tc>
        <w:tc>
          <w:tcPr>
            <w:tcW w:w="1587" w:type="dxa"/>
            <w:shd w:val="clear" w:color="auto" w:fill="auto"/>
            <w:noWrap/>
            <w:vAlign w:val="bottom"/>
            <w:hideMark/>
          </w:tcPr>
          <w:p w14:paraId="31B096CF" w14:textId="77777777" w:rsidR="005101BC" w:rsidRPr="007F692C" w:rsidRDefault="005101BC" w:rsidP="00327BFD">
            <w:pPr>
              <w:pBdr>
                <w:bottom w:val="single" w:sz="4" w:space="0" w:color="000000"/>
              </w:pBdr>
              <w:spacing w:before="40"/>
              <w:jc w:val="center"/>
              <w:rPr>
                <w:b/>
                <w:bCs/>
                <w:sz w:val="20"/>
              </w:rPr>
            </w:pPr>
            <w:r w:rsidRPr="007F692C">
              <w:rPr>
                <w:b/>
                <w:bCs/>
                <w:color w:val="000000"/>
                <w:sz w:val="20"/>
              </w:rPr>
              <w:t>Serbia</w:t>
            </w:r>
          </w:p>
        </w:tc>
        <w:tc>
          <w:tcPr>
            <w:tcW w:w="1587" w:type="dxa"/>
            <w:shd w:val="clear" w:color="auto" w:fill="auto"/>
            <w:noWrap/>
            <w:vAlign w:val="bottom"/>
            <w:hideMark/>
          </w:tcPr>
          <w:p w14:paraId="5E96583E" w14:textId="77777777" w:rsidR="005101BC" w:rsidRPr="007F692C" w:rsidRDefault="005101BC" w:rsidP="00327BFD">
            <w:pPr>
              <w:pBdr>
                <w:bottom w:val="single" w:sz="4" w:space="0" w:color="000000"/>
              </w:pBdr>
              <w:spacing w:before="40"/>
              <w:jc w:val="center"/>
              <w:rPr>
                <w:b/>
                <w:bCs/>
                <w:sz w:val="20"/>
              </w:rPr>
            </w:pPr>
            <w:r w:rsidRPr="007F692C">
              <w:rPr>
                <w:b/>
                <w:bCs/>
                <w:color w:val="000000"/>
                <w:sz w:val="20"/>
              </w:rPr>
              <w:t>Romania</w:t>
            </w:r>
          </w:p>
        </w:tc>
        <w:tc>
          <w:tcPr>
            <w:tcW w:w="1587" w:type="dxa"/>
            <w:shd w:val="clear" w:color="auto" w:fill="auto"/>
            <w:noWrap/>
            <w:vAlign w:val="bottom"/>
            <w:hideMark/>
          </w:tcPr>
          <w:p w14:paraId="48C42295" w14:textId="77777777" w:rsidR="005101BC" w:rsidRPr="007F692C" w:rsidRDefault="005101BC" w:rsidP="00327BFD">
            <w:pPr>
              <w:pBdr>
                <w:bottom w:val="single" w:sz="4" w:space="0" w:color="000000"/>
              </w:pBdr>
              <w:spacing w:before="40"/>
              <w:jc w:val="center"/>
              <w:rPr>
                <w:b/>
                <w:bCs/>
                <w:sz w:val="20"/>
              </w:rPr>
            </w:pPr>
            <w:r w:rsidRPr="007F692C">
              <w:rPr>
                <w:b/>
                <w:bCs/>
                <w:color w:val="000000"/>
                <w:sz w:val="20"/>
              </w:rPr>
              <w:t>Poland</w:t>
            </w:r>
          </w:p>
        </w:tc>
        <w:tc>
          <w:tcPr>
            <w:tcW w:w="1587" w:type="dxa"/>
            <w:shd w:val="clear" w:color="auto" w:fill="auto"/>
            <w:vAlign w:val="bottom"/>
            <w:hideMark/>
          </w:tcPr>
          <w:p w14:paraId="276F82BA" w14:textId="77777777" w:rsidR="005101BC" w:rsidRPr="007F692C" w:rsidRDefault="005101BC" w:rsidP="00327BFD">
            <w:pPr>
              <w:pBdr>
                <w:bottom w:val="single" w:sz="4" w:space="0" w:color="000000"/>
              </w:pBdr>
              <w:spacing w:before="40"/>
              <w:jc w:val="center"/>
              <w:rPr>
                <w:b/>
                <w:bCs/>
                <w:sz w:val="20"/>
              </w:rPr>
            </w:pPr>
            <w:r w:rsidRPr="007F692C">
              <w:rPr>
                <w:b/>
                <w:bCs/>
                <w:color w:val="000000"/>
                <w:sz w:val="20"/>
              </w:rPr>
              <w:t>Other regions</w:t>
            </w:r>
          </w:p>
        </w:tc>
        <w:tc>
          <w:tcPr>
            <w:tcW w:w="1816" w:type="dxa"/>
            <w:shd w:val="clear" w:color="auto" w:fill="auto"/>
            <w:vAlign w:val="bottom"/>
            <w:hideMark/>
          </w:tcPr>
          <w:p w14:paraId="7BF6CFD1" w14:textId="77777777" w:rsidR="005101BC" w:rsidRPr="007F692C" w:rsidRDefault="005101BC" w:rsidP="00327BFD">
            <w:pPr>
              <w:pBdr>
                <w:bottom w:val="single" w:sz="4" w:space="0" w:color="000000"/>
              </w:pBdr>
              <w:spacing w:before="40"/>
              <w:jc w:val="center"/>
              <w:rPr>
                <w:b/>
                <w:bCs/>
                <w:sz w:val="20"/>
              </w:rPr>
            </w:pPr>
            <w:r w:rsidRPr="007F692C">
              <w:rPr>
                <w:b/>
                <w:bCs/>
                <w:color w:val="000000"/>
                <w:sz w:val="20"/>
              </w:rPr>
              <w:t>Total consolidated</w:t>
            </w:r>
          </w:p>
        </w:tc>
      </w:tr>
      <w:tr w:rsidR="00A95416" w14:paraId="7DB7CE0C" w14:textId="77777777" w:rsidTr="005101BC">
        <w:trPr>
          <w:trHeight w:val="280"/>
        </w:trPr>
        <w:tc>
          <w:tcPr>
            <w:tcW w:w="4819" w:type="dxa"/>
            <w:shd w:val="clear" w:color="auto" w:fill="auto"/>
            <w:vAlign w:val="bottom"/>
            <w:hideMark/>
          </w:tcPr>
          <w:p w14:paraId="081EB554" w14:textId="77777777" w:rsidR="00A95416" w:rsidRDefault="00A95416" w:rsidP="00327BFD">
            <w:pPr>
              <w:spacing w:before="40"/>
              <w:rPr>
                <w:sz w:val="20"/>
              </w:rPr>
            </w:pPr>
            <w:r>
              <w:rPr>
                <w:color w:val="000000"/>
                <w:sz w:val="20"/>
              </w:rPr>
              <w:t>Income from external customers:</w:t>
            </w:r>
          </w:p>
        </w:tc>
        <w:tc>
          <w:tcPr>
            <w:tcW w:w="1587" w:type="dxa"/>
            <w:shd w:val="clear" w:color="auto" w:fill="auto"/>
            <w:noWrap/>
            <w:vAlign w:val="bottom"/>
          </w:tcPr>
          <w:p w14:paraId="1D1F1436" w14:textId="77777777" w:rsidR="00A95416" w:rsidRPr="001F0577" w:rsidRDefault="00A95416" w:rsidP="00327BFD">
            <w:pPr>
              <w:spacing w:before="40"/>
              <w:jc w:val="right"/>
              <w:rPr>
                <w:b/>
                <w:bCs/>
                <w:sz w:val="20"/>
              </w:rPr>
            </w:pPr>
          </w:p>
        </w:tc>
        <w:tc>
          <w:tcPr>
            <w:tcW w:w="1587" w:type="dxa"/>
            <w:shd w:val="clear" w:color="auto" w:fill="auto"/>
            <w:noWrap/>
            <w:vAlign w:val="bottom"/>
          </w:tcPr>
          <w:p w14:paraId="4C57140A" w14:textId="77777777" w:rsidR="00A95416" w:rsidRPr="001F0577" w:rsidRDefault="00A95416" w:rsidP="00327BFD">
            <w:pPr>
              <w:spacing w:before="40"/>
              <w:jc w:val="right"/>
              <w:rPr>
                <w:b/>
                <w:bCs/>
                <w:sz w:val="20"/>
              </w:rPr>
            </w:pPr>
          </w:p>
        </w:tc>
        <w:tc>
          <w:tcPr>
            <w:tcW w:w="1587" w:type="dxa"/>
            <w:shd w:val="clear" w:color="auto" w:fill="auto"/>
            <w:noWrap/>
            <w:vAlign w:val="bottom"/>
          </w:tcPr>
          <w:p w14:paraId="43A894DB" w14:textId="77777777" w:rsidR="00A95416" w:rsidRPr="001F0577" w:rsidRDefault="00A95416" w:rsidP="00327BFD">
            <w:pPr>
              <w:spacing w:before="40"/>
              <w:jc w:val="right"/>
              <w:rPr>
                <w:b/>
                <w:bCs/>
                <w:sz w:val="20"/>
              </w:rPr>
            </w:pPr>
          </w:p>
        </w:tc>
        <w:tc>
          <w:tcPr>
            <w:tcW w:w="1587" w:type="dxa"/>
            <w:shd w:val="clear" w:color="auto" w:fill="auto"/>
            <w:noWrap/>
            <w:vAlign w:val="bottom"/>
          </w:tcPr>
          <w:p w14:paraId="35636B81" w14:textId="77777777" w:rsidR="00A95416" w:rsidRPr="001F0577" w:rsidRDefault="00A95416" w:rsidP="00327BFD">
            <w:pPr>
              <w:spacing w:before="40"/>
              <w:jc w:val="right"/>
              <w:rPr>
                <w:b/>
                <w:bCs/>
                <w:sz w:val="20"/>
              </w:rPr>
            </w:pPr>
          </w:p>
        </w:tc>
        <w:tc>
          <w:tcPr>
            <w:tcW w:w="1587" w:type="dxa"/>
            <w:shd w:val="clear" w:color="auto" w:fill="auto"/>
            <w:noWrap/>
            <w:vAlign w:val="bottom"/>
          </w:tcPr>
          <w:p w14:paraId="421FF474" w14:textId="77777777" w:rsidR="00A95416" w:rsidRPr="001F0577" w:rsidRDefault="00A95416" w:rsidP="00327BFD">
            <w:pPr>
              <w:spacing w:before="40"/>
              <w:jc w:val="right"/>
              <w:rPr>
                <w:b/>
                <w:bCs/>
                <w:sz w:val="20"/>
              </w:rPr>
            </w:pPr>
          </w:p>
        </w:tc>
        <w:tc>
          <w:tcPr>
            <w:tcW w:w="1816" w:type="dxa"/>
            <w:shd w:val="clear" w:color="auto" w:fill="auto"/>
            <w:noWrap/>
            <w:vAlign w:val="bottom"/>
          </w:tcPr>
          <w:p w14:paraId="5EF1CFA5" w14:textId="77777777" w:rsidR="00A95416" w:rsidRPr="001F0577" w:rsidRDefault="00A95416" w:rsidP="00327BFD">
            <w:pPr>
              <w:spacing w:before="40"/>
              <w:jc w:val="right"/>
              <w:rPr>
                <w:b/>
                <w:bCs/>
                <w:sz w:val="20"/>
              </w:rPr>
            </w:pPr>
          </w:p>
        </w:tc>
      </w:tr>
      <w:tr w:rsidR="00A95416" w14:paraId="18275AC1" w14:textId="77777777" w:rsidTr="005101BC">
        <w:trPr>
          <w:trHeight w:val="280"/>
        </w:trPr>
        <w:tc>
          <w:tcPr>
            <w:tcW w:w="4819" w:type="dxa"/>
            <w:shd w:val="clear" w:color="auto" w:fill="auto"/>
            <w:noWrap/>
            <w:vAlign w:val="bottom"/>
            <w:hideMark/>
          </w:tcPr>
          <w:p w14:paraId="0F688BC9" w14:textId="77777777" w:rsidR="00A95416" w:rsidRDefault="00A95416" w:rsidP="00327BFD">
            <w:pPr>
              <w:spacing w:before="40"/>
              <w:rPr>
                <w:sz w:val="20"/>
              </w:rPr>
            </w:pPr>
            <w:r>
              <w:rPr>
                <w:color w:val="000000"/>
                <w:sz w:val="20"/>
              </w:rPr>
              <w:t>Gross rental income</w:t>
            </w:r>
          </w:p>
        </w:tc>
        <w:tc>
          <w:tcPr>
            <w:tcW w:w="1587" w:type="dxa"/>
            <w:shd w:val="clear" w:color="auto" w:fill="auto"/>
            <w:noWrap/>
          </w:tcPr>
          <w:p w14:paraId="38C76760" w14:textId="77777777" w:rsidR="00A95416" w:rsidRPr="0020502A" w:rsidRDefault="00A95416" w:rsidP="00327BFD">
            <w:pPr>
              <w:spacing w:before="40"/>
              <w:jc w:val="right"/>
              <w:rPr>
                <w:sz w:val="20"/>
              </w:rPr>
            </w:pPr>
            <w:r w:rsidRPr="0020502A">
              <w:rPr>
                <w:sz w:val="20"/>
              </w:rPr>
              <w:t xml:space="preserve">              22,056 </w:t>
            </w:r>
          </w:p>
        </w:tc>
        <w:tc>
          <w:tcPr>
            <w:tcW w:w="1587" w:type="dxa"/>
            <w:shd w:val="clear" w:color="auto" w:fill="auto"/>
            <w:noWrap/>
          </w:tcPr>
          <w:p w14:paraId="54D5A10B" w14:textId="77777777" w:rsidR="00A95416" w:rsidRPr="0020502A" w:rsidRDefault="00A95416" w:rsidP="00327BFD">
            <w:pPr>
              <w:spacing w:before="40"/>
              <w:jc w:val="right"/>
              <w:rPr>
                <w:sz w:val="20"/>
              </w:rPr>
            </w:pPr>
            <w:r w:rsidRPr="0020502A">
              <w:rPr>
                <w:sz w:val="20"/>
              </w:rPr>
              <w:t xml:space="preserve">              31,963 </w:t>
            </w:r>
          </w:p>
        </w:tc>
        <w:tc>
          <w:tcPr>
            <w:tcW w:w="1587" w:type="dxa"/>
            <w:shd w:val="clear" w:color="auto" w:fill="auto"/>
            <w:noWrap/>
          </w:tcPr>
          <w:p w14:paraId="229014AA" w14:textId="77777777" w:rsidR="00A95416" w:rsidRPr="0020502A" w:rsidRDefault="00A95416" w:rsidP="00327BFD">
            <w:pPr>
              <w:spacing w:before="40"/>
              <w:jc w:val="right"/>
              <w:rPr>
                <w:sz w:val="20"/>
              </w:rPr>
            </w:pPr>
            <w:r w:rsidRPr="0020502A">
              <w:rPr>
                <w:sz w:val="20"/>
              </w:rPr>
              <w:t xml:space="preserve">            101,885 </w:t>
            </w:r>
          </w:p>
        </w:tc>
        <w:tc>
          <w:tcPr>
            <w:tcW w:w="1587" w:type="dxa"/>
            <w:shd w:val="clear" w:color="auto" w:fill="auto"/>
            <w:noWrap/>
          </w:tcPr>
          <w:p w14:paraId="0C75864B" w14:textId="77777777" w:rsidR="00A95416" w:rsidRPr="0020502A" w:rsidRDefault="00A95416" w:rsidP="00327BFD">
            <w:pPr>
              <w:spacing w:before="40"/>
              <w:jc w:val="right"/>
              <w:rPr>
                <w:sz w:val="20"/>
              </w:rPr>
            </w:pPr>
            <w:r w:rsidRPr="0020502A">
              <w:rPr>
                <w:sz w:val="20"/>
              </w:rPr>
              <w:t xml:space="preserve">              12,521 </w:t>
            </w:r>
          </w:p>
        </w:tc>
        <w:tc>
          <w:tcPr>
            <w:tcW w:w="1587" w:type="dxa"/>
            <w:shd w:val="clear" w:color="auto" w:fill="auto"/>
            <w:noWrap/>
          </w:tcPr>
          <w:p w14:paraId="13AD9822" w14:textId="77777777" w:rsidR="00A95416" w:rsidRPr="0020502A" w:rsidRDefault="00A95416" w:rsidP="00327BFD">
            <w:pPr>
              <w:spacing w:before="40"/>
              <w:jc w:val="right"/>
              <w:rPr>
                <w:sz w:val="20"/>
              </w:rPr>
            </w:pPr>
            <w:r w:rsidRPr="0020502A">
              <w:rPr>
                <w:sz w:val="20"/>
              </w:rPr>
              <w:t xml:space="preserve">                1,717 </w:t>
            </w:r>
          </w:p>
        </w:tc>
        <w:tc>
          <w:tcPr>
            <w:tcW w:w="1816" w:type="dxa"/>
            <w:shd w:val="clear" w:color="auto" w:fill="auto"/>
            <w:noWrap/>
          </w:tcPr>
          <w:p w14:paraId="05B1FC43" w14:textId="77777777" w:rsidR="00A95416" w:rsidRPr="0020502A" w:rsidRDefault="00A95416" w:rsidP="00327BFD">
            <w:pPr>
              <w:spacing w:before="40"/>
              <w:jc w:val="right"/>
              <w:rPr>
                <w:sz w:val="20"/>
              </w:rPr>
            </w:pPr>
            <w:r w:rsidRPr="0020502A">
              <w:rPr>
                <w:sz w:val="20"/>
              </w:rPr>
              <w:t xml:space="preserve">            170,142 </w:t>
            </w:r>
          </w:p>
        </w:tc>
      </w:tr>
      <w:tr w:rsidR="00A95416" w14:paraId="3FB4672D" w14:textId="77777777" w:rsidTr="005101BC">
        <w:trPr>
          <w:trHeight w:val="280"/>
        </w:trPr>
        <w:tc>
          <w:tcPr>
            <w:tcW w:w="4819" w:type="dxa"/>
            <w:shd w:val="clear" w:color="auto" w:fill="auto"/>
            <w:noWrap/>
            <w:vAlign w:val="bottom"/>
            <w:hideMark/>
          </w:tcPr>
          <w:p w14:paraId="38D14B5F" w14:textId="77777777" w:rsidR="00A95416" w:rsidRDefault="00A95416" w:rsidP="00327BFD">
            <w:pPr>
              <w:spacing w:before="40"/>
              <w:rPr>
                <w:sz w:val="20"/>
              </w:rPr>
            </w:pPr>
            <w:r w:rsidRPr="00F77708">
              <w:rPr>
                <w:color w:val="000000"/>
                <w:sz w:val="20"/>
              </w:rPr>
              <w:t>Proceeds from sale of trading property</w:t>
            </w:r>
          </w:p>
        </w:tc>
        <w:tc>
          <w:tcPr>
            <w:tcW w:w="1587" w:type="dxa"/>
            <w:shd w:val="clear" w:color="auto" w:fill="auto"/>
            <w:noWrap/>
          </w:tcPr>
          <w:p w14:paraId="50454A43" w14:textId="77777777" w:rsidR="00A95416" w:rsidRPr="0020502A" w:rsidRDefault="00A95416" w:rsidP="00327BFD">
            <w:pPr>
              <w:spacing w:before="40"/>
              <w:jc w:val="right"/>
              <w:rPr>
                <w:sz w:val="20"/>
              </w:rPr>
            </w:pPr>
            <w:r w:rsidRPr="0020502A">
              <w:rPr>
                <w:sz w:val="20"/>
              </w:rPr>
              <w:t xml:space="preserve">                1,891 </w:t>
            </w:r>
          </w:p>
        </w:tc>
        <w:tc>
          <w:tcPr>
            <w:tcW w:w="1587" w:type="dxa"/>
            <w:shd w:val="clear" w:color="auto" w:fill="auto"/>
            <w:noWrap/>
          </w:tcPr>
          <w:p w14:paraId="0D3EC283" w14:textId="77777777" w:rsidR="00A95416" w:rsidRPr="0020502A" w:rsidRDefault="00A95416" w:rsidP="00327BFD">
            <w:pPr>
              <w:spacing w:before="40"/>
              <w:jc w:val="right"/>
              <w:rPr>
                <w:sz w:val="20"/>
              </w:rPr>
            </w:pPr>
            <w:r w:rsidRPr="0020502A">
              <w:rPr>
                <w:sz w:val="20"/>
              </w:rPr>
              <w:t xml:space="preserve">                         - </w:t>
            </w:r>
          </w:p>
        </w:tc>
        <w:tc>
          <w:tcPr>
            <w:tcW w:w="1587" w:type="dxa"/>
            <w:shd w:val="clear" w:color="auto" w:fill="auto"/>
            <w:noWrap/>
          </w:tcPr>
          <w:p w14:paraId="3BB8CAB8" w14:textId="77777777" w:rsidR="00A95416" w:rsidRPr="0020502A" w:rsidRDefault="00A95416" w:rsidP="00327BFD">
            <w:pPr>
              <w:spacing w:before="40"/>
              <w:jc w:val="right"/>
              <w:rPr>
                <w:sz w:val="20"/>
              </w:rPr>
            </w:pPr>
            <w:r w:rsidRPr="0020502A">
              <w:rPr>
                <w:sz w:val="20"/>
              </w:rPr>
              <w:t xml:space="preserve">                         - </w:t>
            </w:r>
          </w:p>
        </w:tc>
        <w:tc>
          <w:tcPr>
            <w:tcW w:w="1587" w:type="dxa"/>
            <w:shd w:val="clear" w:color="auto" w:fill="auto"/>
            <w:noWrap/>
          </w:tcPr>
          <w:p w14:paraId="3B45D859" w14:textId="77777777" w:rsidR="00A95416" w:rsidRPr="0020502A" w:rsidRDefault="00A95416" w:rsidP="00327BFD">
            <w:pPr>
              <w:spacing w:before="40"/>
              <w:jc w:val="right"/>
              <w:rPr>
                <w:sz w:val="20"/>
              </w:rPr>
            </w:pPr>
            <w:r w:rsidRPr="0020502A">
              <w:rPr>
                <w:sz w:val="20"/>
              </w:rPr>
              <w:t xml:space="preserve">                      24 </w:t>
            </w:r>
          </w:p>
        </w:tc>
        <w:tc>
          <w:tcPr>
            <w:tcW w:w="1587" w:type="dxa"/>
            <w:shd w:val="clear" w:color="auto" w:fill="auto"/>
            <w:noWrap/>
          </w:tcPr>
          <w:p w14:paraId="0189B091" w14:textId="77777777" w:rsidR="00A95416" w:rsidRPr="0020502A" w:rsidRDefault="00A95416" w:rsidP="00327BFD">
            <w:pPr>
              <w:spacing w:before="40"/>
              <w:jc w:val="right"/>
              <w:rPr>
                <w:sz w:val="20"/>
              </w:rPr>
            </w:pPr>
            <w:r w:rsidRPr="0020502A">
              <w:rPr>
                <w:sz w:val="20"/>
              </w:rPr>
              <w:t xml:space="preserve">                9,986 </w:t>
            </w:r>
          </w:p>
        </w:tc>
        <w:tc>
          <w:tcPr>
            <w:tcW w:w="1816" w:type="dxa"/>
            <w:shd w:val="clear" w:color="auto" w:fill="auto"/>
            <w:noWrap/>
          </w:tcPr>
          <w:p w14:paraId="1A47632D" w14:textId="77777777" w:rsidR="00A95416" w:rsidRPr="0020502A" w:rsidRDefault="00A95416" w:rsidP="00327BFD">
            <w:pPr>
              <w:spacing w:before="40"/>
              <w:jc w:val="right"/>
              <w:rPr>
                <w:sz w:val="20"/>
              </w:rPr>
            </w:pPr>
            <w:r w:rsidRPr="0020502A">
              <w:rPr>
                <w:sz w:val="20"/>
              </w:rPr>
              <w:t xml:space="preserve">              11,901 </w:t>
            </w:r>
          </w:p>
        </w:tc>
      </w:tr>
      <w:tr w:rsidR="00A95416" w14:paraId="0FF43316" w14:textId="77777777" w:rsidTr="005101BC">
        <w:trPr>
          <w:trHeight w:val="280"/>
        </w:trPr>
        <w:tc>
          <w:tcPr>
            <w:tcW w:w="4819" w:type="dxa"/>
            <w:shd w:val="clear" w:color="auto" w:fill="auto"/>
            <w:vAlign w:val="bottom"/>
            <w:hideMark/>
          </w:tcPr>
          <w:p w14:paraId="06E706AD" w14:textId="77777777" w:rsidR="00A95416" w:rsidRDefault="00A95416" w:rsidP="00327BFD">
            <w:pPr>
              <w:spacing w:before="40"/>
              <w:rPr>
                <w:sz w:val="20"/>
              </w:rPr>
            </w:pPr>
            <w:r>
              <w:rPr>
                <w:color w:val="000000"/>
                <w:sz w:val="20"/>
              </w:rPr>
              <w:t>Service charge income</w:t>
            </w:r>
          </w:p>
        </w:tc>
        <w:tc>
          <w:tcPr>
            <w:tcW w:w="1587" w:type="dxa"/>
            <w:shd w:val="clear" w:color="auto" w:fill="auto"/>
            <w:noWrap/>
          </w:tcPr>
          <w:p w14:paraId="67F7C40E" w14:textId="77777777" w:rsidR="00A95416" w:rsidRPr="0020502A" w:rsidRDefault="00A95416" w:rsidP="00327BFD">
            <w:pPr>
              <w:spacing w:before="40"/>
              <w:jc w:val="right"/>
              <w:rPr>
                <w:sz w:val="20"/>
              </w:rPr>
            </w:pPr>
            <w:r w:rsidRPr="0020502A">
              <w:rPr>
                <w:sz w:val="20"/>
              </w:rPr>
              <w:t xml:space="preserve">                8,811 </w:t>
            </w:r>
          </w:p>
        </w:tc>
        <w:tc>
          <w:tcPr>
            <w:tcW w:w="1587" w:type="dxa"/>
            <w:shd w:val="clear" w:color="auto" w:fill="auto"/>
            <w:noWrap/>
          </w:tcPr>
          <w:p w14:paraId="2729498B" w14:textId="77777777" w:rsidR="00A95416" w:rsidRPr="0020502A" w:rsidRDefault="00A95416" w:rsidP="00327BFD">
            <w:pPr>
              <w:spacing w:before="40"/>
              <w:jc w:val="right"/>
              <w:rPr>
                <w:sz w:val="20"/>
              </w:rPr>
            </w:pPr>
            <w:r w:rsidRPr="0020502A">
              <w:rPr>
                <w:sz w:val="20"/>
              </w:rPr>
              <w:t xml:space="preserve">                9,982 </w:t>
            </w:r>
          </w:p>
        </w:tc>
        <w:tc>
          <w:tcPr>
            <w:tcW w:w="1587" w:type="dxa"/>
            <w:shd w:val="clear" w:color="auto" w:fill="auto"/>
            <w:noWrap/>
          </w:tcPr>
          <w:p w14:paraId="75F72805" w14:textId="77777777" w:rsidR="00A95416" w:rsidRPr="0020502A" w:rsidRDefault="00A95416" w:rsidP="00327BFD">
            <w:pPr>
              <w:spacing w:before="40"/>
              <w:jc w:val="right"/>
              <w:rPr>
                <w:sz w:val="20"/>
              </w:rPr>
            </w:pPr>
            <w:r w:rsidRPr="0020502A">
              <w:rPr>
                <w:sz w:val="20"/>
              </w:rPr>
              <w:t xml:space="preserve">              33,539 </w:t>
            </w:r>
          </w:p>
        </w:tc>
        <w:tc>
          <w:tcPr>
            <w:tcW w:w="1587" w:type="dxa"/>
            <w:shd w:val="clear" w:color="auto" w:fill="auto"/>
            <w:noWrap/>
          </w:tcPr>
          <w:p w14:paraId="25C72F72" w14:textId="77777777" w:rsidR="00A95416" w:rsidRPr="0020502A" w:rsidRDefault="00A95416" w:rsidP="00327BFD">
            <w:pPr>
              <w:spacing w:before="40"/>
              <w:jc w:val="right"/>
              <w:rPr>
                <w:sz w:val="20"/>
              </w:rPr>
            </w:pPr>
            <w:r w:rsidRPr="0020502A">
              <w:rPr>
                <w:sz w:val="20"/>
              </w:rPr>
              <w:t xml:space="preserve">                5,815 </w:t>
            </w:r>
          </w:p>
        </w:tc>
        <w:tc>
          <w:tcPr>
            <w:tcW w:w="1587" w:type="dxa"/>
            <w:shd w:val="clear" w:color="auto" w:fill="auto"/>
            <w:noWrap/>
          </w:tcPr>
          <w:p w14:paraId="6573E3FB" w14:textId="77777777" w:rsidR="00A95416" w:rsidRPr="0020502A" w:rsidRDefault="00A95416" w:rsidP="00327BFD">
            <w:pPr>
              <w:spacing w:before="40"/>
              <w:jc w:val="right"/>
              <w:rPr>
                <w:sz w:val="20"/>
              </w:rPr>
            </w:pPr>
            <w:r w:rsidRPr="0020502A">
              <w:rPr>
                <w:sz w:val="20"/>
              </w:rPr>
              <w:t xml:space="preserve">                    803 </w:t>
            </w:r>
          </w:p>
        </w:tc>
        <w:tc>
          <w:tcPr>
            <w:tcW w:w="1816" w:type="dxa"/>
            <w:shd w:val="clear" w:color="auto" w:fill="auto"/>
            <w:noWrap/>
          </w:tcPr>
          <w:p w14:paraId="29FDFD89" w14:textId="77777777" w:rsidR="00A95416" w:rsidRPr="0020502A" w:rsidRDefault="00A95416" w:rsidP="00327BFD">
            <w:pPr>
              <w:spacing w:before="40"/>
              <w:jc w:val="right"/>
              <w:rPr>
                <w:sz w:val="20"/>
              </w:rPr>
            </w:pPr>
            <w:r w:rsidRPr="0020502A">
              <w:rPr>
                <w:sz w:val="20"/>
              </w:rPr>
              <w:t xml:space="preserve">              58,950 </w:t>
            </w:r>
          </w:p>
        </w:tc>
      </w:tr>
      <w:tr w:rsidR="00A95416" w14:paraId="07EB7405" w14:textId="77777777" w:rsidTr="005101BC">
        <w:trPr>
          <w:trHeight w:val="280"/>
        </w:trPr>
        <w:tc>
          <w:tcPr>
            <w:tcW w:w="4819" w:type="dxa"/>
            <w:shd w:val="clear" w:color="auto" w:fill="auto"/>
            <w:vAlign w:val="bottom"/>
            <w:hideMark/>
          </w:tcPr>
          <w:p w14:paraId="26587CF4" w14:textId="77777777" w:rsidR="00A95416" w:rsidRDefault="00A95416" w:rsidP="00327BFD">
            <w:pPr>
              <w:spacing w:before="40"/>
              <w:rPr>
                <w:sz w:val="20"/>
              </w:rPr>
            </w:pPr>
            <w:r>
              <w:rPr>
                <w:color w:val="000000"/>
                <w:sz w:val="20"/>
              </w:rPr>
              <w:t>Other</w:t>
            </w:r>
            <w:r>
              <w:rPr>
                <w:sz w:val="20"/>
              </w:rPr>
              <w:t xml:space="preserve"> income</w:t>
            </w:r>
          </w:p>
        </w:tc>
        <w:tc>
          <w:tcPr>
            <w:tcW w:w="1587" w:type="dxa"/>
            <w:shd w:val="clear" w:color="auto" w:fill="auto"/>
            <w:noWrap/>
          </w:tcPr>
          <w:p w14:paraId="2BBE6BB1" w14:textId="77777777" w:rsidR="00A95416" w:rsidRPr="0020502A" w:rsidRDefault="00A95416" w:rsidP="00327BFD">
            <w:pPr>
              <w:pBdr>
                <w:bottom w:val="single" w:sz="4" w:space="0" w:color="000000"/>
              </w:pBdr>
              <w:spacing w:before="40"/>
              <w:jc w:val="right"/>
              <w:rPr>
                <w:sz w:val="20"/>
              </w:rPr>
            </w:pPr>
            <w:r w:rsidRPr="0020502A">
              <w:rPr>
                <w:sz w:val="20"/>
              </w:rPr>
              <w:t xml:space="preserve">                    569 </w:t>
            </w:r>
          </w:p>
        </w:tc>
        <w:tc>
          <w:tcPr>
            <w:tcW w:w="1587" w:type="dxa"/>
            <w:shd w:val="clear" w:color="auto" w:fill="auto"/>
            <w:noWrap/>
          </w:tcPr>
          <w:p w14:paraId="433630FA" w14:textId="77777777" w:rsidR="00A95416" w:rsidRPr="0020502A" w:rsidRDefault="00A95416" w:rsidP="00327BFD">
            <w:pPr>
              <w:pBdr>
                <w:bottom w:val="single" w:sz="4" w:space="0" w:color="000000"/>
              </w:pBdr>
              <w:spacing w:before="40"/>
              <w:jc w:val="right"/>
              <w:rPr>
                <w:sz w:val="20"/>
              </w:rPr>
            </w:pPr>
            <w:r w:rsidRPr="0020502A">
              <w:rPr>
                <w:sz w:val="20"/>
              </w:rPr>
              <w:t xml:space="preserve">                1,404 </w:t>
            </w:r>
          </w:p>
        </w:tc>
        <w:tc>
          <w:tcPr>
            <w:tcW w:w="1587" w:type="dxa"/>
            <w:shd w:val="clear" w:color="auto" w:fill="auto"/>
            <w:noWrap/>
          </w:tcPr>
          <w:p w14:paraId="1101D232" w14:textId="77777777" w:rsidR="00A95416" w:rsidRPr="0020502A" w:rsidRDefault="00A95416" w:rsidP="00327BFD">
            <w:pPr>
              <w:pBdr>
                <w:bottom w:val="single" w:sz="4" w:space="0" w:color="000000"/>
              </w:pBdr>
              <w:spacing w:before="40"/>
              <w:jc w:val="right"/>
              <w:rPr>
                <w:sz w:val="20"/>
              </w:rPr>
            </w:pPr>
            <w:r w:rsidRPr="0020502A">
              <w:rPr>
                <w:sz w:val="20"/>
              </w:rPr>
              <w:t xml:space="preserve">                    423 </w:t>
            </w:r>
          </w:p>
        </w:tc>
        <w:tc>
          <w:tcPr>
            <w:tcW w:w="1587" w:type="dxa"/>
            <w:shd w:val="clear" w:color="auto" w:fill="auto"/>
            <w:noWrap/>
          </w:tcPr>
          <w:p w14:paraId="0DE986CF" w14:textId="77777777" w:rsidR="00A95416" w:rsidRPr="0020502A" w:rsidRDefault="00A95416" w:rsidP="00327BFD">
            <w:pPr>
              <w:pBdr>
                <w:bottom w:val="single" w:sz="4" w:space="0" w:color="000000"/>
              </w:pBdr>
              <w:spacing w:before="40"/>
              <w:jc w:val="right"/>
              <w:rPr>
                <w:sz w:val="20"/>
              </w:rPr>
            </w:pPr>
            <w:r w:rsidRPr="0020502A">
              <w:rPr>
                <w:sz w:val="20"/>
              </w:rPr>
              <w:t xml:space="preserve">                    331 </w:t>
            </w:r>
          </w:p>
        </w:tc>
        <w:tc>
          <w:tcPr>
            <w:tcW w:w="1587" w:type="dxa"/>
            <w:shd w:val="clear" w:color="auto" w:fill="auto"/>
            <w:noWrap/>
          </w:tcPr>
          <w:p w14:paraId="52E560FB" w14:textId="77777777" w:rsidR="00A95416" w:rsidRPr="0020502A" w:rsidRDefault="00A95416" w:rsidP="00327BFD">
            <w:pPr>
              <w:pBdr>
                <w:bottom w:val="single" w:sz="4" w:space="0" w:color="000000"/>
              </w:pBdr>
              <w:spacing w:before="40"/>
              <w:jc w:val="right"/>
              <w:rPr>
                <w:sz w:val="20"/>
              </w:rPr>
            </w:pPr>
            <w:r w:rsidRPr="0020502A">
              <w:rPr>
                <w:sz w:val="20"/>
              </w:rPr>
              <w:t xml:space="preserve">                    197 </w:t>
            </w:r>
          </w:p>
        </w:tc>
        <w:tc>
          <w:tcPr>
            <w:tcW w:w="1816" w:type="dxa"/>
            <w:shd w:val="clear" w:color="auto" w:fill="auto"/>
            <w:noWrap/>
          </w:tcPr>
          <w:p w14:paraId="44C65659" w14:textId="77777777" w:rsidR="00A95416" w:rsidRPr="0020502A" w:rsidRDefault="00A95416" w:rsidP="00327BFD">
            <w:pPr>
              <w:pBdr>
                <w:bottom w:val="single" w:sz="4" w:space="0" w:color="000000"/>
              </w:pBdr>
              <w:spacing w:before="40"/>
              <w:jc w:val="right"/>
              <w:rPr>
                <w:sz w:val="20"/>
              </w:rPr>
            </w:pPr>
            <w:r w:rsidRPr="0020502A">
              <w:rPr>
                <w:sz w:val="20"/>
              </w:rPr>
              <w:t xml:space="preserve">                2,924 </w:t>
            </w:r>
          </w:p>
        </w:tc>
      </w:tr>
      <w:tr w:rsidR="00A95416" w14:paraId="6410753B" w14:textId="77777777" w:rsidTr="005101BC">
        <w:trPr>
          <w:trHeight w:val="280"/>
        </w:trPr>
        <w:tc>
          <w:tcPr>
            <w:tcW w:w="4819" w:type="dxa"/>
            <w:shd w:val="clear" w:color="auto" w:fill="auto"/>
            <w:vAlign w:val="bottom"/>
            <w:hideMark/>
          </w:tcPr>
          <w:p w14:paraId="6ECE9591" w14:textId="77777777" w:rsidR="00A95416" w:rsidRDefault="00A95416" w:rsidP="00327BFD">
            <w:pPr>
              <w:spacing w:before="40"/>
              <w:rPr>
                <w:sz w:val="20"/>
              </w:rPr>
            </w:pPr>
            <w:r>
              <w:rPr>
                <w:color w:val="000000"/>
                <w:sz w:val="20"/>
              </w:rPr>
              <w:t>Total income</w:t>
            </w:r>
          </w:p>
        </w:tc>
        <w:tc>
          <w:tcPr>
            <w:tcW w:w="1587" w:type="dxa"/>
            <w:shd w:val="clear" w:color="auto" w:fill="auto"/>
            <w:noWrap/>
          </w:tcPr>
          <w:p w14:paraId="064CCCE5" w14:textId="77777777" w:rsidR="00A95416" w:rsidRPr="0020502A" w:rsidRDefault="00A95416" w:rsidP="00E43187">
            <w:pPr>
              <w:pBdr>
                <w:bottom w:val="double" w:sz="4" w:space="1" w:color="auto"/>
              </w:pBdr>
              <w:spacing w:before="40"/>
              <w:jc w:val="right"/>
              <w:rPr>
                <w:sz w:val="20"/>
              </w:rPr>
            </w:pPr>
            <w:r w:rsidRPr="0020502A">
              <w:rPr>
                <w:sz w:val="20"/>
              </w:rPr>
              <w:t xml:space="preserve">              33,327 </w:t>
            </w:r>
          </w:p>
        </w:tc>
        <w:tc>
          <w:tcPr>
            <w:tcW w:w="1587" w:type="dxa"/>
            <w:shd w:val="clear" w:color="auto" w:fill="auto"/>
            <w:noWrap/>
          </w:tcPr>
          <w:p w14:paraId="4B5D325A" w14:textId="77777777" w:rsidR="00A95416" w:rsidRPr="0020502A" w:rsidRDefault="00A95416" w:rsidP="00E43187">
            <w:pPr>
              <w:pBdr>
                <w:bottom w:val="double" w:sz="4" w:space="1" w:color="auto"/>
              </w:pBdr>
              <w:spacing w:before="40"/>
              <w:jc w:val="right"/>
              <w:rPr>
                <w:sz w:val="20"/>
              </w:rPr>
            </w:pPr>
            <w:r w:rsidRPr="0020502A">
              <w:rPr>
                <w:sz w:val="20"/>
              </w:rPr>
              <w:t xml:space="preserve">              43,349 </w:t>
            </w:r>
          </w:p>
        </w:tc>
        <w:tc>
          <w:tcPr>
            <w:tcW w:w="1587" w:type="dxa"/>
            <w:shd w:val="clear" w:color="auto" w:fill="auto"/>
            <w:noWrap/>
          </w:tcPr>
          <w:p w14:paraId="51617345" w14:textId="77777777" w:rsidR="00A95416" w:rsidRPr="0020502A" w:rsidRDefault="00A95416" w:rsidP="00E43187">
            <w:pPr>
              <w:pBdr>
                <w:bottom w:val="double" w:sz="4" w:space="1" w:color="auto"/>
              </w:pBdr>
              <w:spacing w:before="40"/>
              <w:jc w:val="right"/>
              <w:rPr>
                <w:sz w:val="20"/>
              </w:rPr>
            </w:pPr>
            <w:r w:rsidRPr="0020502A">
              <w:rPr>
                <w:sz w:val="20"/>
              </w:rPr>
              <w:t xml:space="preserve">            135,847 </w:t>
            </w:r>
          </w:p>
        </w:tc>
        <w:tc>
          <w:tcPr>
            <w:tcW w:w="1587" w:type="dxa"/>
            <w:shd w:val="clear" w:color="auto" w:fill="auto"/>
            <w:noWrap/>
          </w:tcPr>
          <w:p w14:paraId="22901056" w14:textId="77777777" w:rsidR="00A95416" w:rsidRPr="0020502A" w:rsidRDefault="00A95416" w:rsidP="00E43187">
            <w:pPr>
              <w:pBdr>
                <w:bottom w:val="double" w:sz="4" w:space="1" w:color="auto"/>
              </w:pBdr>
              <w:spacing w:before="40"/>
              <w:jc w:val="right"/>
              <w:rPr>
                <w:sz w:val="20"/>
              </w:rPr>
            </w:pPr>
            <w:r w:rsidRPr="0020502A">
              <w:rPr>
                <w:sz w:val="20"/>
              </w:rPr>
              <w:t xml:space="preserve">              18,691 </w:t>
            </w:r>
          </w:p>
        </w:tc>
        <w:tc>
          <w:tcPr>
            <w:tcW w:w="1587" w:type="dxa"/>
            <w:shd w:val="clear" w:color="auto" w:fill="auto"/>
            <w:noWrap/>
          </w:tcPr>
          <w:p w14:paraId="0BCF66CC" w14:textId="77777777" w:rsidR="00A95416" w:rsidRPr="0020502A" w:rsidRDefault="00A95416" w:rsidP="00E43187">
            <w:pPr>
              <w:pBdr>
                <w:bottom w:val="double" w:sz="4" w:space="1" w:color="auto"/>
              </w:pBdr>
              <w:spacing w:before="40"/>
              <w:jc w:val="right"/>
              <w:rPr>
                <w:sz w:val="20"/>
              </w:rPr>
            </w:pPr>
            <w:r w:rsidRPr="0020502A">
              <w:rPr>
                <w:sz w:val="20"/>
              </w:rPr>
              <w:t xml:space="preserve">              12,703 </w:t>
            </w:r>
          </w:p>
        </w:tc>
        <w:tc>
          <w:tcPr>
            <w:tcW w:w="1816" w:type="dxa"/>
            <w:shd w:val="clear" w:color="auto" w:fill="auto"/>
            <w:noWrap/>
          </w:tcPr>
          <w:p w14:paraId="2EA75263" w14:textId="77777777" w:rsidR="00A95416" w:rsidRPr="0020502A" w:rsidRDefault="00A95416" w:rsidP="00E43187">
            <w:pPr>
              <w:pBdr>
                <w:bottom w:val="double" w:sz="4" w:space="1" w:color="auto"/>
              </w:pBdr>
              <w:spacing w:before="40"/>
              <w:jc w:val="right"/>
              <w:rPr>
                <w:sz w:val="20"/>
              </w:rPr>
            </w:pPr>
            <w:r w:rsidRPr="0020502A">
              <w:rPr>
                <w:sz w:val="20"/>
              </w:rPr>
              <w:t xml:space="preserve">            243,917 </w:t>
            </w:r>
          </w:p>
        </w:tc>
      </w:tr>
      <w:tr w:rsidR="00F237B1" w14:paraId="02991B86" w14:textId="77777777" w:rsidTr="005101BC">
        <w:trPr>
          <w:trHeight w:val="280"/>
        </w:trPr>
        <w:tc>
          <w:tcPr>
            <w:tcW w:w="4819" w:type="dxa"/>
            <w:shd w:val="clear" w:color="auto" w:fill="auto"/>
            <w:vAlign w:val="bottom"/>
          </w:tcPr>
          <w:p w14:paraId="0B2ABC88" w14:textId="18183141" w:rsidR="00F237B1" w:rsidRDefault="00F237B1" w:rsidP="00F237B1">
            <w:pPr>
              <w:spacing w:before="40"/>
              <w:rPr>
                <w:color w:val="000000"/>
                <w:sz w:val="20"/>
              </w:rPr>
            </w:pPr>
            <w:r w:rsidRPr="00F237B1">
              <w:rPr>
                <w:color w:val="000000"/>
                <w:sz w:val="20"/>
              </w:rPr>
              <w:t>Gross profit</w:t>
            </w:r>
          </w:p>
        </w:tc>
        <w:tc>
          <w:tcPr>
            <w:tcW w:w="1587" w:type="dxa"/>
            <w:shd w:val="clear" w:color="auto" w:fill="auto"/>
            <w:noWrap/>
          </w:tcPr>
          <w:p w14:paraId="018F580B" w14:textId="23194345" w:rsidR="00F237B1" w:rsidRPr="00F237B1" w:rsidRDefault="00F237B1" w:rsidP="00E43187">
            <w:pPr>
              <w:pBdr>
                <w:bottom w:val="double" w:sz="4" w:space="1" w:color="auto"/>
              </w:pBdr>
              <w:spacing w:before="40"/>
              <w:jc w:val="right"/>
              <w:rPr>
                <w:sz w:val="20"/>
              </w:rPr>
            </w:pPr>
            <w:r w:rsidRPr="00E43187">
              <w:rPr>
                <w:sz w:val="20"/>
              </w:rPr>
              <w:t xml:space="preserve"> 20,560 </w:t>
            </w:r>
          </w:p>
        </w:tc>
        <w:tc>
          <w:tcPr>
            <w:tcW w:w="1587" w:type="dxa"/>
            <w:shd w:val="clear" w:color="auto" w:fill="auto"/>
            <w:noWrap/>
          </w:tcPr>
          <w:p w14:paraId="73315F08" w14:textId="1B367B18" w:rsidR="00F237B1" w:rsidRPr="00F237B1" w:rsidRDefault="00F237B1" w:rsidP="00E43187">
            <w:pPr>
              <w:pBdr>
                <w:bottom w:val="double" w:sz="4" w:space="1" w:color="auto"/>
              </w:pBdr>
              <w:spacing w:before="40"/>
              <w:jc w:val="right"/>
              <w:rPr>
                <w:sz w:val="20"/>
              </w:rPr>
            </w:pPr>
            <w:r w:rsidRPr="00E43187">
              <w:rPr>
                <w:sz w:val="20"/>
              </w:rPr>
              <w:t xml:space="preserve"> 30,536 </w:t>
            </w:r>
          </w:p>
        </w:tc>
        <w:tc>
          <w:tcPr>
            <w:tcW w:w="1587" w:type="dxa"/>
            <w:shd w:val="clear" w:color="auto" w:fill="auto"/>
            <w:noWrap/>
          </w:tcPr>
          <w:p w14:paraId="4817A939" w14:textId="141D1712" w:rsidR="00F237B1" w:rsidRPr="00F237B1" w:rsidRDefault="00F237B1" w:rsidP="00E43187">
            <w:pPr>
              <w:pBdr>
                <w:bottom w:val="double" w:sz="4" w:space="1" w:color="auto"/>
              </w:pBdr>
              <w:spacing w:before="40"/>
              <w:jc w:val="right"/>
              <w:rPr>
                <w:sz w:val="20"/>
              </w:rPr>
            </w:pPr>
            <w:r w:rsidRPr="00E43187">
              <w:rPr>
                <w:sz w:val="20"/>
              </w:rPr>
              <w:t xml:space="preserve"> 95,562 </w:t>
            </w:r>
          </w:p>
        </w:tc>
        <w:tc>
          <w:tcPr>
            <w:tcW w:w="1587" w:type="dxa"/>
            <w:shd w:val="clear" w:color="auto" w:fill="auto"/>
            <w:noWrap/>
          </w:tcPr>
          <w:p w14:paraId="4EC3C3B3" w14:textId="3B0ACEBA" w:rsidR="00F237B1" w:rsidRPr="00F237B1" w:rsidRDefault="00F237B1" w:rsidP="00E43187">
            <w:pPr>
              <w:pBdr>
                <w:bottom w:val="double" w:sz="4" w:space="1" w:color="auto"/>
              </w:pBdr>
              <w:spacing w:before="40"/>
              <w:jc w:val="right"/>
              <w:rPr>
                <w:sz w:val="20"/>
              </w:rPr>
            </w:pPr>
            <w:r w:rsidRPr="00E43187">
              <w:rPr>
                <w:sz w:val="20"/>
              </w:rPr>
              <w:t xml:space="preserve"> 11,610 </w:t>
            </w:r>
          </w:p>
        </w:tc>
        <w:tc>
          <w:tcPr>
            <w:tcW w:w="1587" w:type="dxa"/>
            <w:shd w:val="clear" w:color="auto" w:fill="auto"/>
            <w:noWrap/>
          </w:tcPr>
          <w:p w14:paraId="47379B9E" w14:textId="28A99076" w:rsidR="00F237B1" w:rsidRPr="00F237B1" w:rsidRDefault="00F237B1" w:rsidP="00E43187">
            <w:pPr>
              <w:pBdr>
                <w:bottom w:val="double" w:sz="4" w:space="1" w:color="auto"/>
              </w:pBdr>
              <w:spacing w:before="40"/>
              <w:jc w:val="right"/>
              <w:rPr>
                <w:sz w:val="20"/>
              </w:rPr>
            </w:pPr>
            <w:r w:rsidRPr="00E43187">
              <w:rPr>
                <w:sz w:val="20"/>
              </w:rPr>
              <w:t xml:space="preserve"> 4,065 </w:t>
            </w:r>
          </w:p>
        </w:tc>
        <w:tc>
          <w:tcPr>
            <w:tcW w:w="1816" w:type="dxa"/>
            <w:shd w:val="clear" w:color="auto" w:fill="auto"/>
            <w:noWrap/>
          </w:tcPr>
          <w:p w14:paraId="3B59E453" w14:textId="0C17BF02" w:rsidR="00F237B1" w:rsidRPr="00F237B1" w:rsidRDefault="00F237B1" w:rsidP="00E43187">
            <w:pPr>
              <w:pBdr>
                <w:bottom w:val="double" w:sz="4" w:space="1" w:color="auto"/>
              </w:pBdr>
              <w:spacing w:before="40"/>
              <w:jc w:val="right"/>
              <w:rPr>
                <w:sz w:val="20"/>
              </w:rPr>
            </w:pPr>
            <w:r w:rsidRPr="00E43187">
              <w:rPr>
                <w:sz w:val="20"/>
              </w:rPr>
              <w:t xml:space="preserve"> 162,333 </w:t>
            </w:r>
          </w:p>
        </w:tc>
      </w:tr>
      <w:tr w:rsidR="00A95416" w14:paraId="4646CD88" w14:textId="77777777" w:rsidTr="005101BC">
        <w:trPr>
          <w:trHeight w:val="280"/>
        </w:trPr>
        <w:tc>
          <w:tcPr>
            <w:tcW w:w="4819" w:type="dxa"/>
            <w:shd w:val="clear" w:color="auto" w:fill="auto"/>
            <w:vAlign w:val="bottom"/>
          </w:tcPr>
          <w:p w14:paraId="666E4D65" w14:textId="77777777" w:rsidR="00A95416" w:rsidRPr="00DF6139" w:rsidRDefault="00A95416" w:rsidP="00327BFD">
            <w:pPr>
              <w:spacing w:before="40"/>
              <w:rPr>
                <w:color w:val="000000"/>
                <w:sz w:val="20"/>
              </w:rPr>
            </w:pPr>
            <w:r w:rsidRPr="00606DF4">
              <w:rPr>
                <w:color w:val="000000"/>
                <w:sz w:val="20"/>
              </w:rPr>
              <w:t>Write down of inventory to net realize value</w:t>
            </w:r>
          </w:p>
        </w:tc>
        <w:tc>
          <w:tcPr>
            <w:tcW w:w="1587" w:type="dxa"/>
            <w:shd w:val="clear" w:color="auto" w:fill="auto"/>
            <w:noWrap/>
          </w:tcPr>
          <w:p w14:paraId="309C0A49" w14:textId="77777777" w:rsidR="00A95416" w:rsidRPr="00F237B1" w:rsidRDefault="00A95416" w:rsidP="00327BFD">
            <w:pPr>
              <w:spacing w:before="40"/>
              <w:jc w:val="right"/>
              <w:rPr>
                <w:sz w:val="20"/>
              </w:rPr>
            </w:pPr>
            <w:r w:rsidRPr="00F237B1">
              <w:rPr>
                <w:sz w:val="20"/>
              </w:rPr>
              <w:t xml:space="preserve">                         - </w:t>
            </w:r>
          </w:p>
        </w:tc>
        <w:tc>
          <w:tcPr>
            <w:tcW w:w="1587" w:type="dxa"/>
            <w:shd w:val="clear" w:color="auto" w:fill="auto"/>
            <w:noWrap/>
          </w:tcPr>
          <w:p w14:paraId="6D437041" w14:textId="77777777" w:rsidR="00A95416" w:rsidRPr="00F237B1" w:rsidRDefault="00A95416" w:rsidP="00327BFD">
            <w:pPr>
              <w:spacing w:before="40"/>
              <w:jc w:val="right"/>
              <w:rPr>
                <w:sz w:val="20"/>
              </w:rPr>
            </w:pPr>
            <w:r w:rsidRPr="00F237B1">
              <w:rPr>
                <w:sz w:val="20"/>
              </w:rPr>
              <w:t xml:space="preserve">                         - </w:t>
            </w:r>
          </w:p>
        </w:tc>
        <w:tc>
          <w:tcPr>
            <w:tcW w:w="1587" w:type="dxa"/>
            <w:shd w:val="clear" w:color="auto" w:fill="auto"/>
            <w:noWrap/>
          </w:tcPr>
          <w:p w14:paraId="4F36505E" w14:textId="77777777" w:rsidR="00A95416" w:rsidRPr="00F237B1" w:rsidRDefault="00A95416" w:rsidP="00327BFD">
            <w:pPr>
              <w:spacing w:before="40"/>
              <w:jc w:val="right"/>
              <w:rPr>
                <w:sz w:val="20"/>
              </w:rPr>
            </w:pPr>
            <w:r w:rsidRPr="00F237B1">
              <w:rPr>
                <w:sz w:val="20"/>
              </w:rPr>
              <w:t xml:space="preserve">               (6,912)</w:t>
            </w:r>
          </w:p>
        </w:tc>
        <w:tc>
          <w:tcPr>
            <w:tcW w:w="1587" w:type="dxa"/>
            <w:shd w:val="clear" w:color="auto" w:fill="auto"/>
            <w:noWrap/>
          </w:tcPr>
          <w:p w14:paraId="71B60F92" w14:textId="77777777" w:rsidR="00A95416" w:rsidRPr="00F237B1" w:rsidRDefault="00A95416" w:rsidP="00327BFD">
            <w:pPr>
              <w:spacing w:before="40"/>
              <w:jc w:val="right"/>
              <w:rPr>
                <w:sz w:val="20"/>
              </w:rPr>
            </w:pPr>
            <w:r w:rsidRPr="00F237B1">
              <w:rPr>
                <w:sz w:val="20"/>
              </w:rPr>
              <w:t xml:space="preserve">                         - </w:t>
            </w:r>
          </w:p>
        </w:tc>
        <w:tc>
          <w:tcPr>
            <w:tcW w:w="1587" w:type="dxa"/>
            <w:shd w:val="clear" w:color="auto" w:fill="auto"/>
            <w:noWrap/>
          </w:tcPr>
          <w:p w14:paraId="708043AE" w14:textId="77777777" w:rsidR="00A95416" w:rsidRPr="00F237B1" w:rsidRDefault="00A95416" w:rsidP="00327BFD">
            <w:pPr>
              <w:spacing w:before="40"/>
              <w:jc w:val="right"/>
              <w:rPr>
                <w:sz w:val="20"/>
              </w:rPr>
            </w:pPr>
            <w:r w:rsidRPr="00F237B1">
              <w:rPr>
                <w:sz w:val="20"/>
              </w:rPr>
              <w:t xml:space="preserve">                         - </w:t>
            </w:r>
          </w:p>
        </w:tc>
        <w:tc>
          <w:tcPr>
            <w:tcW w:w="1816" w:type="dxa"/>
            <w:shd w:val="clear" w:color="auto" w:fill="auto"/>
            <w:noWrap/>
          </w:tcPr>
          <w:p w14:paraId="03B15CEE" w14:textId="77777777" w:rsidR="00A95416" w:rsidRPr="00F237B1" w:rsidRDefault="00A95416" w:rsidP="00327BFD">
            <w:pPr>
              <w:spacing w:before="40"/>
              <w:jc w:val="right"/>
              <w:rPr>
                <w:sz w:val="20"/>
              </w:rPr>
            </w:pPr>
            <w:r w:rsidRPr="00F237B1">
              <w:rPr>
                <w:sz w:val="20"/>
              </w:rPr>
              <w:t xml:space="preserve">               (6,912)</w:t>
            </w:r>
          </w:p>
        </w:tc>
      </w:tr>
      <w:tr w:rsidR="00A95416" w14:paraId="0D5A2E71" w14:textId="77777777" w:rsidTr="005101BC">
        <w:trPr>
          <w:trHeight w:val="280"/>
        </w:trPr>
        <w:tc>
          <w:tcPr>
            <w:tcW w:w="4819" w:type="dxa"/>
            <w:shd w:val="clear" w:color="auto" w:fill="auto"/>
            <w:vAlign w:val="bottom"/>
            <w:hideMark/>
          </w:tcPr>
          <w:p w14:paraId="2547C7A7" w14:textId="77777777" w:rsidR="00A95416" w:rsidRPr="00DF6139" w:rsidRDefault="00A95416" w:rsidP="00327BFD">
            <w:pPr>
              <w:spacing w:before="40"/>
              <w:rPr>
                <w:sz w:val="20"/>
              </w:rPr>
            </w:pPr>
            <w:r w:rsidRPr="00DF6139">
              <w:rPr>
                <w:color w:val="000000"/>
                <w:sz w:val="20"/>
              </w:rPr>
              <w:t>Net valuation gains</w:t>
            </w:r>
            <w:r>
              <w:rPr>
                <w:color w:val="000000"/>
                <w:sz w:val="20"/>
              </w:rPr>
              <w:t xml:space="preserve"> (losses)</w:t>
            </w:r>
          </w:p>
        </w:tc>
        <w:tc>
          <w:tcPr>
            <w:tcW w:w="1587" w:type="dxa"/>
            <w:shd w:val="clear" w:color="auto" w:fill="auto"/>
            <w:noWrap/>
          </w:tcPr>
          <w:p w14:paraId="4DC32510" w14:textId="77777777" w:rsidR="00A95416" w:rsidRPr="0020502A" w:rsidRDefault="00A95416" w:rsidP="00327BFD">
            <w:pPr>
              <w:spacing w:before="40"/>
              <w:jc w:val="right"/>
              <w:rPr>
                <w:sz w:val="20"/>
              </w:rPr>
            </w:pPr>
            <w:r w:rsidRPr="0020502A">
              <w:rPr>
                <w:sz w:val="20"/>
              </w:rPr>
              <w:t xml:space="preserve">                3,583 </w:t>
            </w:r>
          </w:p>
        </w:tc>
        <w:tc>
          <w:tcPr>
            <w:tcW w:w="1587" w:type="dxa"/>
            <w:shd w:val="clear" w:color="auto" w:fill="auto"/>
            <w:noWrap/>
          </w:tcPr>
          <w:p w14:paraId="5271B705" w14:textId="77777777" w:rsidR="00A95416" w:rsidRPr="0020502A" w:rsidRDefault="00A95416" w:rsidP="00327BFD">
            <w:pPr>
              <w:spacing w:before="40"/>
              <w:jc w:val="right"/>
              <w:rPr>
                <w:sz w:val="20"/>
              </w:rPr>
            </w:pPr>
            <w:r w:rsidRPr="0020502A">
              <w:rPr>
                <w:sz w:val="20"/>
              </w:rPr>
              <w:t xml:space="preserve">                5,119 </w:t>
            </w:r>
          </w:p>
        </w:tc>
        <w:tc>
          <w:tcPr>
            <w:tcW w:w="1587" w:type="dxa"/>
            <w:shd w:val="clear" w:color="auto" w:fill="auto"/>
            <w:noWrap/>
          </w:tcPr>
          <w:p w14:paraId="6F871D58" w14:textId="77777777" w:rsidR="00A95416" w:rsidRPr="0020502A" w:rsidRDefault="00A95416" w:rsidP="00327BFD">
            <w:pPr>
              <w:spacing w:before="40"/>
              <w:jc w:val="right"/>
              <w:rPr>
                <w:sz w:val="20"/>
              </w:rPr>
            </w:pPr>
            <w:r w:rsidRPr="0020502A">
              <w:rPr>
                <w:sz w:val="20"/>
              </w:rPr>
              <w:t xml:space="preserve">            (25,488)</w:t>
            </w:r>
          </w:p>
        </w:tc>
        <w:tc>
          <w:tcPr>
            <w:tcW w:w="1587" w:type="dxa"/>
            <w:shd w:val="clear" w:color="auto" w:fill="auto"/>
            <w:noWrap/>
          </w:tcPr>
          <w:p w14:paraId="2D7DB3B4" w14:textId="77777777" w:rsidR="00A95416" w:rsidRPr="0020502A" w:rsidRDefault="00A95416" w:rsidP="00327BFD">
            <w:pPr>
              <w:spacing w:before="40"/>
              <w:jc w:val="right"/>
              <w:rPr>
                <w:sz w:val="20"/>
              </w:rPr>
            </w:pPr>
            <w:r w:rsidRPr="0020502A">
              <w:rPr>
                <w:sz w:val="20"/>
              </w:rPr>
              <w:t xml:space="preserve">               (3,354)</w:t>
            </w:r>
          </w:p>
        </w:tc>
        <w:tc>
          <w:tcPr>
            <w:tcW w:w="1587" w:type="dxa"/>
            <w:shd w:val="clear" w:color="auto" w:fill="auto"/>
            <w:noWrap/>
          </w:tcPr>
          <w:p w14:paraId="4A63C83F" w14:textId="77777777" w:rsidR="00A95416" w:rsidRPr="0020502A" w:rsidRDefault="00A95416" w:rsidP="00327BFD">
            <w:pPr>
              <w:spacing w:before="40"/>
              <w:jc w:val="right"/>
              <w:rPr>
                <w:sz w:val="20"/>
              </w:rPr>
            </w:pPr>
            <w:r w:rsidRPr="0020502A">
              <w:rPr>
                <w:sz w:val="20"/>
              </w:rPr>
              <w:t xml:space="preserve">                    898 </w:t>
            </w:r>
          </w:p>
        </w:tc>
        <w:tc>
          <w:tcPr>
            <w:tcW w:w="1816" w:type="dxa"/>
            <w:shd w:val="clear" w:color="auto" w:fill="auto"/>
            <w:noWrap/>
          </w:tcPr>
          <w:p w14:paraId="7105FA24" w14:textId="77777777" w:rsidR="00A95416" w:rsidRPr="0020502A" w:rsidRDefault="00A95416" w:rsidP="00327BFD">
            <w:pPr>
              <w:spacing w:before="40"/>
              <w:jc w:val="right"/>
              <w:rPr>
                <w:sz w:val="20"/>
              </w:rPr>
            </w:pPr>
            <w:r w:rsidRPr="0020502A">
              <w:rPr>
                <w:sz w:val="20"/>
              </w:rPr>
              <w:t xml:space="preserve">            (19,242)</w:t>
            </w:r>
          </w:p>
        </w:tc>
      </w:tr>
      <w:tr w:rsidR="00A95416" w14:paraId="795069B4" w14:textId="77777777" w:rsidTr="005101BC">
        <w:trPr>
          <w:trHeight w:val="280"/>
        </w:trPr>
        <w:tc>
          <w:tcPr>
            <w:tcW w:w="4819" w:type="dxa"/>
            <w:shd w:val="clear" w:color="auto" w:fill="auto"/>
            <w:vAlign w:val="bottom"/>
            <w:hideMark/>
          </w:tcPr>
          <w:p w14:paraId="57B4662A" w14:textId="77777777" w:rsidR="00A95416" w:rsidRDefault="00A95416" w:rsidP="00327BFD">
            <w:pPr>
              <w:spacing w:before="40"/>
              <w:rPr>
                <w:sz w:val="20"/>
              </w:rPr>
            </w:pPr>
            <w:r>
              <w:rPr>
                <w:color w:val="000000"/>
                <w:sz w:val="20"/>
              </w:rPr>
              <w:t>Segment result</w:t>
            </w:r>
          </w:p>
        </w:tc>
        <w:tc>
          <w:tcPr>
            <w:tcW w:w="1587" w:type="dxa"/>
            <w:shd w:val="clear" w:color="auto" w:fill="auto"/>
            <w:noWrap/>
          </w:tcPr>
          <w:p w14:paraId="3EC02D2E" w14:textId="77777777" w:rsidR="00A95416" w:rsidRPr="0020502A" w:rsidRDefault="00A95416" w:rsidP="00327BFD">
            <w:pPr>
              <w:pBdr>
                <w:bottom w:val="double" w:sz="4" w:space="0" w:color="000000"/>
              </w:pBdr>
              <w:spacing w:before="40"/>
              <w:jc w:val="right"/>
              <w:rPr>
                <w:sz w:val="20"/>
              </w:rPr>
            </w:pPr>
            <w:r w:rsidRPr="0020502A">
              <w:rPr>
                <w:sz w:val="20"/>
              </w:rPr>
              <w:t xml:space="preserve">              23,354 </w:t>
            </w:r>
          </w:p>
        </w:tc>
        <w:tc>
          <w:tcPr>
            <w:tcW w:w="1587" w:type="dxa"/>
            <w:shd w:val="clear" w:color="auto" w:fill="auto"/>
            <w:noWrap/>
          </w:tcPr>
          <w:p w14:paraId="6D9201F8" w14:textId="77777777" w:rsidR="00A95416" w:rsidRPr="0020502A" w:rsidRDefault="00A95416" w:rsidP="00327BFD">
            <w:pPr>
              <w:pBdr>
                <w:bottom w:val="double" w:sz="4" w:space="0" w:color="000000"/>
              </w:pBdr>
              <w:spacing w:before="40"/>
              <w:jc w:val="right"/>
              <w:rPr>
                <w:sz w:val="20"/>
              </w:rPr>
            </w:pPr>
            <w:r w:rsidRPr="0020502A">
              <w:rPr>
                <w:sz w:val="20"/>
              </w:rPr>
              <w:t xml:space="preserve">              34,983 </w:t>
            </w:r>
          </w:p>
        </w:tc>
        <w:tc>
          <w:tcPr>
            <w:tcW w:w="1587" w:type="dxa"/>
            <w:shd w:val="clear" w:color="auto" w:fill="auto"/>
            <w:noWrap/>
          </w:tcPr>
          <w:p w14:paraId="15627325" w14:textId="77777777" w:rsidR="00A95416" w:rsidRPr="0020502A" w:rsidRDefault="00A95416" w:rsidP="00327BFD">
            <w:pPr>
              <w:pBdr>
                <w:bottom w:val="double" w:sz="4" w:space="0" w:color="000000"/>
              </w:pBdr>
              <w:spacing w:before="40"/>
              <w:jc w:val="right"/>
              <w:rPr>
                <w:sz w:val="20"/>
              </w:rPr>
            </w:pPr>
            <w:r w:rsidRPr="0020502A">
              <w:rPr>
                <w:sz w:val="20"/>
              </w:rPr>
              <w:t xml:space="preserve">              68,418 </w:t>
            </w:r>
          </w:p>
        </w:tc>
        <w:tc>
          <w:tcPr>
            <w:tcW w:w="1587" w:type="dxa"/>
            <w:shd w:val="clear" w:color="auto" w:fill="auto"/>
            <w:noWrap/>
          </w:tcPr>
          <w:p w14:paraId="7CE80337" w14:textId="77777777" w:rsidR="00A95416" w:rsidRPr="0020502A" w:rsidRDefault="00A95416" w:rsidP="00327BFD">
            <w:pPr>
              <w:pBdr>
                <w:bottom w:val="double" w:sz="4" w:space="0" w:color="000000"/>
              </w:pBdr>
              <w:spacing w:before="40"/>
              <w:jc w:val="right"/>
              <w:rPr>
                <w:sz w:val="20"/>
              </w:rPr>
            </w:pPr>
            <w:r w:rsidRPr="0020502A">
              <w:rPr>
                <w:sz w:val="20"/>
              </w:rPr>
              <w:t xml:space="preserve">                6,863 </w:t>
            </w:r>
          </w:p>
        </w:tc>
        <w:tc>
          <w:tcPr>
            <w:tcW w:w="1587" w:type="dxa"/>
            <w:shd w:val="clear" w:color="auto" w:fill="auto"/>
            <w:noWrap/>
          </w:tcPr>
          <w:p w14:paraId="6BD05EB2" w14:textId="77777777" w:rsidR="00A95416" w:rsidRPr="0020502A" w:rsidRDefault="00A95416" w:rsidP="00327BFD">
            <w:pPr>
              <w:pBdr>
                <w:bottom w:val="double" w:sz="4" w:space="0" w:color="000000"/>
              </w:pBdr>
              <w:spacing w:before="40"/>
              <w:jc w:val="right"/>
              <w:rPr>
                <w:sz w:val="20"/>
              </w:rPr>
            </w:pPr>
            <w:r w:rsidRPr="0020502A">
              <w:rPr>
                <w:sz w:val="20"/>
              </w:rPr>
              <w:t xml:space="preserve">                4,59</w:t>
            </w:r>
            <w:r>
              <w:rPr>
                <w:sz w:val="20"/>
              </w:rPr>
              <w:t>7</w:t>
            </w:r>
            <w:r w:rsidRPr="0020502A">
              <w:rPr>
                <w:sz w:val="20"/>
              </w:rPr>
              <w:t xml:space="preserve"> </w:t>
            </w:r>
          </w:p>
        </w:tc>
        <w:tc>
          <w:tcPr>
            <w:tcW w:w="1816" w:type="dxa"/>
            <w:shd w:val="clear" w:color="auto" w:fill="auto"/>
            <w:noWrap/>
          </w:tcPr>
          <w:p w14:paraId="33CDCD79" w14:textId="77777777" w:rsidR="00A95416" w:rsidRPr="0020502A" w:rsidRDefault="00A95416" w:rsidP="00327BFD">
            <w:pPr>
              <w:pBdr>
                <w:bottom w:val="double" w:sz="4" w:space="0" w:color="000000"/>
              </w:pBdr>
              <w:spacing w:before="40"/>
              <w:jc w:val="right"/>
              <w:rPr>
                <w:sz w:val="20"/>
              </w:rPr>
            </w:pPr>
            <w:r w:rsidRPr="0020502A">
              <w:rPr>
                <w:sz w:val="20"/>
              </w:rPr>
              <w:t xml:space="preserve">            138,21</w:t>
            </w:r>
            <w:r>
              <w:rPr>
                <w:sz w:val="20"/>
              </w:rPr>
              <w:t>5</w:t>
            </w:r>
            <w:r w:rsidRPr="0020502A">
              <w:rPr>
                <w:sz w:val="20"/>
              </w:rPr>
              <w:t xml:space="preserve"> </w:t>
            </w:r>
          </w:p>
        </w:tc>
      </w:tr>
      <w:tr w:rsidR="00A95416" w14:paraId="4EDD4F27" w14:textId="77777777" w:rsidTr="005101BC">
        <w:trPr>
          <w:trHeight w:val="280"/>
        </w:trPr>
        <w:tc>
          <w:tcPr>
            <w:tcW w:w="4819" w:type="dxa"/>
            <w:shd w:val="clear" w:color="auto" w:fill="auto"/>
            <w:vAlign w:val="center"/>
            <w:hideMark/>
          </w:tcPr>
          <w:p w14:paraId="1CF41AED" w14:textId="77777777" w:rsidR="00A95416" w:rsidRDefault="00A95416" w:rsidP="00327BFD">
            <w:pPr>
              <w:spacing w:before="40"/>
              <w:rPr>
                <w:sz w:val="20"/>
              </w:rPr>
            </w:pPr>
            <w:r w:rsidRPr="00802D81">
              <w:rPr>
                <w:color w:val="000000"/>
                <w:sz w:val="20"/>
              </w:rPr>
              <w:t>Share of losses</w:t>
            </w:r>
            <w:r>
              <w:rPr>
                <w:color w:val="000000"/>
                <w:sz w:val="20"/>
              </w:rPr>
              <w:t xml:space="preserve"> </w:t>
            </w:r>
            <w:r w:rsidRPr="00802D81">
              <w:rPr>
                <w:color w:val="000000"/>
                <w:sz w:val="20"/>
              </w:rPr>
              <w:t>of companies accounted for at equity, net</w:t>
            </w:r>
          </w:p>
        </w:tc>
        <w:tc>
          <w:tcPr>
            <w:tcW w:w="1587" w:type="dxa"/>
            <w:shd w:val="clear" w:color="auto" w:fill="auto"/>
            <w:noWrap/>
            <w:vAlign w:val="bottom"/>
          </w:tcPr>
          <w:p w14:paraId="5BB9A560" w14:textId="77777777" w:rsidR="00A95416" w:rsidRPr="0020502A" w:rsidRDefault="00A95416" w:rsidP="00327BFD">
            <w:pPr>
              <w:spacing w:before="40"/>
              <w:jc w:val="right"/>
              <w:rPr>
                <w:sz w:val="20"/>
              </w:rPr>
            </w:pPr>
            <w:r w:rsidRPr="0020502A">
              <w:rPr>
                <w:sz w:val="20"/>
              </w:rPr>
              <w:t>-</w:t>
            </w:r>
          </w:p>
        </w:tc>
        <w:tc>
          <w:tcPr>
            <w:tcW w:w="1587" w:type="dxa"/>
            <w:shd w:val="clear" w:color="auto" w:fill="auto"/>
            <w:noWrap/>
            <w:vAlign w:val="bottom"/>
          </w:tcPr>
          <w:p w14:paraId="7C0A4550" w14:textId="77777777" w:rsidR="00A95416" w:rsidRPr="0020502A" w:rsidRDefault="00A95416" w:rsidP="00327BFD">
            <w:pPr>
              <w:spacing w:before="40"/>
              <w:jc w:val="right"/>
              <w:rPr>
                <w:sz w:val="20"/>
              </w:rPr>
            </w:pPr>
            <w:r w:rsidRPr="0020502A">
              <w:rPr>
                <w:sz w:val="20"/>
              </w:rPr>
              <w:t>-</w:t>
            </w:r>
          </w:p>
        </w:tc>
        <w:tc>
          <w:tcPr>
            <w:tcW w:w="1587" w:type="dxa"/>
            <w:shd w:val="clear" w:color="auto" w:fill="auto"/>
            <w:noWrap/>
            <w:vAlign w:val="bottom"/>
          </w:tcPr>
          <w:p w14:paraId="31120E6A" w14:textId="77777777" w:rsidR="00A95416" w:rsidRPr="0020502A" w:rsidRDefault="00A95416" w:rsidP="00327BFD">
            <w:pPr>
              <w:spacing w:before="40"/>
              <w:jc w:val="right"/>
              <w:rPr>
                <w:sz w:val="20"/>
              </w:rPr>
            </w:pPr>
            <w:r w:rsidRPr="0020502A">
              <w:rPr>
                <w:sz w:val="20"/>
              </w:rPr>
              <w:t>-</w:t>
            </w:r>
          </w:p>
        </w:tc>
        <w:tc>
          <w:tcPr>
            <w:tcW w:w="1587" w:type="dxa"/>
            <w:shd w:val="clear" w:color="auto" w:fill="auto"/>
            <w:noWrap/>
            <w:vAlign w:val="bottom"/>
          </w:tcPr>
          <w:p w14:paraId="1CBFD832" w14:textId="77777777" w:rsidR="00A95416" w:rsidRPr="0020502A" w:rsidRDefault="00A95416" w:rsidP="00327BFD">
            <w:pPr>
              <w:spacing w:before="40"/>
              <w:jc w:val="right"/>
              <w:rPr>
                <w:sz w:val="20"/>
              </w:rPr>
            </w:pPr>
            <w:r w:rsidRPr="0020502A">
              <w:rPr>
                <w:sz w:val="20"/>
              </w:rPr>
              <w:t>(20)</w:t>
            </w:r>
          </w:p>
        </w:tc>
        <w:tc>
          <w:tcPr>
            <w:tcW w:w="1587" w:type="dxa"/>
            <w:shd w:val="clear" w:color="auto" w:fill="auto"/>
            <w:noWrap/>
            <w:vAlign w:val="bottom"/>
          </w:tcPr>
          <w:p w14:paraId="06D5A7EC" w14:textId="77777777" w:rsidR="00A95416" w:rsidRPr="0020502A" w:rsidRDefault="00A95416" w:rsidP="00327BFD">
            <w:pPr>
              <w:spacing w:before="40"/>
              <w:jc w:val="right"/>
              <w:rPr>
                <w:sz w:val="20"/>
              </w:rPr>
            </w:pPr>
            <w:r w:rsidRPr="0020502A">
              <w:rPr>
                <w:sz w:val="20"/>
              </w:rPr>
              <w:t>-</w:t>
            </w:r>
          </w:p>
        </w:tc>
        <w:tc>
          <w:tcPr>
            <w:tcW w:w="1816" w:type="dxa"/>
            <w:shd w:val="clear" w:color="auto" w:fill="auto"/>
            <w:noWrap/>
            <w:vAlign w:val="bottom"/>
          </w:tcPr>
          <w:p w14:paraId="4D97AD39" w14:textId="77777777" w:rsidR="00A95416" w:rsidRPr="0020502A" w:rsidRDefault="00A95416" w:rsidP="00327BFD">
            <w:pPr>
              <w:spacing w:before="40"/>
              <w:jc w:val="right"/>
              <w:rPr>
                <w:sz w:val="20"/>
              </w:rPr>
            </w:pPr>
            <w:r w:rsidRPr="0020502A">
              <w:rPr>
                <w:sz w:val="20"/>
              </w:rPr>
              <w:t>(20)</w:t>
            </w:r>
          </w:p>
        </w:tc>
      </w:tr>
      <w:tr w:rsidR="00A95416" w14:paraId="70B06354" w14:textId="77777777" w:rsidTr="005101BC">
        <w:trPr>
          <w:trHeight w:val="280"/>
        </w:trPr>
        <w:tc>
          <w:tcPr>
            <w:tcW w:w="4819" w:type="dxa"/>
            <w:shd w:val="clear" w:color="auto" w:fill="auto"/>
            <w:vAlign w:val="bottom"/>
          </w:tcPr>
          <w:p w14:paraId="1B327724" w14:textId="77777777" w:rsidR="00A95416" w:rsidRDefault="00A95416" w:rsidP="00327BFD">
            <w:pPr>
              <w:spacing w:before="40"/>
              <w:rPr>
                <w:color w:val="000000"/>
                <w:sz w:val="20"/>
              </w:rPr>
            </w:pPr>
            <w:r>
              <w:rPr>
                <w:color w:val="000000"/>
                <w:sz w:val="20"/>
              </w:rPr>
              <w:t>Unallocated expenses</w:t>
            </w:r>
          </w:p>
        </w:tc>
        <w:tc>
          <w:tcPr>
            <w:tcW w:w="1587" w:type="dxa"/>
            <w:shd w:val="clear" w:color="auto" w:fill="auto"/>
            <w:noWrap/>
            <w:vAlign w:val="bottom"/>
          </w:tcPr>
          <w:p w14:paraId="7A117019" w14:textId="77777777" w:rsidR="00A95416" w:rsidRPr="0020502A" w:rsidRDefault="00A95416" w:rsidP="00327BFD">
            <w:pPr>
              <w:spacing w:before="40"/>
              <w:jc w:val="right"/>
              <w:rPr>
                <w:sz w:val="20"/>
              </w:rPr>
            </w:pPr>
          </w:p>
        </w:tc>
        <w:tc>
          <w:tcPr>
            <w:tcW w:w="1587" w:type="dxa"/>
            <w:shd w:val="clear" w:color="auto" w:fill="auto"/>
            <w:noWrap/>
            <w:vAlign w:val="bottom"/>
          </w:tcPr>
          <w:p w14:paraId="0A066EFD" w14:textId="77777777" w:rsidR="00A95416" w:rsidRPr="0020502A" w:rsidRDefault="00A95416" w:rsidP="00327BFD">
            <w:pPr>
              <w:spacing w:before="40"/>
              <w:jc w:val="right"/>
              <w:rPr>
                <w:sz w:val="20"/>
              </w:rPr>
            </w:pPr>
          </w:p>
        </w:tc>
        <w:tc>
          <w:tcPr>
            <w:tcW w:w="1587" w:type="dxa"/>
            <w:shd w:val="clear" w:color="auto" w:fill="auto"/>
            <w:noWrap/>
            <w:vAlign w:val="bottom"/>
          </w:tcPr>
          <w:p w14:paraId="33DC95C9" w14:textId="77777777" w:rsidR="00A95416" w:rsidRPr="0020502A" w:rsidRDefault="00A95416" w:rsidP="00327BFD">
            <w:pPr>
              <w:spacing w:before="40"/>
              <w:jc w:val="right"/>
              <w:rPr>
                <w:sz w:val="20"/>
              </w:rPr>
            </w:pPr>
          </w:p>
        </w:tc>
        <w:tc>
          <w:tcPr>
            <w:tcW w:w="1587" w:type="dxa"/>
            <w:shd w:val="clear" w:color="auto" w:fill="auto"/>
            <w:noWrap/>
            <w:vAlign w:val="bottom"/>
          </w:tcPr>
          <w:p w14:paraId="306B0A80" w14:textId="77777777" w:rsidR="00A95416" w:rsidRPr="0020502A" w:rsidRDefault="00A95416" w:rsidP="00327BFD">
            <w:pPr>
              <w:spacing w:before="40"/>
              <w:jc w:val="right"/>
              <w:rPr>
                <w:sz w:val="20"/>
              </w:rPr>
            </w:pPr>
          </w:p>
        </w:tc>
        <w:tc>
          <w:tcPr>
            <w:tcW w:w="1587" w:type="dxa"/>
            <w:shd w:val="clear" w:color="auto" w:fill="auto"/>
            <w:noWrap/>
            <w:vAlign w:val="bottom"/>
          </w:tcPr>
          <w:p w14:paraId="157E991C" w14:textId="77777777" w:rsidR="00A95416" w:rsidRPr="0020502A" w:rsidRDefault="00A95416" w:rsidP="00327BFD">
            <w:pPr>
              <w:spacing w:before="40"/>
              <w:jc w:val="right"/>
              <w:rPr>
                <w:sz w:val="20"/>
              </w:rPr>
            </w:pPr>
          </w:p>
        </w:tc>
        <w:tc>
          <w:tcPr>
            <w:tcW w:w="1816" w:type="dxa"/>
            <w:shd w:val="clear" w:color="auto" w:fill="auto"/>
            <w:noWrap/>
          </w:tcPr>
          <w:p w14:paraId="34C47B06" w14:textId="77777777" w:rsidR="00A95416" w:rsidRPr="0020502A" w:rsidRDefault="00A95416" w:rsidP="00327BFD">
            <w:pPr>
              <w:pBdr>
                <w:bottom w:val="single" w:sz="4" w:space="0" w:color="000000"/>
              </w:pBdr>
              <w:spacing w:before="40"/>
              <w:jc w:val="right"/>
              <w:rPr>
                <w:sz w:val="20"/>
              </w:rPr>
            </w:pPr>
            <w:r w:rsidRPr="0020502A">
              <w:rPr>
                <w:sz w:val="20"/>
              </w:rPr>
              <w:t xml:space="preserve">            (18,108)</w:t>
            </w:r>
          </w:p>
        </w:tc>
      </w:tr>
      <w:tr w:rsidR="00A95416" w14:paraId="7BF7466A" w14:textId="77777777" w:rsidTr="005101BC">
        <w:trPr>
          <w:trHeight w:val="280"/>
        </w:trPr>
        <w:tc>
          <w:tcPr>
            <w:tcW w:w="4819" w:type="dxa"/>
            <w:shd w:val="clear" w:color="auto" w:fill="auto"/>
            <w:noWrap/>
            <w:vAlign w:val="bottom"/>
            <w:hideMark/>
          </w:tcPr>
          <w:p w14:paraId="39DF78AA" w14:textId="77777777" w:rsidR="00A95416" w:rsidRDefault="00A95416" w:rsidP="00327BFD">
            <w:pPr>
              <w:spacing w:before="40"/>
              <w:rPr>
                <w:sz w:val="20"/>
              </w:rPr>
            </w:pPr>
            <w:r>
              <w:rPr>
                <w:color w:val="000000"/>
                <w:sz w:val="20"/>
              </w:rPr>
              <w:t>Operating profit</w:t>
            </w:r>
          </w:p>
        </w:tc>
        <w:tc>
          <w:tcPr>
            <w:tcW w:w="1587" w:type="dxa"/>
            <w:shd w:val="clear" w:color="auto" w:fill="auto"/>
            <w:noWrap/>
            <w:vAlign w:val="bottom"/>
          </w:tcPr>
          <w:p w14:paraId="4D24E201" w14:textId="77777777" w:rsidR="00A95416" w:rsidRPr="0020502A" w:rsidRDefault="00A95416" w:rsidP="00327BFD">
            <w:pPr>
              <w:spacing w:before="40"/>
              <w:jc w:val="right"/>
              <w:rPr>
                <w:sz w:val="20"/>
                <w:highlight w:val="yellow"/>
              </w:rPr>
            </w:pPr>
          </w:p>
        </w:tc>
        <w:tc>
          <w:tcPr>
            <w:tcW w:w="1587" w:type="dxa"/>
            <w:shd w:val="clear" w:color="auto" w:fill="auto"/>
            <w:noWrap/>
            <w:vAlign w:val="bottom"/>
          </w:tcPr>
          <w:p w14:paraId="1AFF2ECF" w14:textId="77777777" w:rsidR="00A95416" w:rsidRPr="0020502A" w:rsidRDefault="00A95416" w:rsidP="00327BFD">
            <w:pPr>
              <w:spacing w:before="40"/>
              <w:jc w:val="right"/>
              <w:rPr>
                <w:sz w:val="20"/>
                <w:highlight w:val="yellow"/>
              </w:rPr>
            </w:pPr>
          </w:p>
        </w:tc>
        <w:tc>
          <w:tcPr>
            <w:tcW w:w="1587" w:type="dxa"/>
            <w:shd w:val="clear" w:color="auto" w:fill="auto"/>
            <w:noWrap/>
            <w:vAlign w:val="bottom"/>
          </w:tcPr>
          <w:p w14:paraId="4AB38AFF" w14:textId="77777777" w:rsidR="00A95416" w:rsidRPr="0020502A" w:rsidRDefault="00A95416" w:rsidP="00327BFD">
            <w:pPr>
              <w:spacing w:before="40"/>
              <w:jc w:val="right"/>
              <w:rPr>
                <w:sz w:val="20"/>
                <w:highlight w:val="yellow"/>
              </w:rPr>
            </w:pPr>
          </w:p>
        </w:tc>
        <w:tc>
          <w:tcPr>
            <w:tcW w:w="1587" w:type="dxa"/>
            <w:shd w:val="clear" w:color="auto" w:fill="auto"/>
            <w:noWrap/>
            <w:vAlign w:val="bottom"/>
          </w:tcPr>
          <w:p w14:paraId="64E843A2" w14:textId="77777777" w:rsidR="00A95416" w:rsidRPr="0020502A" w:rsidRDefault="00A95416" w:rsidP="00327BFD">
            <w:pPr>
              <w:spacing w:before="40"/>
              <w:jc w:val="right"/>
              <w:rPr>
                <w:sz w:val="20"/>
                <w:highlight w:val="yellow"/>
              </w:rPr>
            </w:pPr>
          </w:p>
        </w:tc>
        <w:tc>
          <w:tcPr>
            <w:tcW w:w="1587" w:type="dxa"/>
            <w:shd w:val="clear" w:color="auto" w:fill="auto"/>
            <w:noWrap/>
            <w:vAlign w:val="bottom"/>
          </w:tcPr>
          <w:p w14:paraId="3D778661" w14:textId="77777777" w:rsidR="00A95416" w:rsidRPr="0020502A" w:rsidRDefault="00A95416" w:rsidP="00327BFD">
            <w:pPr>
              <w:spacing w:before="40"/>
              <w:jc w:val="right"/>
              <w:rPr>
                <w:sz w:val="20"/>
              </w:rPr>
            </w:pPr>
          </w:p>
        </w:tc>
        <w:tc>
          <w:tcPr>
            <w:tcW w:w="1816" w:type="dxa"/>
            <w:shd w:val="clear" w:color="auto" w:fill="auto"/>
            <w:noWrap/>
          </w:tcPr>
          <w:p w14:paraId="2D6AF9A0" w14:textId="77777777" w:rsidR="00A95416" w:rsidRPr="0020502A" w:rsidRDefault="00A95416" w:rsidP="00327BFD">
            <w:pPr>
              <w:spacing w:before="40"/>
              <w:jc w:val="right"/>
              <w:rPr>
                <w:sz w:val="20"/>
              </w:rPr>
            </w:pPr>
            <w:r w:rsidRPr="0020502A">
              <w:rPr>
                <w:sz w:val="20"/>
              </w:rPr>
              <w:t xml:space="preserve">            120,08</w:t>
            </w:r>
            <w:r>
              <w:rPr>
                <w:sz w:val="20"/>
              </w:rPr>
              <w:t>7</w:t>
            </w:r>
            <w:r w:rsidRPr="0020502A">
              <w:rPr>
                <w:sz w:val="20"/>
              </w:rPr>
              <w:t xml:space="preserve"> </w:t>
            </w:r>
          </w:p>
        </w:tc>
      </w:tr>
      <w:tr w:rsidR="00A95416" w14:paraId="14AB6A83" w14:textId="77777777" w:rsidTr="005101BC">
        <w:trPr>
          <w:trHeight w:val="280"/>
        </w:trPr>
        <w:tc>
          <w:tcPr>
            <w:tcW w:w="4819" w:type="dxa"/>
            <w:shd w:val="clear" w:color="auto" w:fill="auto"/>
            <w:vAlign w:val="bottom"/>
            <w:hideMark/>
          </w:tcPr>
          <w:p w14:paraId="585541CC" w14:textId="77777777" w:rsidR="00A95416" w:rsidRDefault="00A95416" w:rsidP="00327BFD">
            <w:pPr>
              <w:spacing w:before="40"/>
              <w:rPr>
                <w:sz w:val="20"/>
              </w:rPr>
            </w:pPr>
            <w:r>
              <w:rPr>
                <w:color w:val="000000"/>
                <w:sz w:val="20"/>
              </w:rPr>
              <w:t>Net financing costs</w:t>
            </w:r>
          </w:p>
        </w:tc>
        <w:tc>
          <w:tcPr>
            <w:tcW w:w="1587" w:type="dxa"/>
            <w:shd w:val="clear" w:color="auto" w:fill="auto"/>
            <w:noWrap/>
            <w:vAlign w:val="bottom"/>
          </w:tcPr>
          <w:p w14:paraId="59CA2186" w14:textId="77777777" w:rsidR="00A95416" w:rsidRPr="0020502A" w:rsidRDefault="00A95416" w:rsidP="00327BFD">
            <w:pPr>
              <w:spacing w:before="40"/>
              <w:jc w:val="right"/>
              <w:rPr>
                <w:sz w:val="20"/>
                <w:highlight w:val="yellow"/>
              </w:rPr>
            </w:pPr>
          </w:p>
        </w:tc>
        <w:tc>
          <w:tcPr>
            <w:tcW w:w="1587" w:type="dxa"/>
            <w:shd w:val="clear" w:color="auto" w:fill="auto"/>
            <w:noWrap/>
            <w:vAlign w:val="bottom"/>
          </w:tcPr>
          <w:p w14:paraId="3A74F988" w14:textId="77777777" w:rsidR="00A95416" w:rsidRPr="0020502A" w:rsidRDefault="00A95416" w:rsidP="00327BFD">
            <w:pPr>
              <w:spacing w:before="40"/>
              <w:jc w:val="right"/>
              <w:rPr>
                <w:sz w:val="20"/>
                <w:highlight w:val="yellow"/>
              </w:rPr>
            </w:pPr>
          </w:p>
        </w:tc>
        <w:tc>
          <w:tcPr>
            <w:tcW w:w="1587" w:type="dxa"/>
            <w:shd w:val="clear" w:color="auto" w:fill="auto"/>
            <w:noWrap/>
            <w:vAlign w:val="bottom"/>
          </w:tcPr>
          <w:p w14:paraId="3495A6CE" w14:textId="77777777" w:rsidR="00A95416" w:rsidRPr="0020502A" w:rsidRDefault="00A95416" w:rsidP="00327BFD">
            <w:pPr>
              <w:spacing w:before="40"/>
              <w:jc w:val="right"/>
              <w:rPr>
                <w:sz w:val="20"/>
                <w:highlight w:val="yellow"/>
              </w:rPr>
            </w:pPr>
          </w:p>
        </w:tc>
        <w:tc>
          <w:tcPr>
            <w:tcW w:w="1587" w:type="dxa"/>
            <w:shd w:val="clear" w:color="auto" w:fill="auto"/>
            <w:noWrap/>
            <w:vAlign w:val="bottom"/>
          </w:tcPr>
          <w:p w14:paraId="6C2D02DA" w14:textId="77777777" w:rsidR="00A95416" w:rsidRPr="0020502A" w:rsidRDefault="00A95416" w:rsidP="00327BFD">
            <w:pPr>
              <w:spacing w:before="40"/>
              <w:jc w:val="right"/>
              <w:rPr>
                <w:sz w:val="20"/>
                <w:highlight w:val="yellow"/>
              </w:rPr>
            </w:pPr>
          </w:p>
        </w:tc>
        <w:tc>
          <w:tcPr>
            <w:tcW w:w="1587" w:type="dxa"/>
            <w:shd w:val="clear" w:color="auto" w:fill="auto"/>
            <w:noWrap/>
            <w:vAlign w:val="bottom"/>
          </w:tcPr>
          <w:p w14:paraId="15D3531E" w14:textId="77777777" w:rsidR="00A95416" w:rsidRPr="0020502A" w:rsidRDefault="00A95416" w:rsidP="00327BFD">
            <w:pPr>
              <w:spacing w:before="40"/>
              <w:jc w:val="right"/>
              <w:rPr>
                <w:sz w:val="20"/>
                <w:highlight w:val="yellow"/>
              </w:rPr>
            </w:pPr>
          </w:p>
        </w:tc>
        <w:tc>
          <w:tcPr>
            <w:tcW w:w="1816" w:type="dxa"/>
            <w:shd w:val="clear" w:color="auto" w:fill="auto"/>
            <w:noWrap/>
          </w:tcPr>
          <w:p w14:paraId="67286B5B" w14:textId="77777777" w:rsidR="00A95416" w:rsidRPr="0020502A" w:rsidRDefault="00A95416" w:rsidP="00327BFD">
            <w:pPr>
              <w:spacing w:before="40"/>
              <w:jc w:val="right"/>
              <w:rPr>
                <w:sz w:val="20"/>
                <w:highlight w:val="yellow"/>
              </w:rPr>
            </w:pPr>
            <w:r w:rsidRPr="0020502A">
              <w:rPr>
                <w:sz w:val="20"/>
              </w:rPr>
              <w:t xml:space="preserve">            (96,666)</w:t>
            </w:r>
          </w:p>
        </w:tc>
      </w:tr>
      <w:tr w:rsidR="00A95416" w14:paraId="4D59148A" w14:textId="77777777" w:rsidTr="005101BC">
        <w:trPr>
          <w:trHeight w:val="280"/>
        </w:trPr>
        <w:tc>
          <w:tcPr>
            <w:tcW w:w="4819" w:type="dxa"/>
            <w:shd w:val="clear" w:color="auto" w:fill="auto"/>
            <w:vAlign w:val="bottom"/>
            <w:hideMark/>
          </w:tcPr>
          <w:p w14:paraId="0F21DF03" w14:textId="77777777" w:rsidR="00A95416" w:rsidRDefault="00A95416" w:rsidP="00327BFD">
            <w:pPr>
              <w:spacing w:before="40"/>
              <w:rPr>
                <w:sz w:val="20"/>
              </w:rPr>
            </w:pPr>
            <w:r>
              <w:rPr>
                <w:color w:val="000000"/>
                <w:sz w:val="20"/>
              </w:rPr>
              <w:t>Taxes on income</w:t>
            </w:r>
          </w:p>
        </w:tc>
        <w:tc>
          <w:tcPr>
            <w:tcW w:w="1587" w:type="dxa"/>
            <w:shd w:val="clear" w:color="auto" w:fill="auto"/>
            <w:noWrap/>
            <w:vAlign w:val="bottom"/>
          </w:tcPr>
          <w:p w14:paraId="21752B24" w14:textId="77777777" w:rsidR="00A95416" w:rsidRPr="0020502A" w:rsidRDefault="00A95416" w:rsidP="00327BFD">
            <w:pPr>
              <w:spacing w:before="40"/>
              <w:jc w:val="right"/>
              <w:rPr>
                <w:sz w:val="20"/>
                <w:highlight w:val="yellow"/>
              </w:rPr>
            </w:pPr>
          </w:p>
        </w:tc>
        <w:tc>
          <w:tcPr>
            <w:tcW w:w="1587" w:type="dxa"/>
            <w:shd w:val="clear" w:color="auto" w:fill="auto"/>
            <w:noWrap/>
            <w:vAlign w:val="bottom"/>
          </w:tcPr>
          <w:p w14:paraId="2704CEA2" w14:textId="77777777" w:rsidR="00A95416" w:rsidRPr="0020502A" w:rsidRDefault="00A95416" w:rsidP="00327BFD">
            <w:pPr>
              <w:spacing w:before="40"/>
              <w:jc w:val="right"/>
              <w:rPr>
                <w:sz w:val="20"/>
                <w:highlight w:val="yellow"/>
              </w:rPr>
            </w:pPr>
          </w:p>
        </w:tc>
        <w:tc>
          <w:tcPr>
            <w:tcW w:w="1587" w:type="dxa"/>
            <w:shd w:val="clear" w:color="auto" w:fill="auto"/>
            <w:noWrap/>
            <w:vAlign w:val="bottom"/>
          </w:tcPr>
          <w:p w14:paraId="7E77EC6C" w14:textId="77777777" w:rsidR="00A95416" w:rsidRPr="0020502A" w:rsidRDefault="00A95416" w:rsidP="00327BFD">
            <w:pPr>
              <w:spacing w:before="40"/>
              <w:jc w:val="right"/>
              <w:rPr>
                <w:sz w:val="20"/>
                <w:highlight w:val="yellow"/>
              </w:rPr>
            </w:pPr>
          </w:p>
        </w:tc>
        <w:tc>
          <w:tcPr>
            <w:tcW w:w="1587" w:type="dxa"/>
            <w:shd w:val="clear" w:color="auto" w:fill="auto"/>
            <w:noWrap/>
            <w:vAlign w:val="bottom"/>
          </w:tcPr>
          <w:p w14:paraId="59B5E7B0" w14:textId="77777777" w:rsidR="00A95416" w:rsidRPr="0020502A" w:rsidRDefault="00A95416" w:rsidP="00327BFD">
            <w:pPr>
              <w:spacing w:before="40"/>
              <w:jc w:val="right"/>
              <w:rPr>
                <w:sz w:val="20"/>
                <w:highlight w:val="yellow"/>
              </w:rPr>
            </w:pPr>
          </w:p>
        </w:tc>
        <w:tc>
          <w:tcPr>
            <w:tcW w:w="1587" w:type="dxa"/>
            <w:shd w:val="clear" w:color="auto" w:fill="auto"/>
            <w:noWrap/>
            <w:vAlign w:val="bottom"/>
          </w:tcPr>
          <w:p w14:paraId="32863FE7" w14:textId="77777777" w:rsidR="00A95416" w:rsidRPr="0020502A" w:rsidRDefault="00A95416" w:rsidP="00327BFD">
            <w:pPr>
              <w:spacing w:before="40"/>
              <w:jc w:val="right"/>
              <w:rPr>
                <w:sz w:val="20"/>
                <w:highlight w:val="yellow"/>
              </w:rPr>
            </w:pPr>
          </w:p>
        </w:tc>
        <w:tc>
          <w:tcPr>
            <w:tcW w:w="1816" w:type="dxa"/>
            <w:shd w:val="clear" w:color="auto" w:fill="auto"/>
            <w:noWrap/>
          </w:tcPr>
          <w:p w14:paraId="634E4926" w14:textId="77777777" w:rsidR="00A95416" w:rsidRPr="0020502A" w:rsidRDefault="00A95416" w:rsidP="00327BFD">
            <w:pPr>
              <w:spacing w:before="40"/>
              <w:jc w:val="right"/>
              <w:rPr>
                <w:sz w:val="20"/>
                <w:highlight w:val="yellow"/>
              </w:rPr>
            </w:pPr>
            <w:r w:rsidRPr="0020502A">
              <w:rPr>
                <w:sz w:val="20"/>
              </w:rPr>
              <w:t xml:space="preserve">            (</w:t>
            </w:r>
            <w:r>
              <w:rPr>
                <w:sz w:val="20"/>
              </w:rPr>
              <w:t>11</w:t>
            </w:r>
            <w:r w:rsidRPr="0020502A">
              <w:rPr>
                <w:sz w:val="20"/>
              </w:rPr>
              <w:t>,</w:t>
            </w:r>
            <w:r>
              <w:rPr>
                <w:sz w:val="20"/>
              </w:rPr>
              <w:t>586</w:t>
            </w:r>
            <w:r w:rsidRPr="0020502A">
              <w:rPr>
                <w:sz w:val="20"/>
              </w:rPr>
              <w:t>)</w:t>
            </w:r>
          </w:p>
        </w:tc>
      </w:tr>
      <w:tr w:rsidR="00A95416" w14:paraId="38BB6497" w14:textId="77777777" w:rsidTr="005101BC">
        <w:trPr>
          <w:trHeight w:val="280"/>
        </w:trPr>
        <w:tc>
          <w:tcPr>
            <w:tcW w:w="4819" w:type="dxa"/>
            <w:shd w:val="clear" w:color="auto" w:fill="auto"/>
            <w:noWrap/>
            <w:vAlign w:val="bottom"/>
            <w:hideMark/>
          </w:tcPr>
          <w:p w14:paraId="6D75D4E3" w14:textId="77777777" w:rsidR="00A95416" w:rsidRDefault="00A95416" w:rsidP="00327BFD">
            <w:pPr>
              <w:spacing w:before="40"/>
              <w:rPr>
                <w:sz w:val="20"/>
              </w:rPr>
            </w:pPr>
            <w:r>
              <w:rPr>
                <w:color w:val="000000"/>
                <w:sz w:val="20"/>
              </w:rPr>
              <w:t xml:space="preserve">Profit </w:t>
            </w:r>
            <w:r w:rsidRPr="00606DF4">
              <w:rPr>
                <w:color w:val="000000"/>
                <w:sz w:val="20"/>
              </w:rPr>
              <w:t>for the period</w:t>
            </w:r>
          </w:p>
        </w:tc>
        <w:tc>
          <w:tcPr>
            <w:tcW w:w="1587" w:type="dxa"/>
            <w:shd w:val="clear" w:color="auto" w:fill="auto"/>
            <w:noWrap/>
            <w:vAlign w:val="bottom"/>
          </w:tcPr>
          <w:p w14:paraId="5C74F1BD" w14:textId="77777777" w:rsidR="00A95416" w:rsidRPr="0020502A" w:rsidRDefault="00A95416" w:rsidP="00327BFD">
            <w:pPr>
              <w:spacing w:before="40"/>
              <w:jc w:val="right"/>
              <w:rPr>
                <w:sz w:val="20"/>
                <w:highlight w:val="yellow"/>
              </w:rPr>
            </w:pPr>
          </w:p>
        </w:tc>
        <w:tc>
          <w:tcPr>
            <w:tcW w:w="1587" w:type="dxa"/>
            <w:shd w:val="clear" w:color="auto" w:fill="auto"/>
            <w:noWrap/>
            <w:vAlign w:val="bottom"/>
          </w:tcPr>
          <w:p w14:paraId="0D6AC172" w14:textId="77777777" w:rsidR="00A95416" w:rsidRPr="0020502A" w:rsidRDefault="00A95416" w:rsidP="00327BFD">
            <w:pPr>
              <w:spacing w:before="40"/>
              <w:jc w:val="right"/>
              <w:rPr>
                <w:sz w:val="20"/>
                <w:highlight w:val="yellow"/>
              </w:rPr>
            </w:pPr>
          </w:p>
        </w:tc>
        <w:tc>
          <w:tcPr>
            <w:tcW w:w="1587" w:type="dxa"/>
            <w:shd w:val="clear" w:color="auto" w:fill="auto"/>
            <w:noWrap/>
            <w:vAlign w:val="bottom"/>
          </w:tcPr>
          <w:p w14:paraId="538BE776" w14:textId="77777777" w:rsidR="00A95416" w:rsidRPr="0020502A" w:rsidRDefault="00A95416" w:rsidP="00327BFD">
            <w:pPr>
              <w:spacing w:before="40"/>
              <w:jc w:val="right"/>
              <w:rPr>
                <w:sz w:val="20"/>
                <w:highlight w:val="yellow"/>
              </w:rPr>
            </w:pPr>
          </w:p>
        </w:tc>
        <w:tc>
          <w:tcPr>
            <w:tcW w:w="1587" w:type="dxa"/>
            <w:shd w:val="clear" w:color="auto" w:fill="auto"/>
            <w:noWrap/>
            <w:vAlign w:val="bottom"/>
          </w:tcPr>
          <w:p w14:paraId="393B8AC9" w14:textId="77777777" w:rsidR="00A95416" w:rsidRPr="0020502A" w:rsidRDefault="00A95416" w:rsidP="00327BFD">
            <w:pPr>
              <w:spacing w:before="40"/>
              <w:jc w:val="right"/>
              <w:rPr>
                <w:sz w:val="20"/>
                <w:highlight w:val="yellow"/>
              </w:rPr>
            </w:pPr>
          </w:p>
        </w:tc>
        <w:tc>
          <w:tcPr>
            <w:tcW w:w="1587" w:type="dxa"/>
            <w:shd w:val="clear" w:color="auto" w:fill="auto"/>
            <w:noWrap/>
            <w:vAlign w:val="bottom"/>
          </w:tcPr>
          <w:p w14:paraId="3C481098" w14:textId="77777777" w:rsidR="00A95416" w:rsidRPr="0020502A" w:rsidRDefault="00A95416" w:rsidP="00327BFD">
            <w:pPr>
              <w:spacing w:before="40"/>
              <w:jc w:val="right"/>
              <w:rPr>
                <w:sz w:val="20"/>
                <w:highlight w:val="yellow"/>
              </w:rPr>
            </w:pPr>
          </w:p>
        </w:tc>
        <w:tc>
          <w:tcPr>
            <w:tcW w:w="1816" w:type="dxa"/>
            <w:shd w:val="clear" w:color="auto" w:fill="auto"/>
            <w:noWrap/>
          </w:tcPr>
          <w:p w14:paraId="33B16D50" w14:textId="77777777" w:rsidR="00A95416" w:rsidRPr="0020502A" w:rsidRDefault="00A95416" w:rsidP="00327BFD">
            <w:pPr>
              <w:spacing w:before="40"/>
              <w:jc w:val="right"/>
              <w:rPr>
                <w:sz w:val="20"/>
                <w:highlight w:val="yellow"/>
              </w:rPr>
            </w:pPr>
            <w:r w:rsidRPr="0020502A">
              <w:rPr>
                <w:sz w:val="20"/>
              </w:rPr>
              <w:t xml:space="preserve">                </w:t>
            </w:r>
            <w:r>
              <w:rPr>
                <w:sz w:val="20"/>
              </w:rPr>
              <w:t>11</w:t>
            </w:r>
            <w:r w:rsidRPr="0020502A">
              <w:rPr>
                <w:sz w:val="20"/>
              </w:rPr>
              <w:t>,</w:t>
            </w:r>
            <w:r>
              <w:rPr>
                <w:sz w:val="20"/>
              </w:rPr>
              <w:t>835</w:t>
            </w:r>
            <w:r w:rsidRPr="0020502A">
              <w:rPr>
                <w:sz w:val="20"/>
              </w:rPr>
              <w:t xml:space="preserve"> </w:t>
            </w:r>
          </w:p>
        </w:tc>
      </w:tr>
      <w:tr w:rsidR="00A95416" w14:paraId="43DA813B" w14:textId="77777777" w:rsidTr="005101BC">
        <w:trPr>
          <w:trHeight w:val="280"/>
        </w:trPr>
        <w:tc>
          <w:tcPr>
            <w:tcW w:w="4819" w:type="dxa"/>
            <w:shd w:val="clear" w:color="auto" w:fill="auto"/>
            <w:vAlign w:val="bottom"/>
            <w:hideMark/>
          </w:tcPr>
          <w:p w14:paraId="080EB61F" w14:textId="77777777" w:rsidR="00A95416" w:rsidRDefault="00A95416" w:rsidP="00327BFD">
            <w:pPr>
              <w:spacing w:before="40"/>
              <w:rPr>
                <w:rFonts w:ascii="Arial" w:eastAsia="Arial" w:hAnsi="Arial" w:cs="Arial"/>
                <w:sz w:val="22"/>
              </w:rPr>
            </w:pPr>
          </w:p>
        </w:tc>
        <w:tc>
          <w:tcPr>
            <w:tcW w:w="1587" w:type="dxa"/>
            <w:shd w:val="clear" w:color="auto" w:fill="auto"/>
            <w:noWrap/>
            <w:vAlign w:val="bottom"/>
          </w:tcPr>
          <w:p w14:paraId="376D7EC1" w14:textId="77777777" w:rsidR="00A95416" w:rsidRPr="007F692C" w:rsidRDefault="00A95416" w:rsidP="00327BFD">
            <w:pPr>
              <w:spacing w:before="40"/>
              <w:jc w:val="right"/>
              <w:rPr>
                <w:rFonts w:ascii="Arial" w:eastAsia="Arial" w:hAnsi="Arial" w:cs="Arial"/>
                <w:b/>
                <w:bCs/>
                <w:sz w:val="22"/>
              </w:rPr>
            </w:pPr>
          </w:p>
        </w:tc>
        <w:tc>
          <w:tcPr>
            <w:tcW w:w="1587" w:type="dxa"/>
            <w:shd w:val="clear" w:color="auto" w:fill="auto"/>
            <w:noWrap/>
            <w:vAlign w:val="bottom"/>
          </w:tcPr>
          <w:p w14:paraId="7EA4947E" w14:textId="77777777" w:rsidR="00A95416" w:rsidRPr="007F692C" w:rsidRDefault="00A95416" w:rsidP="00327BFD">
            <w:pPr>
              <w:spacing w:before="40"/>
              <w:jc w:val="right"/>
              <w:rPr>
                <w:rFonts w:ascii="Arial" w:eastAsia="Arial" w:hAnsi="Arial" w:cs="Arial"/>
                <w:b/>
                <w:bCs/>
                <w:sz w:val="22"/>
              </w:rPr>
            </w:pPr>
          </w:p>
        </w:tc>
        <w:tc>
          <w:tcPr>
            <w:tcW w:w="1587" w:type="dxa"/>
            <w:shd w:val="clear" w:color="auto" w:fill="auto"/>
            <w:noWrap/>
            <w:vAlign w:val="bottom"/>
          </w:tcPr>
          <w:p w14:paraId="0AE19293" w14:textId="77777777" w:rsidR="00A95416" w:rsidRPr="007F692C" w:rsidRDefault="00A95416" w:rsidP="00327BFD">
            <w:pPr>
              <w:spacing w:before="40"/>
              <w:jc w:val="right"/>
              <w:rPr>
                <w:rFonts w:ascii="Arial" w:eastAsia="Arial" w:hAnsi="Arial" w:cs="Arial"/>
                <w:b/>
                <w:bCs/>
                <w:sz w:val="22"/>
              </w:rPr>
            </w:pPr>
          </w:p>
        </w:tc>
        <w:tc>
          <w:tcPr>
            <w:tcW w:w="1587" w:type="dxa"/>
            <w:shd w:val="clear" w:color="auto" w:fill="auto"/>
            <w:noWrap/>
            <w:vAlign w:val="bottom"/>
          </w:tcPr>
          <w:p w14:paraId="0AC0BAFE" w14:textId="77777777" w:rsidR="00A95416" w:rsidRPr="007F692C" w:rsidRDefault="00A95416" w:rsidP="00327BFD">
            <w:pPr>
              <w:spacing w:before="40"/>
              <w:jc w:val="right"/>
              <w:rPr>
                <w:rFonts w:ascii="Arial" w:eastAsia="Arial" w:hAnsi="Arial" w:cs="Arial"/>
                <w:b/>
                <w:bCs/>
                <w:sz w:val="22"/>
              </w:rPr>
            </w:pPr>
          </w:p>
        </w:tc>
        <w:tc>
          <w:tcPr>
            <w:tcW w:w="1587" w:type="dxa"/>
            <w:shd w:val="clear" w:color="auto" w:fill="auto"/>
            <w:noWrap/>
            <w:vAlign w:val="bottom"/>
          </w:tcPr>
          <w:p w14:paraId="1ED24E7C" w14:textId="77777777" w:rsidR="00A95416" w:rsidRPr="007F692C" w:rsidRDefault="00A95416" w:rsidP="00327BFD">
            <w:pPr>
              <w:spacing w:before="40"/>
              <w:jc w:val="right"/>
              <w:rPr>
                <w:rFonts w:ascii="Arial" w:eastAsia="Arial" w:hAnsi="Arial" w:cs="Arial"/>
                <w:b/>
                <w:bCs/>
                <w:sz w:val="22"/>
              </w:rPr>
            </w:pPr>
          </w:p>
        </w:tc>
        <w:tc>
          <w:tcPr>
            <w:tcW w:w="1816" w:type="dxa"/>
            <w:shd w:val="clear" w:color="auto" w:fill="auto"/>
            <w:noWrap/>
            <w:vAlign w:val="bottom"/>
          </w:tcPr>
          <w:p w14:paraId="0519A4F8" w14:textId="77777777" w:rsidR="00A95416" w:rsidRPr="007F692C" w:rsidRDefault="00A95416" w:rsidP="00327BFD">
            <w:pPr>
              <w:spacing w:before="40"/>
              <w:jc w:val="right"/>
              <w:rPr>
                <w:rFonts w:ascii="Arial" w:eastAsia="Arial" w:hAnsi="Arial" w:cs="Arial"/>
                <w:b/>
                <w:bCs/>
                <w:sz w:val="22"/>
              </w:rPr>
            </w:pPr>
          </w:p>
        </w:tc>
      </w:tr>
    </w:tbl>
    <w:p w14:paraId="2BAD6308" w14:textId="77777777" w:rsidR="00D85F46" w:rsidRDefault="00D85F46" w:rsidP="00D85F46">
      <w:pPr>
        <w:rPr>
          <w:sz w:val="22"/>
          <w:szCs w:val="22"/>
        </w:rPr>
      </w:pPr>
    </w:p>
    <w:p w14:paraId="35BCFF8D" w14:textId="77777777" w:rsidR="00D85F46" w:rsidRDefault="00D85F46" w:rsidP="00D85F46">
      <w:pPr>
        <w:rPr>
          <w:sz w:val="22"/>
          <w:szCs w:val="22"/>
        </w:rPr>
      </w:pPr>
    </w:p>
    <w:p w14:paraId="42DC7235" w14:textId="04283A0B" w:rsidR="005031F8" w:rsidRDefault="005031F8">
      <w:pPr>
        <w:rPr>
          <w:sz w:val="22"/>
          <w:szCs w:val="22"/>
        </w:rPr>
      </w:pPr>
      <w:r>
        <w:rPr>
          <w:sz w:val="22"/>
          <w:szCs w:val="22"/>
        </w:rPr>
        <w:br w:type="page"/>
      </w:r>
    </w:p>
    <w:p w14:paraId="4A7D8B1B" w14:textId="4D4E63F9" w:rsidR="00E82120" w:rsidRDefault="00E82120" w:rsidP="0059413A">
      <w:pPr>
        <w:rPr>
          <w:sz w:val="22"/>
          <w:szCs w:val="22"/>
          <w:rtl/>
        </w:rPr>
      </w:pPr>
    </w:p>
    <w:p w14:paraId="72BBAB00" w14:textId="7DD6275E" w:rsidR="00C35D07" w:rsidRPr="00D85F46" w:rsidRDefault="00C35D07" w:rsidP="00BF2911">
      <w:pPr>
        <w:rPr>
          <w:b/>
          <w:bCs/>
          <w:sz w:val="22"/>
          <w:szCs w:val="22"/>
        </w:rPr>
      </w:pPr>
      <w:r w:rsidRPr="00D85F46">
        <w:rPr>
          <w:b/>
          <w:bCs/>
          <w:sz w:val="22"/>
          <w:szCs w:val="22"/>
        </w:rPr>
        <w:t xml:space="preserve">Note </w:t>
      </w:r>
      <w:r w:rsidR="00491ACE" w:rsidRPr="00D85F46">
        <w:rPr>
          <w:b/>
          <w:bCs/>
          <w:sz w:val="22"/>
          <w:szCs w:val="22"/>
        </w:rPr>
        <w:t xml:space="preserve">24 </w:t>
      </w:r>
      <w:r w:rsidRPr="00D85F46">
        <w:rPr>
          <w:b/>
          <w:bCs/>
          <w:sz w:val="22"/>
          <w:szCs w:val="22"/>
        </w:rPr>
        <w:t>- Operating Segments (cont’d)</w:t>
      </w:r>
    </w:p>
    <w:p w14:paraId="4CBD0989" w14:textId="0B23B021" w:rsidR="00B271C5" w:rsidRDefault="00B271C5">
      <w:pPr>
        <w:ind w:left="720"/>
        <w:rPr>
          <w:rStyle w:val="Koteret"/>
          <w:b w:val="0"/>
          <w:bCs/>
          <w:i/>
          <w:iCs/>
        </w:rPr>
      </w:pPr>
    </w:p>
    <w:p w14:paraId="64103BF2" w14:textId="77777777" w:rsidR="00161844" w:rsidRDefault="00161844" w:rsidP="00161844">
      <w:pPr>
        <w:rPr>
          <w:rStyle w:val="Koteret"/>
          <w:b w:val="0"/>
          <w:bCs/>
          <w:i/>
          <w:iCs/>
        </w:rPr>
      </w:pPr>
      <w:r w:rsidRPr="0076385F">
        <w:rPr>
          <w:rStyle w:val="Koteret"/>
          <w:b w:val="0"/>
          <w:bCs/>
          <w:i/>
          <w:iCs/>
        </w:rPr>
        <w:t>In thousands of Euros</w:t>
      </w:r>
    </w:p>
    <w:p w14:paraId="07F9E17D" w14:textId="6212E00B" w:rsidR="00E35864" w:rsidRDefault="00E35864" w:rsidP="00210130">
      <w:pPr>
        <w:rPr>
          <w:color w:val="000000"/>
          <w:sz w:val="20"/>
        </w:rPr>
      </w:pPr>
    </w:p>
    <w:p w14:paraId="20B3160C" w14:textId="77777777" w:rsidR="00A95416" w:rsidRDefault="00A95416" w:rsidP="00A95416">
      <w:pPr>
        <w:rPr>
          <w:rStyle w:val="Koteret"/>
          <w:b w:val="0"/>
          <w:bCs/>
          <w:i/>
          <w:iCs/>
        </w:rPr>
      </w:pPr>
      <w:r w:rsidRPr="0076385F">
        <w:rPr>
          <w:rStyle w:val="Koteret"/>
          <w:b w:val="0"/>
          <w:bCs/>
          <w:i/>
          <w:iCs/>
        </w:rPr>
        <w:t>In thousands of Euros</w:t>
      </w:r>
    </w:p>
    <w:tbl>
      <w:tblPr>
        <w:tblW w:w="14570" w:type="dxa"/>
        <w:tblLayout w:type="fixed"/>
        <w:tblLook w:val="06A0" w:firstRow="1" w:lastRow="0" w:firstColumn="1" w:lastColumn="0" w:noHBand="1" w:noVBand="1"/>
        <w:tblCaption w:val="AHR02"/>
        <w:tblDescription w:val="Operating Segments previoys year"/>
      </w:tblPr>
      <w:tblGrid>
        <w:gridCol w:w="4819"/>
        <w:gridCol w:w="1587"/>
        <w:gridCol w:w="1587"/>
        <w:gridCol w:w="1587"/>
        <w:gridCol w:w="1587"/>
        <w:gridCol w:w="1587"/>
        <w:gridCol w:w="1816"/>
      </w:tblGrid>
      <w:tr w:rsidR="005101BC" w14:paraId="567941C3" w14:textId="77777777" w:rsidTr="005101BC">
        <w:trPr>
          <w:cantSplit/>
          <w:trHeight w:val="280"/>
          <w:tblHeader/>
        </w:trPr>
        <w:tc>
          <w:tcPr>
            <w:tcW w:w="4819" w:type="dxa"/>
            <w:vMerge w:val="restart"/>
            <w:shd w:val="clear" w:color="auto" w:fill="auto"/>
            <w:vAlign w:val="bottom"/>
            <w:hideMark/>
          </w:tcPr>
          <w:p w14:paraId="11618628" w14:textId="77777777" w:rsidR="005101BC" w:rsidRDefault="005101BC" w:rsidP="00327BFD">
            <w:pPr>
              <w:spacing w:before="40"/>
              <w:rPr>
                <w:rFonts w:ascii="Arial" w:eastAsia="Arial" w:hAnsi="Arial" w:cs="Arial"/>
                <w:sz w:val="22"/>
              </w:rPr>
            </w:pPr>
          </w:p>
        </w:tc>
        <w:tc>
          <w:tcPr>
            <w:tcW w:w="9751" w:type="dxa"/>
            <w:gridSpan w:val="6"/>
            <w:shd w:val="clear" w:color="auto" w:fill="auto"/>
            <w:noWrap/>
            <w:vAlign w:val="bottom"/>
            <w:hideMark/>
          </w:tcPr>
          <w:p w14:paraId="65645E0F" w14:textId="77777777" w:rsidR="005101BC" w:rsidRPr="00E57D86" w:rsidRDefault="005101BC" w:rsidP="00327BFD">
            <w:pPr>
              <w:pBdr>
                <w:bottom w:val="single" w:sz="4" w:space="0" w:color="000000"/>
              </w:pBdr>
              <w:bidi/>
              <w:spacing w:before="40"/>
              <w:ind w:left="57"/>
              <w:jc w:val="center"/>
              <w:rPr>
                <w:b/>
                <w:bCs/>
                <w:sz w:val="16"/>
                <w:lang w:bidi="he-IL"/>
              </w:rPr>
            </w:pPr>
            <w:r w:rsidRPr="00E57D86">
              <w:rPr>
                <w:b/>
                <w:bCs/>
                <w:color w:val="000000"/>
                <w:sz w:val="20"/>
              </w:rPr>
              <w:t xml:space="preserve">For the year ended </w:t>
            </w:r>
            <w:proofErr w:type="gramStart"/>
            <w:r>
              <w:rPr>
                <w:b/>
                <w:bCs/>
                <w:color w:val="000000"/>
                <w:sz w:val="20"/>
              </w:rPr>
              <w:t>at</w:t>
            </w:r>
            <w:proofErr w:type="gramEnd"/>
            <w:r>
              <w:rPr>
                <w:b/>
                <w:bCs/>
                <w:color w:val="000000"/>
                <w:sz w:val="20"/>
              </w:rPr>
              <w:t xml:space="preserve"> </w:t>
            </w:r>
            <w:r w:rsidRPr="00E57D86">
              <w:rPr>
                <w:b/>
                <w:bCs/>
                <w:color w:val="000000"/>
                <w:sz w:val="20"/>
              </w:rPr>
              <w:t xml:space="preserve">December 31, </w:t>
            </w:r>
            <w:r>
              <w:rPr>
                <w:b/>
                <w:bCs/>
                <w:color w:val="000000"/>
                <w:sz w:val="20"/>
                <w:lang w:bidi="he-IL"/>
              </w:rPr>
              <w:t>2022</w:t>
            </w:r>
          </w:p>
        </w:tc>
      </w:tr>
      <w:tr w:rsidR="005101BC" w14:paraId="3865A14B" w14:textId="77777777" w:rsidTr="005101BC">
        <w:trPr>
          <w:cantSplit/>
          <w:trHeight w:val="280"/>
          <w:tblHeader/>
        </w:trPr>
        <w:tc>
          <w:tcPr>
            <w:tcW w:w="4819" w:type="dxa"/>
            <w:vMerge/>
            <w:shd w:val="clear" w:color="auto" w:fill="auto"/>
            <w:vAlign w:val="bottom"/>
            <w:hideMark/>
          </w:tcPr>
          <w:p w14:paraId="04DCA74A" w14:textId="77777777" w:rsidR="005101BC" w:rsidRDefault="005101BC" w:rsidP="00327BFD">
            <w:pPr>
              <w:spacing w:before="40"/>
              <w:rPr>
                <w:rFonts w:ascii="Arial" w:eastAsia="Arial" w:hAnsi="Arial" w:cs="Arial"/>
                <w:sz w:val="22"/>
              </w:rPr>
            </w:pPr>
          </w:p>
        </w:tc>
        <w:tc>
          <w:tcPr>
            <w:tcW w:w="1587" w:type="dxa"/>
            <w:shd w:val="clear" w:color="auto" w:fill="auto"/>
            <w:vAlign w:val="bottom"/>
            <w:hideMark/>
          </w:tcPr>
          <w:p w14:paraId="200A865F" w14:textId="77777777" w:rsidR="005101BC" w:rsidRPr="007F692C" w:rsidRDefault="005101BC" w:rsidP="00327BFD">
            <w:pPr>
              <w:pBdr>
                <w:bottom w:val="single" w:sz="4" w:space="0" w:color="000000"/>
              </w:pBdr>
              <w:spacing w:before="40"/>
              <w:jc w:val="center"/>
              <w:rPr>
                <w:b/>
                <w:bCs/>
                <w:sz w:val="20"/>
              </w:rPr>
            </w:pPr>
            <w:r w:rsidRPr="007F692C">
              <w:rPr>
                <w:b/>
                <w:bCs/>
                <w:color w:val="000000"/>
                <w:sz w:val="20"/>
              </w:rPr>
              <w:t>Czech Republic</w:t>
            </w:r>
          </w:p>
        </w:tc>
        <w:tc>
          <w:tcPr>
            <w:tcW w:w="1587" w:type="dxa"/>
            <w:shd w:val="clear" w:color="auto" w:fill="auto"/>
            <w:noWrap/>
            <w:vAlign w:val="bottom"/>
            <w:hideMark/>
          </w:tcPr>
          <w:p w14:paraId="4ED19EBC" w14:textId="77777777" w:rsidR="005101BC" w:rsidRPr="007F692C" w:rsidRDefault="005101BC" w:rsidP="00327BFD">
            <w:pPr>
              <w:pBdr>
                <w:bottom w:val="single" w:sz="4" w:space="0" w:color="000000"/>
              </w:pBdr>
              <w:spacing w:before="40"/>
              <w:jc w:val="center"/>
              <w:rPr>
                <w:b/>
                <w:bCs/>
                <w:sz w:val="20"/>
              </w:rPr>
            </w:pPr>
            <w:r w:rsidRPr="007F692C">
              <w:rPr>
                <w:b/>
                <w:bCs/>
                <w:color w:val="000000"/>
                <w:sz w:val="20"/>
              </w:rPr>
              <w:t>Serbia</w:t>
            </w:r>
          </w:p>
        </w:tc>
        <w:tc>
          <w:tcPr>
            <w:tcW w:w="1587" w:type="dxa"/>
            <w:shd w:val="clear" w:color="auto" w:fill="auto"/>
            <w:noWrap/>
            <w:vAlign w:val="bottom"/>
            <w:hideMark/>
          </w:tcPr>
          <w:p w14:paraId="5AC3834A" w14:textId="77777777" w:rsidR="005101BC" w:rsidRPr="007F692C" w:rsidRDefault="005101BC" w:rsidP="00327BFD">
            <w:pPr>
              <w:pBdr>
                <w:bottom w:val="single" w:sz="4" w:space="0" w:color="000000"/>
              </w:pBdr>
              <w:spacing w:before="40"/>
              <w:jc w:val="center"/>
              <w:rPr>
                <w:b/>
                <w:bCs/>
                <w:sz w:val="20"/>
              </w:rPr>
            </w:pPr>
            <w:r w:rsidRPr="007F692C">
              <w:rPr>
                <w:b/>
                <w:bCs/>
                <w:color w:val="000000"/>
                <w:sz w:val="20"/>
              </w:rPr>
              <w:t>Romania</w:t>
            </w:r>
          </w:p>
        </w:tc>
        <w:tc>
          <w:tcPr>
            <w:tcW w:w="1587" w:type="dxa"/>
            <w:shd w:val="clear" w:color="auto" w:fill="auto"/>
            <w:noWrap/>
            <w:vAlign w:val="bottom"/>
            <w:hideMark/>
          </w:tcPr>
          <w:p w14:paraId="1990846D" w14:textId="77777777" w:rsidR="005101BC" w:rsidRPr="007F692C" w:rsidRDefault="005101BC" w:rsidP="00327BFD">
            <w:pPr>
              <w:pBdr>
                <w:bottom w:val="single" w:sz="4" w:space="0" w:color="000000"/>
              </w:pBdr>
              <w:spacing w:before="40"/>
              <w:jc w:val="center"/>
              <w:rPr>
                <w:b/>
                <w:bCs/>
                <w:sz w:val="20"/>
              </w:rPr>
            </w:pPr>
            <w:r w:rsidRPr="007F692C">
              <w:rPr>
                <w:b/>
                <w:bCs/>
                <w:color w:val="000000"/>
                <w:sz w:val="20"/>
              </w:rPr>
              <w:t>Poland</w:t>
            </w:r>
          </w:p>
        </w:tc>
        <w:tc>
          <w:tcPr>
            <w:tcW w:w="1587" w:type="dxa"/>
            <w:shd w:val="clear" w:color="auto" w:fill="auto"/>
            <w:vAlign w:val="bottom"/>
            <w:hideMark/>
          </w:tcPr>
          <w:p w14:paraId="58351B91" w14:textId="77777777" w:rsidR="005101BC" w:rsidRPr="007F692C" w:rsidRDefault="005101BC" w:rsidP="00327BFD">
            <w:pPr>
              <w:pBdr>
                <w:bottom w:val="single" w:sz="4" w:space="0" w:color="000000"/>
              </w:pBdr>
              <w:spacing w:before="40"/>
              <w:jc w:val="center"/>
              <w:rPr>
                <w:b/>
                <w:bCs/>
                <w:sz w:val="20"/>
              </w:rPr>
            </w:pPr>
            <w:r w:rsidRPr="007F692C">
              <w:rPr>
                <w:b/>
                <w:bCs/>
                <w:color w:val="000000"/>
                <w:sz w:val="20"/>
              </w:rPr>
              <w:t>Other regions</w:t>
            </w:r>
          </w:p>
        </w:tc>
        <w:tc>
          <w:tcPr>
            <w:tcW w:w="1816" w:type="dxa"/>
            <w:shd w:val="clear" w:color="auto" w:fill="auto"/>
            <w:vAlign w:val="bottom"/>
            <w:hideMark/>
          </w:tcPr>
          <w:p w14:paraId="086F7EF1" w14:textId="77777777" w:rsidR="005101BC" w:rsidRPr="007F692C" w:rsidRDefault="005101BC" w:rsidP="00327BFD">
            <w:pPr>
              <w:pBdr>
                <w:bottom w:val="single" w:sz="4" w:space="0" w:color="000000"/>
              </w:pBdr>
              <w:spacing w:before="40"/>
              <w:jc w:val="center"/>
              <w:rPr>
                <w:b/>
                <w:bCs/>
                <w:sz w:val="20"/>
              </w:rPr>
            </w:pPr>
            <w:r w:rsidRPr="007F692C">
              <w:rPr>
                <w:b/>
                <w:bCs/>
                <w:color w:val="000000"/>
                <w:sz w:val="20"/>
              </w:rPr>
              <w:t>Total consolidated</w:t>
            </w:r>
          </w:p>
        </w:tc>
      </w:tr>
      <w:tr w:rsidR="00A95416" w14:paraId="08237980" w14:textId="77777777" w:rsidTr="005101BC">
        <w:trPr>
          <w:trHeight w:val="280"/>
        </w:trPr>
        <w:tc>
          <w:tcPr>
            <w:tcW w:w="4819" w:type="dxa"/>
            <w:shd w:val="clear" w:color="auto" w:fill="auto"/>
            <w:vAlign w:val="bottom"/>
            <w:hideMark/>
          </w:tcPr>
          <w:p w14:paraId="2DE98780" w14:textId="77777777" w:rsidR="00A95416" w:rsidRPr="00E43187" w:rsidRDefault="00A95416" w:rsidP="00327BFD">
            <w:pPr>
              <w:spacing w:before="40"/>
              <w:rPr>
                <w:color w:val="000000"/>
                <w:sz w:val="20"/>
              </w:rPr>
            </w:pPr>
            <w:r>
              <w:rPr>
                <w:color w:val="000000"/>
                <w:sz w:val="20"/>
              </w:rPr>
              <w:t>Income from external customers:</w:t>
            </w:r>
          </w:p>
        </w:tc>
        <w:tc>
          <w:tcPr>
            <w:tcW w:w="1587" w:type="dxa"/>
            <w:shd w:val="clear" w:color="auto" w:fill="auto"/>
            <w:noWrap/>
            <w:vAlign w:val="bottom"/>
          </w:tcPr>
          <w:p w14:paraId="72FFF763" w14:textId="77777777" w:rsidR="00A95416" w:rsidRPr="00E43187" w:rsidRDefault="00A95416" w:rsidP="00327BFD">
            <w:pPr>
              <w:spacing w:before="40"/>
              <w:jc w:val="right"/>
              <w:rPr>
                <w:color w:val="000000"/>
                <w:sz w:val="20"/>
              </w:rPr>
            </w:pPr>
          </w:p>
        </w:tc>
        <w:tc>
          <w:tcPr>
            <w:tcW w:w="1587" w:type="dxa"/>
            <w:shd w:val="clear" w:color="auto" w:fill="auto"/>
            <w:noWrap/>
            <w:vAlign w:val="bottom"/>
          </w:tcPr>
          <w:p w14:paraId="60C29284" w14:textId="77777777" w:rsidR="00A95416" w:rsidRPr="00E43187" w:rsidRDefault="00A95416" w:rsidP="00327BFD">
            <w:pPr>
              <w:spacing w:before="40"/>
              <w:jc w:val="right"/>
              <w:rPr>
                <w:color w:val="000000"/>
                <w:sz w:val="20"/>
              </w:rPr>
            </w:pPr>
          </w:p>
        </w:tc>
        <w:tc>
          <w:tcPr>
            <w:tcW w:w="1587" w:type="dxa"/>
            <w:shd w:val="clear" w:color="auto" w:fill="auto"/>
            <w:noWrap/>
            <w:vAlign w:val="bottom"/>
          </w:tcPr>
          <w:p w14:paraId="237BAE0B" w14:textId="77777777" w:rsidR="00A95416" w:rsidRPr="00E43187" w:rsidRDefault="00A95416" w:rsidP="00327BFD">
            <w:pPr>
              <w:spacing w:before="40"/>
              <w:jc w:val="right"/>
              <w:rPr>
                <w:color w:val="000000"/>
                <w:sz w:val="20"/>
              </w:rPr>
            </w:pPr>
          </w:p>
        </w:tc>
        <w:tc>
          <w:tcPr>
            <w:tcW w:w="1587" w:type="dxa"/>
            <w:shd w:val="clear" w:color="auto" w:fill="auto"/>
            <w:noWrap/>
            <w:vAlign w:val="bottom"/>
          </w:tcPr>
          <w:p w14:paraId="5AD09889" w14:textId="77777777" w:rsidR="00A95416" w:rsidRPr="00E43187" w:rsidRDefault="00A95416" w:rsidP="00327BFD">
            <w:pPr>
              <w:spacing w:before="40"/>
              <w:jc w:val="right"/>
              <w:rPr>
                <w:color w:val="000000"/>
                <w:sz w:val="20"/>
              </w:rPr>
            </w:pPr>
          </w:p>
        </w:tc>
        <w:tc>
          <w:tcPr>
            <w:tcW w:w="1587" w:type="dxa"/>
            <w:shd w:val="clear" w:color="auto" w:fill="auto"/>
            <w:noWrap/>
            <w:vAlign w:val="bottom"/>
          </w:tcPr>
          <w:p w14:paraId="0F78B6FC" w14:textId="77777777" w:rsidR="00A95416" w:rsidRPr="00E43187" w:rsidRDefault="00A95416" w:rsidP="00327BFD">
            <w:pPr>
              <w:spacing w:before="40"/>
              <w:jc w:val="right"/>
              <w:rPr>
                <w:color w:val="000000"/>
                <w:sz w:val="20"/>
              </w:rPr>
            </w:pPr>
          </w:p>
        </w:tc>
        <w:tc>
          <w:tcPr>
            <w:tcW w:w="1816" w:type="dxa"/>
            <w:shd w:val="clear" w:color="auto" w:fill="auto"/>
            <w:noWrap/>
            <w:vAlign w:val="bottom"/>
          </w:tcPr>
          <w:p w14:paraId="251094A6" w14:textId="77777777" w:rsidR="00A95416" w:rsidRPr="00E43187" w:rsidRDefault="00A95416" w:rsidP="00327BFD">
            <w:pPr>
              <w:spacing w:before="40"/>
              <w:jc w:val="right"/>
              <w:rPr>
                <w:color w:val="000000"/>
                <w:sz w:val="20"/>
              </w:rPr>
            </w:pPr>
          </w:p>
        </w:tc>
      </w:tr>
      <w:tr w:rsidR="00A95416" w14:paraId="6E29AA3A" w14:textId="77777777" w:rsidTr="005101BC">
        <w:trPr>
          <w:trHeight w:val="280"/>
        </w:trPr>
        <w:tc>
          <w:tcPr>
            <w:tcW w:w="4819" w:type="dxa"/>
            <w:shd w:val="clear" w:color="auto" w:fill="auto"/>
            <w:noWrap/>
            <w:vAlign w:val="bottom"/>
            <w:hideMark/>
          </w:tcPr>
          <w:p w14:paraId="53F8EB21" w14:textId="77777777" w:rsidR="00A95416" w:rsidRPr="00E43187" w:rsidRDefault="00A95416" w:rsidP="00327BFD">
            <w:pPr>
              <w:spacing w:before="40"/>
              <w:rPr>
                <w:color w:val="000000"/>
                <w:sz w:val="20"/>
              </w:rPr>
            </w:pPr>
            <w:r>
              <w:rPr>
                <w:color w:val="000000"/>
                <w:sz w:val="20"/>
              </w:rPr>
              <w:t>Gross rental income</w:t>
            </w:r>
          </w:p>
        </w:tc>
        <w:tc>
          <w:tcPr>
            <w:tcW w:w="1587" w:type="dxa"/>
            <w:shd w:val="clear" w:color="auto" w:fill="auto"/>
            <w:noWrap/>
            <w:vAlign w:val="bottom"/>
          </w:tcPr>
          <w:p w14:paraId="0F6143B5" w14:textId="77777777" w:rsidR="00A95416" w:rsidRPr="00E43187" w:rsidRDefault="00A95416" w:rsidP="00327BFD">
            <w:pPr>
              <w:spacing w:before="40"/>
              <w:jc w:val="right"/>
              <w:rPr>
                <w:color w:val="000000"/>
                <w:sz w:val="20"/>
              </w:rPr>
            </w:pPr>
            <w:r w:rsidRPr="00E43187">
              <w:rPr>
                <w:color w:val="000000"/>
                <w:sz w:val="20"/>
              </w:rPr>
              <w:t>18,598</w:t>
            </w:r>
          </w:p>
        </w:tc>
        <w:tc>
          <w:tcPr>
            <w:tcW w:w="1587" w:type="dxa"/>
            <w:shd w:val="clear" w:color="auto" w:fill="auto"/>
            <w:noWrap/>
            <w:vAlign w:val="bottom"/>
          </w:tcPr>
          <w:p w14:paraId="216F2DC1" w14:textId="77777777" w:rsidR="00A95416" w:rsidRPr="00E43187" w:rsidRDefault="00A95416" w:rsidP="00327BFD">
            <w:pPr>
              <w:spacing w:before="40"/>
              <w:jc w:val="right"/>
              <w:rPr>
                <w:color w:val="000000"/>
                <w:sz w:val="20"/>
              </w:rPr>
            </w:pPr>
            <w:r w:rsidRPr="00E43187">
              <w:rPr>
                <w:color w:val="000000"/>
                <w:sz w:val="20"/>
              </w:rPr>
              <w:t>22,477</w:t>
            </w:r>
          </w:p>
        </w:tc>
        <w:tc>
          <w:tcPr>
            <w:tcW w:w="1587" w:type="dxa"/>
            <w:shd w:val="clear" w:color="auto" w:fill="auto"/>
            <w:noWrap/>
            <w:vAlign w:val="bottom"/>
          </w:tcPr>
          <w:p w14:paraId="413B0507" w14:textId="77777777" w:rsidR="00A95416" w:rsidRPr="00E43187" w:rsidRDefault="00A95416" w:rsidP="00327BFD">
            <w:pPr>
              <w:spacing w:before="40"/>
              <w:jc w:val="right"/>
              <w:rPr>
                <w:color w:val="000000"/>
                <w:sz w:val="20"/>
              </w:rPr>
            </w:pPr>
            <w:r w:rsidRPr="00E43187">
              <w:rPr>
                <w:color w:val="000000"/>
                <w:sz w:val="20"/>
              </w:rPr>
              <w:t>90,280</w:t>
            </w:r>
          </w:p>
        </w:tc>
        <w:tc>
          <w:tcPr>
            <w:tcW w:w="1587" w:type="dxa"/>
            <w:shd w:val="clear" w:color="auto" w:fill="auto"/>
            <w:noWrap/>
            <w:vAlign w:val="bottom"/>
          </w:tcPr>
          <w:p w14:paraId="103CB510" w14:textId="77777777" w:rsidR="00A95416" w:rsidRPr="00E43187" w:rsidRDefault="00A95416" w:rsidP="00327BFD">
            <w:pPr>
              <w:spacing w:before="40"/>
              <w:jc w:val="right"/>
              <w:rPr>
                <w:color w:val="000000"/>
                <w:sz w:val="20"/>
              </w:rPr>
            </w:pPr>
            <w:r w:rsidRPr="00E43187">
              <w:rPr>
                <w:color w:val="000000"/>
                <w:sz w:val="20"/>
              </w:rPr>
              <w:t>10,717</w:t>
            </w:r>
          </w:p>
        </w:tc>
        <w:tc>
          <w:tcPr>
            <w:tcW w:w="1587" w:type="dxa"/>
            <w:shd w:val="clear" w:color="auto" w:fill="auto"/>
            <w:noWrap/>
            <w:vAlign w:val="bottom"/>
          </w:tcPr>
          <w:p w14:paraId="03FAE049" w14:textId="77777777" w:rsidR="00A95416" w:rsidRPr="00E43187" w:rsidRDefault="00A95416" w:rsidP="00327BFD">
            <w:pPr>
              <w:spacing w:before="40"/>
              <w:jc w:val="right"/>
              <w:rPr>
                <w:color w:val="000000"/>
                <w:sz w:val="20"/>
              </w:rPr>
            </w:pPr>
            <w:r w:rsidRPr="00E43187">
              <w:rPr>
                <w:color w:val="000000"/>
                <w:sz w:val="20"/>
              </w:rPr>
              <w:t>1,482</w:t>
            </w:r>
          </w:p>
        </w:tc>
        <w:tc>
          <w:tcPr>
            <w:tcW w:w="1816" w:type="dxa"/>
            <w:shd w:val="clear" w:color="auto" w:fill="auto"/>
            <w:noWrap/>
            <w:vAlign w:val="bottom"/>
          </w:tcPr>
          <w:p w14:paraId="4A7B1035" w14:textId="77777777" w:rsidR="00A95416" w:rsidRPr="00E43187" w:rsidRDefault="00A95416" w:rsidP="00327BFD">
            <w:pPr>
              <w:spacing w:before="40"/>
              <w:jc w:val="right"/>
              <w:rPr>
                <w:color w:val="000000"/>
                <w:sz w:val="20"/>
              </w:rPr>
            </w:pPr>
            <w:r w:rsidRPr="00E43187">
              <w:rPr>
                <w:color w:val="000000"/>
                <w:sz w:val="20"/>
              </w:rPr>
              <w:t>143,554</w:t>
            </w:r>
          </w:p>
        </w:tc>
      </w:tr>
      <w:tr w:rsidR="00A95416" w14:paraId="5DB6E1AE" w14:textId="77777777" w:rsidTr="005101BC">
        <w:trPr>
          <w:trHeight w:val="280"/>
        </w:trPr>
        <w:tc>
          <w:tcPr>
            <w:tcW w:w="4819" w:type="dxa"/>
            <w:shd w:val="clear" w:color="auto" w:fill="auto"/>
            <w:noWrap/>
            <w:vAlign w:val="bottom"/>
            <w:hideMark/>
          </w:tcPr>
          <w:p w14:paraId="4F745F44" w14:textId="77777777" w:rsidR="00A95416" w:rsidRPr="00E43187" w:rsidRDefault="00A95416" w:rsidP="00327BFD">
            <w:pPr>
              <w:spacing w:before="40"/>
              <w:rPr>
                <w:color w:val="000000"/>
                <w:sz w:val="20"/>
              </w:rPr>
            </w:pPr>
            <w:r w:rsidRPr="00F77708">
              <w:rPr>
                <w:color w:val="000000"/>
                <w:sz w:val="20"/>
              </w:rPr>
              <w:t>Proceeds from sale of trading property</w:t>
            </w:r>
          </w:p>
        </w:tc>
        <w:tc>
          <w:tcPr>
            <w:tcW w:w="1587" w:type="dxa"/>
            <w:shd w:val="clear" w:color="auto" w:fill="auto"/>
            <w:noWrap/>
            <w:vAlign w:val="bottom"/>
          </w:tcPr>
          <w:p w14:paraId="3E7798A2" w14:textId="77777777" w:rsidR="00A95416" w:rsidRPr="00E43187" w:rsidRDefault="00A95416" w:rsidP="00327BFD">
            <w:pPr>
              <w:spacing w:before="40"/>
              <w:jc w:val="right"/>
              <w:rPr>
                <w:color w:val="000000"/>
                <w:sz w:val="20"/>
              </w:rPr>
            </w:pPr>
            <w:r w:rsidRPr="00E43187">
              <w:rPr>
                <w:color w:val="000000"/>
                <w:sz w:val="20"/>
              </w:rPr>
              <w:t>3,154</w:t>
            </w:r>
          </w:p>
        </w:tc>
        <w:tc>
          <w:tcPr>
            <w:tcW w:w="1587" w:type="dxa"/>
            <w:shd w:val="clear" w:color="auto" w:fill="auto"/>
            <w:noWrap/>
            <w:vAlign w:val="bottom"/>
          </w:tcPr>
          <w:p w14:paraId="0D274C08" w14:textId="77777777" w:rsidR="00A95416" w:rsidRPr="00E43187" w:rsidRDefault="00A95416" w:rsidP="00327BFD">
            <w:pPr>
              <w:spacing w:before="40"/>
              <w:jc w:val="right"/>
              <w:rPr>
                <w:color w:val="000000"/>
                <w:sz w:val="20"/>
              </w:rPr>
            </w:pPr>
            <w:r w:rsidRPr="00E43187">
              <w:rPr>
                <w:color w:val="000000"/>
                <w:sz w:val="20"/>
              </w:rPr>
              <w:t>3,510</w:t>
            </w:r>
          </w:p>
        </w:tc>
        <w:tc>
          <w:tcPr>
            <w:tcW w:w="1587" w:type="dxa"/>
            <w:shd w:val="clear" w:color="auto" w:fill="auto"/>
            <w:noWrap/>
            <w:vAlign w:val="bottom"/>
          </w:tcPr>
          <w:p w14:paraId="379C85D4" w14:textId="77777777" w:rsidR="00A95416" w:rsidRPr="00E43187" w:rsidRDefault="00A95416" w:rsidP="00327BFD">
            <w:pPr>
              <w:spacing w:before="40"/>
              <w:jc w:val="right"/>
              <w:rPr>
                <w:color w:val="000000"/>
                <w:sz w:val="20"/>
              </w:rPr>
            </w:pPr>
            <w:r w:rsidRPr="00E43187">
              <w:rPr>
                <w:color w:val="000000"/>
                <w:sz w:val="20"/>
              </w:rPr>
              <w:t>123</w:t>
            </w:r>
          </w:p>
        </w:tc>
        <w:tc>
          <w:tcPr>
            <w:tcW w:w="1587" w:type="dxa"/>
            <w:shd w:val="clear" w:color="auto" w:fill="auto"/>
            <w:noWrap/>
            <w:vAlign w:val="bottom"/>
          </w:tcPr>
          <w:p w14:paraId="0AC6F554" w14:textId="77777777" w:rsidR="00A95416" w:rsidRPr="00E43187" w:rsidRDefault="00A95416" w:rsidP="00327BFD">
            <w:pPr>
              <w:spacing w:before="40"/>
              <w:jc w:val="right"/>
              <w:rPr>
                <w:color w:val="000000"/>
                <w:sz w:val="20"/>
              </w:rPr>
            </w:pPr>
            <w:r w:rsidRPr="00E43187">
              <w:rPr>
                <w:color w:val="000000"/>
                <w:sz w:val="20"/>
              </w:rPr>
              <w:t>503</w:t>
            </w:r>
          </w:p>
        </w:tc>
        <w:tc>
          <w:tcPr>
            <w:tcW w:w="1587" w:type="dxa"/>
            <w:shd w:val="clear" w:color="auto" w:fill="auto"/>
            <w:noWrap/>
            <w:vAlign w:val="bottom"/>
          </w:tcPr>
          <w:p w14:paraId="0DBE4CCB" w14:textId="77777777" w:rsidR="00A95416" w:rsidRPr="00E43187" w:rsidRDefault="00A95416" w:rsidP="00327BFD">
            <w:pPr>
              <w:spacing w:before="40"/>
              <w:jc w:val="right"/>
              <w:rPr>
                <w:color w:val="000000"/>
                <w:sz w:val="20"/>
              </w:rPr>
            </w:pPr>
            <w:r w:rsidRPr="00E43187">
              <w:rPr>
                <w:color w:val="000000"/>
                <w:sz w:val="20"/>
              </w:rPr>
              <w:t>13,018</w:t>
            </w:r>
          </w:p>
        </w:tc>
        <w:tc>
          <w:tcPr>
            <w:tcW w:w="1816" w:type="dxa"/>
            <w:shd w:val="clear" w:color="auto" w:fill="auto"/>
            <w:noWrap/>
            <w:vAlign w:val="bottom"/>
          </w:tcPr>
          <w:p w14:paraId="5894C0D7" w14:textId="77777777" w:rsidR="00A95416" w:rsidRPr="00E43187" w:rsidRDefault="00A95416" w:rsidP="00327BFD">
            <w:pPr>
              <w:spacing w:before="40"/>
              <w:jc w:val="right"/>
              <w:rPr>
                <w:color w:val="000000"/>
                <w:sz w:val="20"/>
              </w:rPr>
            </w:pPr>
            <w:r w:rsidRPr="00E43187">
              <w:rPr>
                <w:color w:val="000000"/>
                <w:sz w:val="20"/>
              </w:rPr>
              <w:t>20,308</w:t>
            </w:r>
          </w:p>
        </w:tc>
      </w:tr>
      <w:tr w:rsidR="00A95416" w14:paraId="667F7F29" w14:textId="77777777" w:rsidTr="005101BC">
        <w:trPr>
          <w:trHeight w:val="280"/>
        </w:trPr>
        <w:tc>
          <w:tcPr>
            <w:tcW w:w="4819" w:type="dxa"/>
            <w:shd w:val="clear" w:color="auto" w:fill="auto"/>
            <w:vAlign w:val="bottom"/>
            <w:hideMark/>
          </w:tcPr>
          <w:p w14:paraId="4BFCA76D" w14:textId="77777777" w:rsidR="00A95416" w:rsidRPr="00E43187" w:rsidRDefault="00A95416" w:rsidP="00327BFD">
            <w:pPr>
              <w:spacing w:before="40"/>
              <w:rPr>
                <w:color w:val="000000"/>
                <w:sz w:val="20"/>
              </w:rPr>
            </w:pPr>
            <w:r>
              <w:rPr>
                <w:color w:val="000000"/>
                <w:sz w:val="20"/>
              </w:rPr>
              <w:t>Service charge income</w:t>
            </w:r>
          </w:p>
        </w:tc>
        <w:tc>
          <w:tcPr>
            <w:tcW w:w="1587" w:type="dxa"/>
            <w:shd w:val="clear" w:color="auto" w:fill="auto"/>
            <w:noWrap/>
            <w:vAlign w:val="bottom"/>
          </w:tcPr>
          <w:p w14:paraId="36AFEAEC" w14:textId="77777777" w:rsidR="00A95416" w:rsidRPr="00E43187" w:rsidRDefault="00A95416" w:rsidP="00327BFD">
            <w:pPr>
              <w:spacing w:before="40"/>
              <w:jc w:val="right"/>
              <w:rPr>
                <w:color w:val="000000"/>
                <w:sz w:val="20"/>
              </w:rPr>
            </w:pPr>
            <w:r w:rsidRPr="00E43187">
              <w:rPr>
                <w:color w:val="000000"/>
                <w:sz w:val="20"/>
              </w:rPr>
              <w:t>6,718</w:t>
            </w:r>
          </w:p>
        </w:tc>
        <w:tc>
          <w:tcPr>
            <w:tcW w:w="1587" w:type="dxa"/>
            <w:shd w:val="clear" w:color="auto" w:fill="auto"/>
            <w:noWrap/>
            <w:vAlign w:val="bottom"/>
          </w:tcPr>
          <w:p w14:paraId="15D42FE9" w14:textId="77777777" w:rsidR="00A95416" w:rsidRPr="00E43187" w:rsidRDefault="00A95416" w:rsidP="00327BFD">
            <w:pPr>
              <w:spacing w:before="40"/>
              <w:jc w:val="right"/>
              <w:rPr>
                <w:color w:val="000000"/>
                <w:sz w:val="20"/>
              </w:rPr>
            </w:pPr>
            <w:r w:rsidRPr="00E43187">
              <w:rPr>
                <w:color w:val="000000"/>
                <w:sz w:val="20"/>
              </w:rPr>
              <w:t>7,404</w:t>
            </w:r>
          </w:p>
        </w:tc>
        <w:tc>
          <w:tcPr>
            <w:tcW w:w="1587" w:type="dxa"/>
            <w:shd w:val="clear" w:color="auto" w:fill="auto"/>
            <w:noWrap/>
            <w:vAlign w:val="bottom"/>
          </w:tcPr>
          <w:p w14:paraId="083EBEC3" w14:textId="77777777" w:rsidR="00A95416" w:rsidRPr="00E43187" w:rsidRDefault="00A95416" w:rsidP="00327BFD">
            <w:pPr>
              <w:spacing w:before="40"/>
              <w:jc w:val="right"/>
              <w:rPr>
                <w:color w:val="000000"/>
                <w:sz w:val="20"/>
              </w:rPr>
            </w:pPr>
            <w:r w:rsidRPr="00E43187">
              <w:rPr>
                <w:color w:val="000000"/>
                <w:sz w:val="20"/>
              </w:rPr>
              <w:t>45,741</w:t>
            </w:r>
          </w:p>
        </w:tc>
        <w:tc>
          <w:tcPr>
            <w:tcW w:w="1587" w:type="dxa"/>
            <w:shd w:val="clear" w:color="auto" w:fill="auto"/>
            <w:noWrap/>
            <w:vAlign w:val="bottom"/>
          </w:tcPr>
          <w:p w14:paraId="6A28EC65" w14:textId="77777777" w:rsidR="00A95416" w:rsidRPr="00E43187" w:rsidRDefault="00A95416" w:rsidP="00327BFD">
            <w:pPr>
              <w:spacing w:before="40"/>
              <w:jc w:val="right"/>
              <w:rPr>
                <w:color w:val="000000"/>
                <w:sz w:val="20"/>
              </w:rPr>
            </w:pPr>
            <w:r w:rsidRPr="00E43187">
              <w:rPr>
                <w:color w:val="000000"/>
                <w:sz w:val="20"/>
              </w:rPr>
              <w:t>4,407</w:t>
            </w:r>
          </w:p>
        </w:tc>
        <w:tc>
          <w:tcPr>
            <w:tcW w:w="1587" w:type="dxa"/>
            <w:shd w:val="clear" w:color="auto" w:fill="auto"/>
            <w:noWrap/>
            <w:vAlign w:val="bottom"/>
          </w:tcPr>
          <w:p w14:paraId="3F01C951" w14:textId="77777777" w:rsidR="00A95416" w:rsidRPr="00E43187" w:rsidRDefault="00A95416" w:rsidP="00327BFD">
            <w:pPr>
              <w:spacing w:before="40"/>
              <w:jc w:val="right"/>
              <w:rPr>
                <w:color w:val="000000"/>
                <w:sz w:val="20"/>
              </w:rPr>
            </w:pPr>
            <w:r w:rsidRPr="00E43187">
              <w:rPr>
                <w:color w:val="000000"/>
                <w:sz w:val="20"/>
              </w:rPr>
              <w:t>732</w:t>
            </w:r>
          </w:p>
        </w:tc>
        <w:tc>
          <w:tcPr>
            <w:tcW w:w="1816" w:type="dxa"/>
            <w:shd w:val="clear" w:color="auto" w:fill="auto"/>
            <w:noWrap/>
            <w:vAlign w:val="bottom"/>
          </w:tcPr>
          <w:p w14:paraId="4294EE1C" w14:textId="77777777" w:rsidR="00A95416" w:rsidRPr="00E43187" w:rsidRDefault="00A95416" w:rsidP="00327BFD">
            <w:pPr>
              <w:spacing w:before="40"/>
              <w:jc w:val="right"/>
              <w:rPr>
                <w:color w:val="000000"/>
                <w:sz w:val="20"/>
              </w:rPr>
            </w:pPr>
            <w:r w:rsidRPr="00E43187">
              <w:rPr>
                <w:color w:val="000000"/>
                <w:sz w:val="20"/>
              </w:rPr>
              <w:t>65,002</w:t>
            </w:r>
          </w:p>
        </w:tc>
      </w:tr>
      <w:tr w:rsidR="00A95416" w14:paraId="6C2EF424" w14:textId="77777777" w:rsidTr="005101BC">
        <w:trPr>
          <w:trHeight w:val="280"/>
        </w:trPr>
        <w:tc>
          <w:tcPr>
            <w:tcW w:w="4819" w:type="dxa"/>
            <w:shd w:val="clear" w:color="auto" w:fill="auto"/>
            <w:vAlign w:val="bottom"/>
            <w:hideMark/>
          </w:tcPr>
          <w:p w14:paraId="443E43AD" w14:textId="77777777" w:rsidR="00A95416" w:rsidRPr="00E43187" w:rsidRDefault="00A95416" w:rsidP="00327BFD">
            <w:pPr>
              <w:spacing w:before="40"/>
              <w:rPr>
                <w:color w:val="000000"/>
                <w:sz w:val="20"/>
              </w:rPr>
            </w:pPr>
            <w:r>
              <w:rPr>
                <w:color w:val="000000"/>
                <w:sz w:val="20"/>
              </w:rPr>
              <w:t>Other</w:t>
            </w:r>
            <w:r w:rsidRPr="00E43187">
              <w:rPr>
                <w:color w:val="000000"/>
                <w:sz w:val="20"/>
              </w:rPr>
              <w:t xml:space="preserve"> income</w:t>
            </w:r>
          </w:p>
        </w:tc>
        <w:tc>
          <w:tcPr>
            <w:tcW w:w="1587" w:type="dxa"/>
            <w:shd w:val="clear" w:color="auto" w:fill="auto"/>
            <w:noWrap/>
            <w:vAlign w:val="bottom"/>
          </w:tcPr>
          <w:p w14:paraId="23B72063" w14:textId="77777777" w:rsidR="00A95416" w:rsidRPr="00E43187" w:rsidRDefault="00A95416" w:rsidP="00327BFD">
            <w:pPr>
              <w:pBdr>
                <w:bottom w:val="single" w:sz="4" w:space="0" w:color="000000"/>
              </w:pBdr>
              <w:spacing w:before="40"/>
              <w:jc w:val="right"/>
              <w:rPr>
                <w:color w:val="000000"/>
                <w:sz w:val="20"/>
              </w:rPr>
            </w:pPr>
            <w:r w:rsidRPr="00E43187">
              <w:rPr>
                <w:color w:val="000000"/>
                <w:sz w:val="20"/>
              </w:rPr>
              <w:t>464</w:t>
            </w:r>
          </w:p>
        </w:tc>
        <w:tc>
          <w:tcPr>
            <w:tcW w:w="1587" w:type="dxa"/>
            <w:shd w:val="clear" w:color="auto" w:fill="auto"/>
            <w:noWrap/>
            <w:vAlign w:val="bottom"/>
          </w:tcPr>
          <w:p w14:paraId="436235F4" w14:textId="77777777" w:rsidR="00A95416" w:rsidRPr="00E43187" w:rsidRDefault="00A95416" w:rsidP="00327BFD">
            <w:pPr>
              <w:pBdr>
                <w:bottom w:val="single" w:sz="4" w:space="0" w:color="000000"/>
              </w:pBdr>
              <w:spacing w:before="40"/>
              <w:jc w:val="right"/>
              <w:rPr>
                <w:color w:val="000000"/>
                <w:sz w:val="20"/>
              </w:rPr>
            </w:pPr>
            <w:r w:rsidRPr="00E43187">
              <w:rPr>
                <w:color w:val="000000"/>
                <w:sz w:val="20"/>
              </w:rPr>
              <w:t>490</w:t>
            </w:r>
          </w:p>
        </w:tc>
        <w:tc>
          <w:tcPr>
            <w:tcW w:w="1587" w:type="dxa"/>
            <w:shd w:val="clear" w:color="auto" w:fill="auto"/>
            <w:noWrap/>
            <w:vAlign w:val="bottom"/>
          </w:tcPr>
          <w:p w14:paraId="29BCB020" w14:textId="77777777" w:rsidR="00A95416" w:rsidRPr="00E43187" w:rsidRDefault="00A95416" w:rsidP="00327BFD">
            <w:pPr>
              <w:pBdr>
                <w:bottom w:val="single" w:sz="4" w:space="0" w:color="000000"/>
              </w:pBdr>
              <w:spacing w:before="40"/>
              <w:jc w:val="right"/>
              <w:rPr>
                <w:color w:val="000000"/>
                <w:sz w:val="20"/>
              </w:rPr>
            </w:pPr>
            <w:r w:rsidRPr="00E43187">
              <w:rPr>
                <w:color w:val="000000"/>
                <w:sz w:val="20"/>
              </w:rPr>
              <w:t>1,663</w:t>
            </w:r>
          </w:p>
        </w:tc>
        <w:tc>
          <w:tcPr>
            <w:tcW w:w="1587" w:type="dxa"/>
            <w:shd w:val="clear" w:color="auto" w:fill="auto"/>
            <w:noWrap/>
            <w:vAlign w:val="bottom"/>
          </w:tcPr>
          <w:p w14:paraId="46BD9756" w14:textId="77777777" w:rsidR="00A95416" w:rsidRPr="00E43187" w:rsidRDefault="00A95416" w:rsidP="00327BFD">
            <w:pPr>
              <w:pBdr>
                <w:bottom w:val="single" w:sz="4" w:space="0" w:color="000000"/>
              </w:pBdr>
              <w:spacing w:before="40"/>
              <w:jc w:val="right"/>
              <w:rPr>
                <w:color w:val="000000"/>
                <w:sz w:val="20"/>
              </w:rPr>
            </w:pPr>
            <w:r w:rsidRPr="00E43187">
              <w:rPr>
                <w:color w:val="000000"/>
                <w:sz w:val="20"/>
              </w:rPr>
              <w:t>215</w:t>
            </w:r>
          </w:p>
        </w:tc>
        <w:tc>
          <w:tcPr>
            <w:tcW w:w="1587" w:type="dxa"/>
            <w:shd w:val="clear" w:color="auto" w:fill="auto"/>
            <w:noWrap/>
            <w:vAlign w:val="bottom"/>
          </w:tcPr>
          <w:p w14:paraId="7263A4AB" w14:textId="77777777" w:rsidR="00A95416" w:rsidRPr="00E43187" w:rsidRDefault="00A95416" w:rsidP="00327BFD">
            <w:pPr>
              <w:pBdr>
                <w:bottom w:val="single" w:sz="4" w:space="0" w:color="000000"/>
              </w:pBdr>
              <w:spacing w:before="40"/>
              <w:jc w:val="right"/>
              <w:rPr>
                <w:color w:val="000000"/>
                <w:sz w:val="20"/>
              </w:rPr>
            </w:pPr>
            <w:r w:rsidRPr="00E43187">
              <w:rPr>
                <w:color w:val="000000"/>
                <w:sz w:val="20"/>
              </w:rPr>
              <w:t>777</w:t>
            </w:r>
          </w:p>
        </w:tc>
        <w:tc>
          <w:tcPr>
            <w:tcW w:w="1816" w:type="dxa"/>
            <w:shd w:val="clear" w:color="auto" w:fill="auto"/>
            <w:noWrap/>
            <w:vAlign w:val="bottom"/>
          </w:tcPr>
          <w:p w14:paraId="73B11992" w14:textId="77777777" w:rsidR="00A95416" w:rsidRPr="00E43187" w:rsidRDefault="00A95416" w:rsidP="00327BFD">
            <w:pPr>
              <w:pBdr>
                <w:bottom w:val="single" w:sz="4" w:space="0" w:color="000000"/>
              </w:pBdr>
              <w:spacing w:before="40"/>
              <w:jc w:val="right"/>
              <w:rPr>
                <w:color w:val="000000"/>
                <w:sz w:val="20"/>
              </w:rPr>
            </w:pPr>
            <w:r w:rsidRPr="00E43187">
              <w:rPr>
                <w:color w:val="000000"/>
                <w:sz w:val="20"/>
              </w:rPr>
              <w:t>3,609</w:t>
            </w:r>
          </w:p>
        </w:tc>
      </w:tr>
      <w:tr w:rsidR="00A95416" w14:paraId="50E13C27" w14:textId="77777777" w:rsidTr="005101BC">
        <w:trPr>
          <w:trHeight w:val="280"/>
        </w:trPr>
        <w:tc>
          <w:tcPr>
            <w:tcW w:w="4819" w:type="dxa"/>
            <w:shd w:val="clear" w:color="auto" w:fill="auto"/>
            <w:vAlign w:val="bottom"/>
            <w:hideMark/>
          </w:tcPr>
          <w:p w14:paraId="6058FDE4" w14:textId="77777777" w:rsidR="00A95416" w:rsidRPr="00E43187" w:rsidRDefault="00A95416" w:rsidP="00327BFD">
            <w:pPr>
              <w:spacing w:before="40"/>
              <w:rPr>
                <w:color w:val="000000"/>
                <w:sz w:val="20"/>
              </w:rPr>
            </w:pPr>
            <w:r>
              <w:rPr>
                <w:color w:val="000000"/>
                <w:sz w:val="20"/>
              </w:rPr>
              <w:t>Total income</w:t>
            </w:r>
          </w:p>
        </w:tc>
        <w:tc>
          <w:tcPr>
            <w:tcW w:w="1587" w:type="dxa"/>
            <w:shd w:val="clear" w:color="auto" w:fill="auto"/>
            <w:noWrap/>
            <w:vAlign w:val="bottom"/>
          </w:tcPr>
          <w:p w14:paraId="5110F48F" w14:textId="77777777" w:rsidR="00A95416" w:rsidRPr="00E43187" w:rsidRDefault="00A95416" w:rsidP="00E43187">
            <w:pPr>
              <w:pBdr>
                <w:bottom w:val="double" w:sz="4" w:space="1" w:color="auto"/>
              </w:pBdr>
              <w:spacing w:before="40"/>
              <w:jc w:val="right"/>
              <w:rPr>
                <w:color w:val="000000"/>
                <w:sz w:val="20"/>
              </w:rPr>
            </w:pPr>
            <w:r w:rsidRPr="00E43187">
              <w:rPr>
                <w:color w:val="000000"/>
                <w:sz w:val="20"/>
              </w:rPr>
              <w:t>28,934</w:t>
            </w:r>
          </w:p>
        </w:tc>
        <w:tc>
          <w:tcPr>
            <w:tcW w:w="1587" w:type="dxa"/>
            <w:shd w:val="clear" w:color="auto" w:fill="auto"/>
            <w:noWrap/>
            <w:vAlign w:val="bottom"/>
          </w:tcPr>
          <w:p w14:paraId="1282FEE6" w14:textId="77777777" w:rsidR="00A95416" w:rsidRPr="00E43187" w:rsidRDefault="00A95416" w:rsidP="00E43187">
            <w:pPr>
              <w:pBdr>
                <w:bottom w:val="double" w:sz="4" w:space="1" w:color="auto"/>
              </w:pBdr>
              <w:spacing w:before="40"/>
              <w:jc w:val="right"/>
              <w:rPr>
                <w:color w:val="000000"/>
                <w:sz w:val="20"/>
              </w:rPr>
            </w:pPr>
            <w:r w:rsidRPr="00E43187">
              <w:rPr>
                <w:color w:val="000000"/>
                <w:sz w:val="20"/>
              </w:rPr>
              <w:t>33,881</w:t>
            </w:r>
          </w:p>
        </w:tc>
        <w:tc>
          <w:tcPr>
            <w:tcW w:w="1587" w:type="dxa"/>
            <w:shd w:val="clear" w:color="auto" w:fill="auto"/>
            <w:noWrap/>
            <w:vAlign w:val="bottom"/>
          </w:tcPr>
          <w:p w14:paraId="46797514" w14:textId="77777777" w:rsidR="00A95416" w:rsidRPr="00E43187" w:rsidRDefault="00A95416" w:rsidP="00E43187">
            <w:pPr>
              <w:pBdr>
                <w:bottom w:val="double" w:sz="4" w:space="1" w:color="auto"/>
              </w:pBdr>
              <w:spacing w:before="40"/>
              <w:jc w:val="right"/>
              <w:rPr>
                <w:color w:val="000000"/>
                <w:sz w:val="20"/>
              </w:rPr>
            </w:pPr>
            <w:r w:rsidRPr="00E43187">
              <w:rPr>
                <w:color w:val="000000"/>
                <w:sz w:val="20"/>
              </w:rPr>
              <w:t>137,807</w:t>
            </w:r>
          </w:p>
        </w:tc>
        <w:tc>
          <w:tcPr>
            <w:tcW w:w="1587" w:type="dxa"/>
            <w:shd w:val="clear" w:color="auto" w:fill="auto"/>
            <w:noWrap/>
            <w:vAlign w:val="bottom"/>
          </w:tcPr>
          <w:p w14:paraId="3C8D4A98" w14:textId="77777777" w:rsidR="00A95416" w:rsidRPr="00E43187" w:rsidRDefault="00A95416" w:rsidP="00E43187">
            <w:pPr>
              <w:pBdr>
                <w:bottom w:val="double" w:sz="4" w:space="1" w:color="auto"/>
              </w:pBdr>
              <w:spacing w:before="40"/>
              <w:jc w:val="right"/>
              <w:rPr>
                <w:color w:val="000000"/>
                <w:sz w:val="20"/>
              </w:rPr>
            </w:pPr>
            <w:r w:rsidRPr="00E43187">
              <w:rPr>
                <w:color w:val="000000"/>
                <w:sz w:val="20"/>
              </w:rPr>
              <w:t>15,842</w:t>
            </w:r>
          </w:p>
        </w:tc>
        <w:tc>
          <w:tcPr>
            <w:tcW w:w="1587" w:type="dxa"/>
            <w:shd w:val="clear" w:color="auto" w:fill="auto"/>
            <w:noWrap/>
            <w:vAlign w:val="bottom"/>
          </w:tcPr>
          <w:p w14:paraId="13738A41" w14:textId="77777777" w:rsidR="00A95416" w:rsidRPr="00E43187" w:rsidRDefault="00A95416" w:rsidP="00E43187">
            <w:pPr>
              <w:pBdr>
                <w:bottom w:val="double" w:sz="4" w:space="1" w:color="auto"/>
              </w:pBdr>
              <w:spacing w:before="40"/>
              <w:jc w:val="right"/>
              <w:rPr>
                <w:color w:val="000000"/>
                <w:sz w:val="20"/>
              </w:rPr>
            </w:pPr>
            <w:r w:rsidRPr="00E43187">
              <w:rPr>
                <w:color w:val="000000"/>
                <w:sz w:val="20"/>
              </w:rPr>
              <w:t>16,009</w:t>
            </w:r>
          </w:p>
        </w:tc>
        <w:tc>
          <w:tcPr>
            <w:tcW w:w="1816" w:type="dxa"/>
            <w:shd w:val="clear" w:color="auto" w:fill="auto"/>
            <w:noWrap/>
            <w:vAlign w:val="bottom"/>
          </w:tcPr>
          <w:p w14:paraId="528B9BB4" w14:textId="77777777" w:rsidR="00A95416" w:rsidRPr="00E43187" w:rsidRDefault="00A95416" w:rsidP="00E43187">
            <w:pPr>
              <w:pBdr>
                <w:bottom w:val="double" w:sz="4" w:space="1" w:color="auto"/>
              </w:pBdr>
              <w:spacing w:before="40"/>
              <w:jc w:val="right"/>
              <w:rPr>
                <w:color w:val="000000"/>
                <w:sz w:val="20"/>
              </w:rPr>
            </w:pPr>
            <w:r w:rsidRPr="00E43187">
              <w:rPr>
                <w:color w:val="000000"/>
                <w:sz w:val="20"/>
              </w:rPr>
              <w:t>232,473</w:t>
            </w:r>
          </w:p>
        </w:tc>
      </w:tr>
      <w:tr w:rsidR="005578B7" w14:paraId="10293010" w14:textId="77777777" w:rsidTr="005101BC">
        <w:trPr>
          <w:trHeight w:val="280"/>
        </w:trPr>
        <w:tc>
          <w:tcPr>
            <w:tcW w:w="4819" w:type="dxa"/>
            <w:shd w:val="clear" w:color="auto" w:fill="auto"/>
            <w:vAlign w:val="bottom"/>
          </w:tcPr>
          <w:p w14:paraId="128D222F" w14:textId="7856FA5C" w:rsidR="005578B7" w:rsidRPr="00606DF4" w:rsidRDefault="005578B7" w:rsidP="005578B7">
            <w:pPr>
              <w:spacing w:before="40"/>
              <w:rPr>
                <w:color w:val="000000"/>
                <w:sz w:val="20"/>
              </w:rPr>
            </w:pPr>
            <w:r w:rsidRPr="005578B7">
              <w:rPr>
                <w:color w:val="000000"/>
                <w:sz w:val="20"/>
              </w:rPr>
              <w:t>Gross profit</w:t>
            </w:r>
          </w:p>
        </w:tc>
        <w:tc>
          <w:tcPr>
            <w:tcW w:w="1587" w:type="dxa"/>
            <w:shd w:val="clear" w:color="auto" w:fill="auto"/>
            <w:noWrap/>
          </w:tcPr>
          <w:p w14:paraId="4B6530D4" w14:textId="20B4BED0" w:rsidR="005578B7" w:rsidRPr="00E43187" w:rsidRDefault="005578B7" w:rsidP="00E43187">
            <w:pPr>
              <w:pBdr>
                <w:bottom w:val="double" w:sz="4" w:space="1" w:color="auto"/>
              </w:pBdr>
              <w:spacing w:before="40"/>
              <w:jc w:val="right"/>
              <w:rPr>
                <w:color w:val="000000"/>
                <w:sz w:val="20"/>
              </w:rPr>
            </w:pPr>
            <w:r w:rsidRPr="00E43187">
              <w:rPr>
                <w:color w:val="000000"/>
                <w:sz w:val="20"/>
              </w:rPr>
              <w:t xml:space="preserve"> 17,208 </w:t>
            </w:r>
          </w:p>
        </w:tc>
        <w:tc>
          <w:tcPr>
            <w:tcW w:w="1587" w:type="dxa"/>
            <w:shd w:val="clear" w:color="auto" w:fill="auto"/>
            <w:noWrap/>
          </w:tcPr>
          <w:p w14:paraId="040F00FF" w14:textId="5108E689" w:rsidR="005578B7" w:rsidRPr="00E43187" w:rsidRDefault="005578B7" w:rsidP="00E43187">
            <w:pPr>
              <w:pBdr>
                <w:bottom w:val="double" w:sz="4" w:space="1" w:color="auto"/>
              </w:pBdr>
              <w:spacing w:before="40"/>
              <w:jc w:val="right"/>
              <w:rPr>
                <w:color w:val="000000"/>
                <w:sz w:val="20"/>
              </w:rPr>
            </w:pPr>
            <w:r w:rsidRPr="00E43187">
              <w:rPr>
                <w:color w:val="000000"/>
                <w:sz w:val="20"/>
              </w:rPr>
              <w:t xml:space="preserve"> 22,534 </w:t>
            </w:r>
          </w:p>
        </w:tc>
        <w:tc>
          <w:tcPr>
            <w:tcW w:w="1587" w:type="dxa"/>
            <w:shd w:val="clear" w:color="auto" w:fill="auto"/>
            <w:noWrap/>
          </w:tcPr>
          <w:p w14:paraId="4EA5F128" w14:textId="5D80FFB7" w:rsidR="005578B7" w:rsidRPr="00E43187" w:rsidRDefault="005578B7" w:rsidP="00E43187">
            <w:pPr>
              <w:pBdr>
                <w:bottom w:val="double" w:sz="4" w:space="1" w:color="auto"/>
              </w:pBdr>
              <w:spacing w:before="40"/>
              <w:jc w:val="right"/>
              <w:rPr>
                <w:color w:val="000000"/>
                <w:sz w:val="20"/>
              </w:rPr>
            </w:pPr>
            <w:r w:rsidRPr="00E43187">
              <w:rPr>
                <w:color w:val="000000"/>
                <w:sz w:val="20"/>
              </w:rPr>
              <w:t xml:space="preserve"> 81,838 </w:t>
            </w:r>
          </w:p>
        </w:tc>
        <w:tc>
          <w:tcPr>
            <w:tcW w:w="1587" w:type="dxa"/>
            <w:shd w:val="clear" w:color="auto" w:fill="auto"/>
            <w:noWrap/>
          </w:tcPr>
          <w:p w14:paraId="4F21600D" w14:textId="38DF098A" w:rsidR="005578B7" w:rsidRPr="00E43187" w:rsidRDefault="005578B7" w:rsidP="00E43187">
            <w:pPr>
              <w:pBdr>
                <w:bottom w:val="double" w:sz="4" w:space="1" w:color="auto"/>
              </w:pBdr>
              <w:spacing w:before="40"/>
              <w:jc w:val="right"/>
              <w:rPr>
                <w:color w:val="000000"/>
                <w:sz w:val="20"/>
              </w:rPr>
            </w:pPr>
            <w:r w:rsidRPr="00E43187">
              <w:rPr>
                <w:color w:val="000000"/>
                <w:sz w:val="20"/>
              </w:rPr>
              <w:t xml:space="preserve"> 10,374 </w:t>
            </w:r>
          </w:p>
        </w:tc>
        <w:tc>
          <w:tcPr>
            <w:tcW w:w="1587" w:type="dxa"/>
            <w:shd w:val="clear" w:color="auto" w:fill="auto"/>
            <w:noWrap/>
          </w:tcPr>
          <w:p w14:paraId="4E6EA85D" w14:textId="5F7DC8D9" w:rsidR="005578B7" w:rsidRPr="00E43187" w:rsidRDefault="005578B7" w:rsidP="00E43187">
            <w:pPr>
              <w:pBdr>
                <w:bottom w:val="double" w:sz="4" w:space="1" w:color="auto"/>
              </w:pBdr>
              <w:spacing w:before="40"/>
              <w:jc w:val="right"/>
              <w:rPr>
                <w:color w:val="000000"/>
                <w:sz w:val="20"/>
              </w:rPr>
            </w:pPr>
            <w:r w:rsidRPr="00E43187">
              <w:rPr>
                <w:color w:val="000000"/>
                <w:sz w:val="20"/>
              </w:rPr>
              <w:t xml:space="preserve"> 4 </w:t>
            </w:r>
          </w:p>
        </w:tc>
        <w:tc>
          <w:tcPr>
            <w:tcW w:w="1816" w:type="dxa"/>
            <w:shd w:val="clear" w:color="auto" w:fill="auto"/>
            <w:noWrap/>
          </w:tcPr>
          <w:p w14:paraId="063DE93B" w14:textId="778F253D" w:rsidR="005578B7" w:rsidRPr="00E43187" w:rsidRDefault="005578B7" w:rsidP="00E43187">
            <w:pPr>
              <w:pBdr>
                <w:bottom w:val="double" w:sz="4" w:space="1" w:color="auto"/>
              </w:pBdr>
              <w:spacing w:before="40"/>
              <w:jc w:val="right"/>
              <w:rPr>
                <w:color w:val="000000"/>
                <w:sz w:val="20"/>
              </w:rPr>
            </w:pPr>
            <w:r w:rsidRPr="00E43187">
              <w:rPr>
                <w:color w:val="000000"/>
                <w:sz w:val="20"/>
              </w:rPr>
              <w:t xml:space="preserve"> 131,958 </w:t>
            </w:r>
          </w:p>
        </w:tc>
      </w:tr>
      <w:tr w:rsidR="00A95416" w14:paraId="01FAEC7D" w14:textId="77777777" w:rsidTr="005101BC">
        <w:trPr>
          <w:trHeight w:val="280"/>
        </w:trPr>
        <w:tc>
          <w:tcPr>
            <w:tcW w:w="4819" w:type="dxa"/>
            <w:shd w:val="clear" w:color="auto" w:fill="auto"/>
            <w:vAlign w:val="bottom"/>
          </w:tcPr>
          <w:p w14:paraId="6BCD965B" w14:textId="77777777" w:rsidR="00A95416" w:rsidRPr="00DF6139" w:rsidRDefault="00A95416" w:rsidP="00327BFD">
            <w:pPr>
              <w:spacing w:before="40"/>
              <w:rPr>
                <w:color w:val="000000"/>
                <w:sz w:val="20"/>
              </w:rPr>
            </w:pPr>
            <w:r w:rsidRPr="00606DF4">
              <w:rPr>
                <w:color w:val="000000"/>
                <w:sz w:val="20"/>
              </w:rPr>
              <w:t>Write down of inventory to net realize value</w:t>
            </w:r>
          </w:p>
        </w:tc>
        <w:tc>
          <w:tcPr>
            <w:tcW w:w="1587" w:type="dxa"/>
            <w:shd w:val="clear" w:color="auto" w:fill="auto"/>
            <w:noWrap/>
            <w:vAlign w:val="bottom"/>
          </w:tcPr>
          <w:p w14:paraId="490E1A5E" w14:textId="77777777" w:rsidR="00A95416" w:rsidRPr="00E43187" w:rsidRDefault="00A95416" w:rsidP="00327BFD">
            <w:pPr>
              <w:spacing w:before="40"/>
              <w:jc w:val="right"/>
              <w:rPr>
                <w:color w:val="000000"/>
                <w:sz w:val="20"/>
              </w:rPr>
            </w:pPr>
            <w:r w:rsidRPr="00E43187">
              <w:rPr>
                <w:color w:val="000000"/>
                <w:sz w:val="20"/>
              </w:rPr>
              <w:t>-</w:t>
            </w:r>
          </w:p>
        </w:tc>
        <w:tc>
          <w:tcPr>
            <w:tcW w:w="1587" w:type="dxa"/>
            <w:shd w:val="clear" w:color="auto" w:fill="auto"/>
            <w:noWrap/>
            <w:vAlign w:val="bottom"/>
          </w:tcPr>
          <w:p w14:paraId="3D1664FC" w14:textId="77777777" w:rsidR="00A95416" w:rsidRPr="00E43187" w:rsidRDefault="00A95416" w:rsidP="00327BFD">
            <w:pPr>
              <w:spacing w:before="40"/>
              <w:jc w:val="right"/>
              <w:rPr>
                <w:color w:val="000000"/>
                <w:sz w:val="20"/>
              </w:rPr>
            </w:pPr>
            <w:r w:rsidRPr="00E43187">
              <w:rPr>
                <w:color w:val="000000"/>
                <w:sz w:val="20"/>
              </w:rPr>
              <w:t>-</w:t>
            </w:r>
          </w:p>
        </w:tc>
        <w:tc>
          <w:tcPr>
            <w:tcW w:w="1587" w:type="dxa"/>
            <w:shd w:val="clear" w:color="auto" w:fill="auto"/>
            <w:noWrap/>
            <w:vAlign w:val="bottom"/>
          </w:tcPr>
          <w:p w14:paraId="1F2CF369" w14:textId="77777777" w:rsidR="00A95416" w:rsidRPr="00E43187" w:rsidRDefault="00A95416" w:rsidP="00327BFD">
            <w:pPr>
              <w:spacing w:before="40"/>
              <w:jc w:val="right"/>
              <w:rPr>
                <w:color w:val="000000"/>
                <w:sz w:val="20"/>
              </w:rPr>
            </w:pPr>
            <w:r w:rsidRPr="00E43187">
              <w:rPr>
                <w:color w:val="000000"/>
                <w:sz w:val="20"/>
              </w:rPr>
              <w:t>(6,497)</w:t>
            </w:r>
          </w:p>
        </w:tc>
        <w:tc>
          <w:tcPr>
            <w:tcW w:w="1587" w:type="dxa"/>
            <w:shd w:val="clear" w:color="auto" w:fill="auto"/>
            <w:noWrap/>
            <w:vAlign w:val="bottom"/>
          </w:tcPr>
          <w:p w14:paraId="1A82D126" w14:textId="77777777" w:rsidR="00A95416" w:rsidRPr="00E43187" w:rsidRDefault="00A95416" w:rsidP="00327BFD">
            <w:pPr>
              <w:spacing w:before="40"/>
              <w:jc w:val="right"/>
              <w:rPr>
                <w:color w:val="000000"/>
                <w:sz w:val="20"/>
              </w:rPr>
            </w:pPr>
            <w:r w:rsidRPr="00E43187">
              <w:rPr>
                <w:color w:val="000000"/>
                <w:sz w:val="20"/>
              </w:rPr>
              <w:t>-</w:t>
            </w:r>
          </w:p>
        </w:tc>
        <w:tc>
          <w:tcPr>
            <w:tcW w:w="1587" w:type="dxa"/>
            <w:shd w:val="clear" w:color="auto" w:fill="auto"/>
            <w:noWrap/>
            <w:vAlign w:val="bottom"/>
          </w:tcPr>
          <w:p w14:paraId="279E55A7" w14:textId="77777777" w:rsidR="00A95416" w:rsidRPr="00E43187" w:rsidRDefault="00A95416" w:rsidP="00327BFD">
            <w:pPr>
              <w:spacing w:before="40"/>
              <w:jc w:val="right"/>
              <w:rPr>
                <w:color w:val="000000"/>
                <w:sz w:val="20"/>
              </w:rPr>
            </w:pPr>
            <w:r w:rsidRPr="00E43187">
              <w:rPr>
                <w:color w:val="000000"/>
                <w:sz w:val="20"/>
              </w:rPr>
              <w:t>(2,520)</w:t>
            </w:r>
          </w:p>
        </w:tc>
        <w:tc>
          <w:tcPr>
            <w:tcW w:w="1816" w:type="dxa"/>
            <w:shd w:val="clear" w:color="auto" w:fill="auto"/>
            <w:noWrap/>
            <w:vAlign w:val="bottom"/>
          </w:tcPr>
          <w:p w14:paraId="0048C003" w14:textId="77777777" w:rsidR="00A95416" w:rsidRPr="00E43187" w:rsidRDefault="00A95416" w:rsidP="00327BFD">
            <w:pPr>
              <w:spacing w:before="40"/>
              <w:jc w:val="right"/>
              <w:rPr>
                <w:color w:val="000000"/>
                <w:sz w:val="20"/>
              </w:rPr>
            </w:pPr>
            <w:r w:rsidRPr="00E43187">
              <w:rPr>
                <w:color w:val="000000"/>
                <w:sz w:val="20"/>
              </w:rPr>
              <w:t>(9,017)</w:t>
            </w:r>
          </w:p>
        </w:tc>
      </w:tr>
      <w:tr w:rsidR="00A95416" w14:paraId="24EA1F85" w14:textId="77777777" w:rsidTr="005101BC">
        <w:trPr>
          <w:trHeight w:val="280"/>
        </w:trPr>
        <w:tc>
          <w:tcPr>
            <w:tcW w:w="4819" w:type="dxa"/>
            <w:shd w:val="clear" w:color="auto" w:fill="auto"/>
            <w:vAlign w:val="bottom"/>
            <w:hideMark/>
          </w:tcPr>
          <w:p w14:paraId="124F3023" w14:textId="77777777" w:rsidR="00A95416" w:rsidRPr="00E43187" w:rsidRDefault="00A95416" w:rsidP="00327BFD">
            <w:pPr>
              <w:spacing w:before="40"/>
              <w:rPr>
                <w:color w:val="000000"/>
                <w:sz w:val="20"/>
              </w:rPr>
            </w:pPr>
            <w:r w:rsidRPr="00DF6139">
              <w:rPr>
                <w:color w:val="000000"/>
                <w:sz w:val="20"/>
              </w:rPr>
              <w:t>Net valuation gains</w:t>
            </w:r>
          </w:p>
        </w:tc>
        <w:tc>
          <w:tcPr>
            <w:tcW w:w="1587" w:type="dxa"/>
            <w:shd w:val="clear" w:color="auto" w:fill="auto"/>
            <w:noWrap/>
            <w:vAlign w:val="bottom"/>
          </w:tcPr>
          <w:p w14:paraId="02F65D76" w14:textId="77777777" w:rsidR="00A95416" w:rsidRPr="00E43187" w:rsidRDefault="00A95416" w:rsidP="00327BFD">
            <w:pPr>
              <w:spacing w:before="40"/>
              <w:jc w:val="right"/>
              <w:rPr>
                <w:color w:val="000000"/>
                <w:sz w:val="20"/>
              </w:rPr>
            </w:pPr>
            <w:r w:rsidRPr="00E43187">
              <w:rPr>
                <w:color w:val="000000"/>
                <w:sz w:val="20"/>
              </w:rPr>
              <w:t>15,682</w:t>
            </w:r>
          </w:p>
        </w:tc>
        <w:tc>
          <w:tcPr>
            <w:tcW w:w="1587" w:type="dxa"/>
            <w:shd w:val="clear" w:color="auto" w:fill="auto"/>
            <w:noWrap/>
            <w:vAlign w:val="bottom"/>
          </w:tcPr>
          <w:p w14:paraId="406C38A5" w14:textId="77777777" w:rsidR="00A95416" w:rsidRPr="00E43187" w:rsidRDefault="00A95416" w:rsidP="00327BFD">
            <w:pPr>
              <w:spacing w:before="40"/>
              <w:jc w:val="right"/>
              <w:rPr>
                <w:color w:val="000000"/>
                <w:sz w:val="20"/>
              </w:rPr>
            </w:pPr>
            <w:r w:rsidRPr="00E43187">
              <w:rPr>
                <w:color w:val="000000"/>
                <w:sz w:val="20"/>
              </w:rPr>
              <w:t>8,352</w:t>
            </w:r>
          </w:p>
        </w:tc>
        <w:tc>
          <w:tcPr>
            <w:tcW w:w="1587" w:type="dxa"/>
            <w:shd w:val="clear" w:color="auto" w:fill="auto"/>
            <w:noWrap/>
            <w:vAlign w:val="bottom"/>
          </w:tcPr>
          <w:p w14:paraId="12C5D9B1" w14:textId="77777777" w:rsidR="00A95416" w:rsidRPr="00E43187" w:rsidRDefault="00A95416" w:rsidP="00327BFD">
            <w:pPr>
              <w:spacing w:before="40"/>
              <w:jc w:val="right"/>
              <w:rPr>
                <w:color w:val="000000"/>
                <w:sz w:val="20"/>
              </w:rPr>
            </w:pPr>
            <w:r w:rsidRPr="00E43187">
              <w:rPr>
                <w:color w:val="000000"/>
                <w:sz w:val="20"/>
              </w:rPr>
              <w:t>3,571</w:t>
            </w:r>
          </w:p>
        </w:tc>
        <w:tc>
          <w:tcPr>
            <w:tcW w:w="1587" w:type="dxa"/>
            <w:shd w:val="clear" w:color="auto" w:fill="auto"/>
            <w:noWrap/>
            <w:vAlign w:val="bottom"/>
          </w:tcPr>
          <w:p w14:paraId="4B3D0F87" w14:textId="77777777" w:rsidR="00A95416" w:rsidRPr="00E43187" w:rsidRDefault="00A95416" w:rsidP="00327BFD">
            <w:pPr>
              <w:spacing w:before="40"/>
              <w:jc w:val="right"/>
              <w:rPr>
                <w:color w:val="000000"/>
                <w:sz w:val="20"/>
              </w:rPr>
            </w:pPr>
            <w:r w:rsidRPr="00E43187">
              <w:rPr>
                <w:color w:val="000000"/>
                <w:sz w:val="20"/>
              </w:rPr>
              <w:t>1,760</w:t>
            </w:r>
          </w:p>
        </w:tc>
        <w:tc>
          <w:tcPr>
            <w:tcW w:w="1587" w:type="dxa"/>
            <w:shd w:val="clear" w:color="auto" w:fill="auto"/>
            <w:noWrap/>
            <w:vAlign w:val="bottom"/>
          </w:tcPr>
          <w:p w14:paraId="008978AD" w14:textId="77777777" w:rsidR="00A95416" w:rsidRPr="00E43187" w:rsidRDefault="00A95416" w:rsidP="00327BFD">
            <w:pPr>
              <w:spacing w:before="40"/>
              <w:jc w:val="right"/>
              <w:rPr>
                <w:color w:val="000000"/>
                <w:sz w:val="20"/>
              </w:rPr>
            </w:pPr>
            <w:r w:rsidRPr="00E43187">
              <w:rPr>
                <w:color w:val="000000"/>
                <w:sz w:val="20"/>
              </w:rPr>
              <w:t>1,656</w:t>
            </w:r>
          </w:p>
        </w:tc>
        <w:tc>
          <w:tcPr>
            <w:tcW w:w="1816" w:type="dxa"/>
            <w:shd w:val="clear" w:color="auto" w:fill="auto"/>
            <w:noWrap/>
            <w:vAlign w:val="bottom"/>
          </w:tcPr>
          <w:p w14:paraId="34E73507" w14:textId="77777777" w:rsidR="00A95416" w:rsidRPr="00E43187" w:rsidRDefault="00A95416" w:rsidP="00327BFD">
            <w:pPr>
              <w:spacing w:before="40"/>
              <w:jc w:val="right"/>
              <w:rPr>
                <w:color w:val="000000"/>
                <w:sz w:val="20"/>
              </w:rPr>
            </w:pPr>
            <w:r w:rsidRPr="00E43187">
              <w:rPr>
                <w:color w:val="000000"/>
                <w:sz w:val="20"/>
              </w:rPr>
              <w:t>31,021</w:t>
            </w:r>
          </w:p>
        </w:tc>
      </w:tr>
      <w:tr w:rsidR="00A95416" w14:paraId="65330687" w14:textId="77777777" w:rsidTr="005101BC">
        <w:trPr>
          <w:trHeight w:val="280"/>
        </w:trPr>
        <w:tc>
          <w:tcPr>
            <w:tcW w:w="4819" w:type="dxa"/>
            <w:shd w:val="clear" w:color="auto" w:fill="auto"/>
            <w:vAlign w:val="bottom"/>
            <w:hideMark/>
          </w:tcPr>
          <w:p w14:paraId="44C7E55B" w14:textId="77777777" w:rsidR="00A95416" w:rsidRPr="00E43187" w:rsidRDefault="00A95416" w:rsidP="00327BFD">
            <w:pPr>
              <w:spacing w:before="40"/>
              <w:rPr>
                <w:color w:val="000000"/>
                <w:sz w:val="20"/>
              </w:rPr>
            </w:pPr>
            <w:r>
              <w:rPr>
                <w:color w:val="000000"/>
                <w:sz w:val="20"/>
              </w:rPr>
              <w:t>Segment result</w:t>
            </w:r>
          </w:p>
        </w:tc>
        <w:tc>
          <w:tcPr>
            <w:tcW w:w="1587" w:type="dxa"/>
            <w:shd w:val="clear" w:color="auto" w:fill="auto"/>
            <w:noWrap/>
            <w:vAlign w:val="bottom"/>
          </w:tcPr>
          <w:p w14:paraId="43B6A073" w14:textId="77777777" w:rsidR="00A95416" w:rsidRPr="00E43187" w:rsidRDefault="00A95416" w:rsidP="00327BFD">
            <w:pPr>
              <w:pBdr>
                <w:bottom w:val="double" w:sz="4" w:space="0" w:color="000000"/>
              </w:pBdr>
              <w:spacing w:before="40"/>
              <w:jc w:val="right"/>
              <w:rPr>
                <w:color w:val="000000"/>
                <w:sz w:val="20"/>
              </w:rPr>
            </w:pPr>
            <w:r w:rsidRPr="00E43187">
              <w:rPr>
                <w:color w:val="000000"/>
                <w:sz w:val="20"/>
              </w:rPr>
              <w:t>32,661</w:t>
            </w:r>
          </w:p>
        </w:tc>
        <w:tc>
          <w:tcPr>
            <w:tcW w:w="1587" w:type="dxa"/>
            <w:shd w:val="clear" w:color="auto" w:fill="auto"/>
            <w:noWrap/>
            <w:vAlign w:val="bottom"/>
          </w:tcPr>
          <w:p w14:paraId="50362967" w14:textId="77777777" w:rsidR="00A95416" w:rsidRPr="00E43187" w:rsidRDefault="00A95416" w:rsidP="00327BFD">
            <w:pPr>
              <w:pBdr>
                <w:bottom w:val="double" w:sz="4" w:space="0" w:color="000000"/>
              </w:pBdr>
              <w:spacing w:before="40"/>
              <w:jc w:val="right"/>
              <w:rPr>
                <w:color w:val="000000"/>
                <w:sz w:val="20"/>
              </w:rPr>
            </w:pPr>
            <w:r w:rsidRPr="00E43187">
              <w:rPr>
                <w:color w:val="000000"/>
                <w:sz w:val="20"/>
              </w:rPr>
              <w:t>29,172</w:t>
            </w:r>
          </w:p>
        </w:tc>
        <w:tc>
          <w:tcPr>
            <w:tcW w:w="1587" w:type="dxa"/>
            <w:shd w:val="clear" w:color="auto" w:fill="auto"/>
            <w:noWrap/>
            <w:vAlign w:val="bottom"/>
          </w:tcPr>
          <w:p w14:paraId="48DF3526" w14:textId="77777777" w:rsidR="00A95416" w:rsidRPr="00E43187" w:rsidRDefault="00A95416" w:rsidP="00327BFD">
            <w:pPr>
              <w:pBdr>
                <w:bottom w:val="double" w:sz="4" w:space="0" w:color="000000"/>
              </w:pBdr>
              <w:spacing w:before="40"/>
              <w:jc w:val="right"/>
              <w:rPr>
                <w:color w:val="000000"/>
                <w:sz w:val="20"/>
              </w:rPr>
            </w:pPr>
            <w:r w:rsidRPr="00E43187">
              <w:rPr>
                <w:color w:val="000000"/>
                <w:sz w:val="20"/>
              </w:rPr>
              <w:t>84,751</w:t>
            </w:r>
          </w:p>
        </w:tc>
        <w:tc>
          <w:tcPr>
            <w:tcW w:w="1587" w:type="dxa"/>
            <w:shd w:val="clear" w:color="auto" w:fill="auto"/>
            <w:noWrap/>
            <w:vAlign w:val="bottom"/>
          </w:tcPr>
          <w:p w14:paraId="3606DFC0" w14:textId="77777777" w:rsidR="00A95416" w:rsidRPr="00E43187" w:rsidRDefault="00A95416" w:rsidP="00327BFD">
            <w:pPr>
              <w:pBdr>
                <w:bottom w:val="double" w:sz="4" w:space="0" w:color="000000"/>
              </w:pBdr>
              <w:spacing w:before="40"/>
              <w:jc w:val="right"/>
              <w:rPr>
                <w:color w:val="000000"/>
                <w:sz w:val="20"/>
              </w:rPr>
            </w:pPr>
            <w:r w:rsidRPr="00E43187">
              <w:rPr>
                <w:color w:val="000000"/>
                <w:sz w:val="20"/>
              </w:rPr>
              <w:t>12,184</w:t>
            </w:r>
          </w:p>
        </w:tc>
        <w:tc>
          <w:tcPr>
            <w:tcW w:w="1587" w:type="dxa"/>
            <w:shd w:val="clear" w:color="auto" w:fill="auto"/>
            <w:noWrap/>
            <w:vAlign w:val="bottom"/>
          </w:tcPr>
          <w:p w14:paraId="40C2A6A3" w14:textId="77777777" w:rsidR="00A95416" w:rsidRPr="00E43187" w:rsidRDefault="00A95416" w:rsidP="00327BFD">
            <w:pPr>
              <w:pBdr>
                <w:bottom w:val="double" w:sz="4" w:space="0" w:color="000000"/>
              </w:pBdr>
              <w:spacing w:before="40"/>
              <w:jc w:val="right"/>
              <w:rPr>
                <w:color w:val="000000"/>
                <w:sz w:val="20"/>
              </w:rPr>
            </w:pPr>
            <w:r w:rsidRPr="00E43187">
              <w:rPr>
                <w:color w:val="000000"/>
                <w:sz w:val="20"/>
              </w:rPr>
              <w:t>95</w:t>
            </w:r>
          </w:p>
        </w:tc>
        <w:tc>
          <w:tcPr>
            <w:tcW w:w="1816" w:type="dxa"/>
            <w:shd w:val="clear" w:color="auto" w:fill="auto"/>
            <w:noWrap/>
            <w:vAlign w:val="bottom"/>
          </w:tcPr>
          <w:p w14:paraId="067F858C" w14:textId="77777777" w:rsidR="00A95416" w:rsidRPr="00E43187" w:rsidRDefault="00A95416" w:rsidP="00327BFD">
            <w:pPr>
              <w:pBdr>
                <w:bottom w:val="double" w:sz="4" w:space="0" w:color="000000"/>
              </w:pBdr>
              <w:spacing w:before="40"/>
              <w:jc w:val="right"/>
              <w:rPr>
                <w:color w:val="000000"/>
                <w:sz w:val="20"/>
              </w:rPr>
            </w:pPr>
            <w:r w:rsidRPr="00E43187">
              <w:rPr>
                <w:color w:val="000000"/>
                <w:sz w:val="20"/>
              </w:rPr>
              <w:t>158,863</w:t>
            </w:r>
          </w:p>
        </w:tc>
      </w:tr>
      <w:tr w:rsidR="00A95416" w14:paraId="3B541040" w14:textId="77777777" w:rsidTr="005101BC">
        <w:trPr>
          <w:trHeight w:val="280"/>
        </w:trPr>
        <w:tc>
          <w:tcPr>
            <w:tcW w:w="4819" w:type="dxa"/>
            <w:shd w:val="clear" w:color="auto" w:fill="auto"/>
            <w:vAlign w:val="center"/>
            <w:hideMark/>
          </w:tcPr>
          <w:p w14:paraId="718E4B7F" w14:textId="77777777" w:rsidR="00A95416" w:rsidRPr="00E43187" w:rsidRDefault="00A95416" w:rsidP="00327BFD">
            <w:pPr>
              <w:spacing w:before="40"/>
              <w:rPr>
                <w:color w:val="000000"/>
                <w:sz w:val="20"/>
              </w:rPr>
            </w:pPr>
            <w:r w:rsidRPr="00802D81">
              <w:rPr>
                <w:color w:val="000000"/>
                <w:sz w:val="20"/>
              </w:rPr>
              <w:t>Share of losses</w:t>
            </w:r>
            <w:r>
              <w:rPr>
                <w:color w:val="000000"/>
                <w:sz w:val="20"/>
              </w:rPr>
              <w:t xml:space="preserve"> </w:t>
            </w:r>
            <w:r w:rsidRPr="00802D81">
              <w:rPr>
                <w:color w:val="000000"/>
                <w:sz w:val="20"/>
              </w:rPr>
              <w:t>of companies accounted for at equity, net</w:t>
            </w:r>
          </w:p>
        </w:tc>
        <w:tc>
          <w:tcPr>
            <w:tcW w:w="1587" w:type="dxa"/>
            <w:shd w:val="clear" w:color="auto" w:fill="auto"/>
            <w:noWrap/>
            <w:vAlign w:val="bottom"/>
          </w:tcPr>
          <w:p w14:paraId="7AF33AE6" w14:textId="77777777" w:rsidR="00A95416" w:rsidRPr="00E43187" w:rsidRDefault="00A95416" w:rsidP="00327BFD">
            <w:pPr>
              <w:spacing w:before="40"/>
              <w:jc w:val="right"/>
              <w:rPr>
                <w:color w:val="000000"/>
                <w:sz w:val="20"/>
              </w:rPr>
            </w:pPr>
            <w:r w:rsidRPr="00E43187">
              <w:rPr>
                <w:color w:val="000000"/>
                <w:sz w:val="20"/>
              </w:rPr>
              <w:t>-</w:t>
            </w:r>
          </w:p>
        </w:tc>
        <w:tc>
          <w:tcPr>
            <w:tcW w:w="1587" w:type="dxa"/>
            <w:shd w:val="clear" w:color="auto" w:fill="auto"/>
            <w:noWrap/>
            <w:vAlign w:val="bottom"/>
          </w:tcPr>
          <w:p w14:paraId="60277BD2" w14:textId="77777777" w:rsidR="00A95416" w:rsidRPr="00E43187" w:rsidRDefault="00A95416" w:rsidP="00327BFD">
            <w:pPr>
              <w:spacing w:before="40"/>
              <w:jc w:val="right"/>
              <w:rPr>
                <w:color w:val="000000"/>
                <w:sz w:val="20"/>
              </w:rPr>
            </w:pPr>
            <w:r w:rsidRPr="00E43187">
              <w:rPr>
                <w:color w:val="000000"/>
                <w:sz w:val="20"/>
              </w:rPr>
              <w:t>-</w:t>
            </w:r>
          </w:p>
        </w:tc>
        <w:tc>
          <w:tcPr>
            <w:tcW w:w="1587" w:type="dxa"/>
            <w:shd w:val="clear" w:color="auto" w:fill="auto"/>
            <w:noWrap/>
            <w:vAlign w:val="bottom"/>
          </w:tcPr>
          <w:p w14:paraId="65C60147" w14:textId="77777777" w:rsidR="00A95416" w:rsidRPr="00E43187" w:rsidRDefault="00A95416" w:rsidP="00327BFD">
            <w:pPr>
              <w:spacing w:before="40"/>
              <w:jc w:val="right"/>
              <w:rPr>
                <w:color w:val="000000"/>
                <w:sz w:val="20"/>
              </w:rPr>
            </w:pPr>
            <w:r w:rsidRPr="00E43187">
              <w:rPr>
                <w:color w:val="000000"/>
                <w:sz w:val="20"/>
              </w:rPr>
              <w:t>-</w:t>
            </w:r>
          </w:p>
        </w:tc>
        <w:tc>
          <w:tcPr>
            <w:tcW w:w="1587" w:type="dxa"/>
            <w:shd w:val="clear" w:color="auto" w:fill="auto"/>
            <w:noWrap/>
            <w:vAlign w:val="bottom"/>
          </w:tcPr>
          <w:p w14:paraId="782BE066" w14:textId="77777777" w:rsidR="00A95416" w:rsidRPr="00E43187" w:rsidRDefault="00A95416" w:rsidP="00327BFD">
            <w:pPr>
              <w:spacing w:before="40"/>
              <w:jc w:val="right"/>
              <w:rPr>
                <w:color w:val="000000"/>
                <w:sz w:val="20"/>
              </w:rPr>
            </w:pPr>
            <w:r w:rsidRPr="00E43187">
              <w:rPr>
                <w:color w:val="000000"/>
                <w:sz w:val="20"/>
              </w:rPr>
              <w:t>(1,200)</w:t>
            </w:r>
          </w:p>
        </w:tc>
        <w:tc>
          <w:tcPr>
            <w:tcW w:w="1587" w:type="dxa"/>
            <w:shd w:val="clear" w:color="auto" w:fill="auto"/>
            <w:noWrap/>
            <w:vAlign w:val="bottom"/>
          </w:tcPr>
          <w:p w14:paraId="464CA091" w14:textId="77777777" w:rsidR="00A95416" w:rsidRPr="00E43187" w:rsidRDefault="00A95416" w:rsidP="00327BFD">
            <w:pPr>
              <w:spacing w:before="40"/>
              <w:jc w:val="right"/>
              <w:rPr>
                <w:color w:val="000000"/>
                <w:sz w:val="20"/>
              </w:rPr>
            </w:pPr>
            <w:r w:rsidRPr="00E43187">
              <w:rPr>
                <w:color w:val="000000"/>
                <w:sz w:val="20"/>
              </w:rPr>
              <w:t>-</w:t>
            </w:r>
          </w:p>
        </w:tc>
        <w:tc>
          <w:tcPr>
            <w:tcW w:w="1816" w:type="dxa"/>
            <w:shd w:val="clear" w:color="auto" w:fill="auto"/>
            <w:noWrap/>
            <w:vAlign w:val="bottom"/>
          </w:tcPr>
          <w:p w14:paraId="04B8A9BB" w14:textId="77777777" w:rsidR="00A95416" w:rsidRPr="00E43187" w:rsidRDefault="00A95416" w:rsidP="00327BFD">
            <w:pPr>
              <w:spacing w:before="40"/>
              <w:jc w:val="right"/>
              <w:rPr>
                <w:color w:val="000000"/>
                <w:sz w:val="20"/>
              </w:rPr>
            </w:pPr>
            <w:r w:rsidRPr="00E43187">
              <w:rPr>
                <w:color w:val="000000"/>
                <w:sz w:val="20"/>
              </w:rPr>
              <w:t>(1,200)</w:t>
            </w:r>
          </w:p>
        </w:tc>
      </w:tr>
      <w:tr w:rsidR="00A95416" w14:paraId="0485D4AC" w14:textId="77777777" w:rsidTr="005101BC">
        <w:trPr>
          <w:trHeight w:val="280"/>
        </w:trPr>
        <w:tc>
          <w:tcPr>
            <w:tcW w:w="4819" w:type="dxa"/>
            <w:shd w:val="clear" w:color="auto" w:fill="auto"/>
            <w:vAlign w:val="bottom"/>
          </w:tcPr>
          <w:p w14:paraId="23002C43" w14:textId="77777777" w:rsidR="00A95416" w:rsidRDefault="00A95416" w:rsidP="00327BFD">
            <w:pPr>
              <w:spacing w:before="40"/>
              <w:rPr>
                <w:color w:val="000000"/>
                <w:sz w:val="20"/>
              </w:rPr>
            </w:pPr>
            <w:r>
              <w:rPr>
                <w:color w:val="000000"/>
                <w:sz w:val="20"/>
              </w:rPr>
              <w:t>Unallocated expenses</w:t>
            </w:r>
          </w:p>
        </w:tc>
        <w:tc>
          <w:tcPr>
            <w:tcW w:w="1587" w:type="dxa"/>
            <w:shd w:val="clear" w:color="auto" w:fill="auto"/>
            <w:noWrap/>
            <w:vAlign w:val="bottom"/>
          </w:tcPr>
          <w:p w14:paraId="58AEC4FB" w14:textId="77777777" w:rsidR="00A95416" w:rsidRPr="00E43187" w:rsidRDefault="00A95416" w:rsidP="00327BFD">
            <w:pPr>
              <w:spacing w:before="40"/>
              <w:jc w:val="right"/>
              <w:rPr>
                <w:color w:val="000000"/>
                <w:sz w:val="20"/>
              </w:rPr>
            </w:pPr>
          </w:p>
        </w:tc>
        <w:tc>
          <w:tcPr>
            <w:tcW w:w="1587" w:type="dxa"/>
            <w:shd w:val="clear" w:color="auto" w:fill="auto"/>
            <w:noWrap/>
            <w:vAlign w:val="bottom"/>
          </w:tcPr>
          <w:p w14:paraId="43C7A554" w14:textId="77777777" w:rsidR="00A95416" w:rsidRPr="00E43187" w:rsidRDefault="00A95416" w:rsidP="00327BFD">
            <w:pPr>
              <w:spacing w:before="40"/>
              <w:jc w:val="right"/>
              <w:rPr>
                <w:color w:val="000000"/>
                <w:sz w:val="20"/>
              </w:rPr>
            </w:pPr>
          </w:p>
        </w:tc>
        <w:tc>
          <w:tcPr>
            <w:tcW w:w="1587" w:type="dxa"/>
            <w:shd w:val="clear" w:color="auto" w:fill="auto"/>
            <w:noWrap/>
            <w:vAlign w:val="bottom"/>
          </w:tcPr>
          <w:p w14:paraId="5D1E60AE" w14:textId="77777777" w:rsidR="00A95416" w:rsidRPr="00E43187" w:rsidRDefault="00A95416" w:rsidP="00327BFD">
            <w:pPr>
              <w:spacing w:before="40"/>
              <w:jc w:val="right"/>
              <w:rPr>
                <w:color w:val="000000"/>
                <w:sz w:val="20"/>
              </w:rPr>
            </w:pPr>
          </w:p>
        </w:tc>
        <w:tc>
          <w:tcPr>
            <w:tcW w:w="1587" w:type="dxa"/>
            <w:shd w:val="clear" w:color="auto" w:fill="auto"/>
            <w:noWrap/>
            <w:vAlign w:val="bottom"/>
          </w:tcPr>
          <w:p w14:paraId="716FD2E4" w14:textId="77777777" w:rsidR="00A95416" w:rsidRPr="00E43187" w:rsidRDefault="00A95416" w:rsidP="00327BFD">
            <w:pPr>
              <w:spacing w:before="40"/>
              <w:jc w:val="right"/>
              <w:rPr>
                <w:color w:val="000000"/>
                <w:sz w:val="20"/>
              </w:rPr>
            </w:pPr>
          </w:p>
        </w:tc>
        <w:tc>
          <w:tcPr>
            <w:tcW w:w="1587" w:type="dxa"/>
            <w:shd w:val="clear" w:color="auto" w:fill="auto"/>
            <w:noWrap/>
            <w:vAlign w:val="bottom"/>
          </w:tcPr>
          <w:p w14:paraId="69FA734E" w14:textId="77777777" w:rsidR="00A95416" w:rsidRPr="00E43187" w:rsidRDefault="00A95416" w:rsidP="00327BFD">
            <w:pPr>
              <w:spacing w:before="40"/>
              <w:jc w:val="right"/>
              <w:rPr>
                <w:color w:val="000000"/>
                <w:sz w:val="20"/>
              </w:rPr>
            </w:pPr>
          </w:p>
        </w:tc>
        <w:tc>
          <w:tcPr>
            <w:tcW w:w="1816" w:type="dxa"/>
            <w:shd w:val="clear" w:color="auto" w:fill="auto"/>
            <w:noWrap/>
            <w:vAlign w:val="bottom"/>
          </w:tcPr>
          <w:p w14:paraId="4826688D" w14:textId="77777777" w:rsidR="00A95416" w:rsidRPr="00E43187" w:rsidRDefault="00A95416" w:rsidP="00327BFD">
            <w:pPr>
              <w:pBdr>
                <w:bottom w:val="single" w:sz="4" w:space="0" w:color="000000"/>
              </w:pBdr>
              <w:spacing w:before="40"/>
              <w:jc w:val="right"/>
              <w:rPr>
                <w:color w:val="000000"/>
                <w:sz w:val="20"/>
              </w:rPr>
            </w:pPr>
            <w:r w:rsidRPr="00E43187">
              <w:rPr>
                <w:color w:val="000000"/>
                <w:sz w:val="20"/>
              </w:rPr>
              <w:t>(23,102)</w:t>
            </w:r>
          </w:p>
        </w:tc>
      </w:tr>
      <w:tr w:rsidR="00A95416" w14:paraId="472F8462" w14:textId="77777777" w:rsidTr="005101BC">
        <w:trPr>
          <w:trHeight w:val="280"/>
        </w:trPr>
        <w:tc>
          <w:tcPr>
            <w:tcW w:w="4819" w:type="dxa"/>
            <w:shd w:val="clear" w:color="auto" w:fill="auto"/>
            <w:noWrap/>
            <w:vAlign w:val="bottom"/>
            <w:hideMark/>
          </w:tcPr>
          <w:p w14:paraId="1D3C9018" w14:textId="77777777" w:rsidR="00A95416" w:rsidRPr="00E43187" w:rsidRDefault="00A95416" w:rsidP="00327BFD">
            <w:pPr>
              <w:spacing w:before="40"/>
              <w:rPr>
                <w:color w:val="000000"/>
                <w:sz w:val="20"/>
              </w:rPr>
            </w:pPr>
            <w:r>
              <w:rPr>
                <w:color w:val="000000"/>
                <w:sz w:val="20"/>
              </w:rPr>
              <w:t>Operating profit</w:t>
            </w:r>
          </w:p>
        </w:tc>
        <w:tc>
          <w:tcPr>
            <w:tcW w:w="1587" w:type="dxa"/>
            <w:shd w:val="clear" w:color="auto" w:fill="auto"/>
            <w:noWrap/>
            <w:vAlign w:val="bottom"/>
          </w:tcPr>
          <w:p w14:paraId="3770B8BE" w14:textId="77777777" w:rsidR="00A95416" w:rsidRPr="00E43187" w:rsidRDefault="00A95416" w:rsidP="00327BFD">
            <w:pPr>
              <w:spacing w:before="40"/>
              <w:jc w:val="right"/>
              <w:rPr>
                <w:color w:val="000000"/>
                <w:sz w:val="20"/>
              </w:rPr>
            </w:pPr>
          </w:p>
        </w:tc>
        <w:tc>
          <w:tcPr>
            <w:tcW w:w="1587" w:type="dxa"/>
            <w:shd w:val="clear" w:color="auto" w:fill="auto"/>
            <w:noWrap/>
            <w:vAlign w:val="bottom"/>
          </w:tcPr>
          <w:p w14:paraId="7A6C2A8F" w14:textId="77777777" w:rsidR="00A95416" w:rsidRPr="00E43187" w:rsidRDefault="00A95416" w:rsidP="00327BFD">
            <w:pPr>
              <w:spacing w:before="40"/>
              <w:jc w:val="right"/>
              <w:rPr>
                <w:color w:val="000000"/>
                <w:sz w:val="20"/>
              </w:rPr>
            </w:pPr>
          </w:p>
        </w:tc>
        <w:tc>
          <w:tcPr>
            <w:tcW w:w="1587" w:type="dxa"/>
            <w:shd w:val="clear" w:color="auto" w:fill="auto"/>
            <w:noWrap/>
            <w:vAlign w:val="bottom"/>
          </w:tcPr>
          <w:p w14:paraId="22A9B27A" w14:textId="77777777" w:rsidR="00A95416" w:rsidRPr="00E43187" w:rsidRDefault="00A95416" w:rsidP="00327BFD">
            <w:pPr>
              <w:spacing w:before="40"/>
              <w:jc w:val="right"/>
              <w:rPr>
                <w:color w:val="000000"/>
                <w:sz w:val="20"/>
              </w:rPr>
            </w:pPr>
          </w:p>
        </w:tc>
        <w:tc>
          <w:tcPr>
            <w:tcW w:w="1587" w:type="dxa"/>
            <w:shd w:val="clear" w:color="auto" w:fill="auto"/>
            <w:noWrap/>
            <w:vAlign w:val="bottom"/>
          </w:tcPr>
          <w:p w14:paraId="6330B5FB" w14:textId="77777777" w:rsidR="00A95416" w:rsidRPr="00E43187" w:rsidRDefault="00A95416" w:rsidP="00327BFD">
            <w:pPr>
              <w:spacing w:before="40"/>
              <w:jc w:val="right"/>
              <w:rPr>
                <w:color w:val="000000"/>
                <w:sz w:val="20"/>
              </w:rPr>
            </w:pPr>
          </w:p>
        </w:tc>
        <w:tc>
          <w:tcPr>
            <w:tcW w:w="1587" w:type="dxa"/>
            <w:shd w:val="clear" w:color="auto" w:fill="auto"/>
            <w:noWrap/>
            <w:vAlign w:val="bottom"/>
          </w:tcPr>
          <w:p w14:paraId="5EC238D8" w14:textId="77777777" w:rsidR="00A95416" w:rsidRPr="00E43187" w:rsidRDefault="00A95416" w:rsidP="00327BFD">
            <w:pPr>
              <w:spacing w:before="40"/>
              <w:jc w:val="right"/>
              <w:rPr>
                <w:color w:val="000000"/>
                <w:sz w:val="20"/>
              </w:rPr>
            </w:pPr>
          </w:p>
        </w:tc>
        <w:tc>
          <w:tcPr>
            <w:tcW w:w="1816" w:type="dxa"/>
            <w:shd w:val="clear" w:color="auto" w:fill="auto"/>
            <w:noWrap/>
            <w:vAlign w:val="bottom"/>
          </w:tcPr>
          <w:p w14:paraId="5C0BAE6D" w14:textId="77777777" w:rsidR="00A95416" w:rsidRPr="00E43187" w:rsidRDefault="00A95416" w:rsidP="00327BFD">
            <w:pPr>
              <w:spacing w:before="40"/>
              <w:jc w:val="right"/>
              <w:rPr>
                <w:color w:val="000000"/>
                <w:sz w:val="20"/>
              </w:rPr>
            </w:pPr>
            <w:r w:rsidRPr="00E43187">
              <w:rPr>
                <w:color w:val="000000"/>
                <w:sz w:val="20"/>
              </w:rPr>
              <w:t>134,561</w:t>
            </w:r>
          </w:p>
        </w:tc>
      </w:tr>
      <w:tr w:rsidR="00A95416" w14:paraId="5C2BF1EF" w14:textId="77777777" w:rsidTr="005101BC">
        <w:trPr>
          <w:trHeight w:val="280"/>
        </w:trPr>
        <w:tc>
          <w:tcPr>
            <w:tcW w:w="4819" w:type="dxa"/>
            <w:shd w:val="clear" w:color="auto" w:fill="auto"/>
            <w:vAlign w:val="bottom"/>
            <w:hideMark/>
          </w:tcPr>
          <w:p w14:paraId="04F675F4" w14:textId="77777777" w:rsidR="00A95416" w:rsidRPr="00E43187" w:rsidRDefault="00A95416" w:rsidP="00327BFD">
            <w:pPr>
              <w:spacing w:before="40"/>
              <w:rPr>
                <w:color w:val="000000"/>
                <w:sz w:val="20"/>
              </w:rPr>
            </w:pPr>
            <w:r>
              <w:rPr>
                <w:color w:val="000000"/>
                <w:sz w:val="20"/>
              </w:rPr>
              <w:t>Net financing costs</w:t>
            </w:r>
          </w:p>
        </w:tc>
        <w:tc>
          <w:tcPr>
            <w:tcW w:w="1587" w:type="dxa"/>
            <w:shd w:val="clear" w:color="auto" w:fill="auto"/>
            <w:noWrap/>
            <w:vAlign w:val="bottom"/>
          </w:tcPr>
          <w:p w14:paraId="7E17B6A7" w14:textId="77777777" w:rsidR="00A95416" w:rsidRPr="00E43187" w:rsidRDefault="00A95416" w:rsidP="00327BFD">
            <w:pPr>
              <w:spacing w:before="40"/>
              <w:jc w:val="right"/>
              <w:rPr>
                <w:color w:val="000000"/>
                <w:sz w:val="20"/>
              </w:rPr>
            </w:pPr>
          </w:p>
        </w:tc>
        <w:tc>
          <w:tcPr>
            <w:tcW w:w="1587" w:type="dxa"/>
            <w:shd w:val="clear" w:color="auto" w:fill="auto"/>
            <w:noWrap/>
            <w:vAlign w:val="bottom"/>
          </w:tcPr>
          <w:p w14:paraId="6EC71A87" w14:textId="77777777" w:rsidR="00A95416" w:rsidRPr="00E43187" w:rsidRDefault="00A95416" w:rsidP="00327BFD">
            <w:pPr>
              <w:spacing w:before="40"/>
              <w:jc w:val="right"/>
              <w:rPr>
                <w:color w:val="000000"/>
                <w:sz w:val="20"/>
              </w:rPr>
            </w:pPr>
          </w:p>
        </w:tc>
        <w:tc>
          <w:tcPr>
            <w:tcW w:w="1587" w:type="dxa"/>
            <w:shd w:val="clear" w:color="auto" w:fill="auto"/>
            <w:noWrap/>
            <w:vAlign w:val="bottom"/>
          </w:tcPr>
          <w:p w14:paraId="6751A29A" w14:textId="77777777" w:rsidR="00A95416" w:rsidRPr="00E43187" w:rsidRDefault="00A95416" w:rsidP="00327BFD">
            <w:pPr>
              <w:spacing w:before="40"/>
              <w:jc w:val="right"/>
              <w:rPr>
                <w:color w:val="000000"/>
                <w:sz w:val="20"/>
              </w:rPr>
            </w:pPr>
          </w:p>
        </w:tc>
        <w:tc>
          <w:tcPr>
            <w:tcW w:w="1587" w:type="dxa"/>
            <w:shd w:val="clear" w:color="auto" w:fill="auto"/>
            <w:noWrap/>
            <w:vAlign w:val="bottom"/>
          </w:tcPr>
          <w:p w14:paraId="41D7EDFF" w14:textId="77777777" w:rsidR="00A95416" w:rsidRPr="00E43187" w:rsidRDefault="00A95416" w:rsidP="00327BFD">
            <w:pPr>
              <w:spacing w:before="40"/>
              <w:jc w:val="right"/>
              <w:rPr>
                <w:color w:val="000000"/>
                <w:sz w:val="20"/>
              </w:rPr>
            </w:pPr>
          </w:p>
        </w:tc>
        <w:tc>
          <w:tcPr>
            <w:tcW w:w="1587" w:type="dxa"/>
            <w:shd w:val="clear" w:color="auto" w:fill="auto"/>
            <w:noWrap/>
            <w:vAlign w:val="bottom"/>
          </w:tcPr>
          <w:p w14:paraId="13D239BD" w14:textId="77777777" w:rsidR="00A95416" w:rsidRPr="00E43187" w:rsidRDefault="00A95416" w:rsidP="00327BFD">
            <w:pPr>
              <w:spacing w:before="40"/>
              <w:jc w:val="right"/>
              <w:rPr>
                <w:color w:val="000000"/>
                <w:sz w:val="20"/>
              </w:rPr>
            </w:pPr>
          </w:p>
        </w:tc>
        <w:tc>
          <w:tcPr>
            <w:tcW w:w="1816" w:type="dxa"/>
            <w:shd w:val="clear" w:color="auto" w:fill="auto"/>
            <w:noWrap/>
            <w:vAlign w:val="bottom"/>
          </w:tcPr>
          <w:p w14:paraId="02FDC2EF" w14:textId="77777777" w:rsidR="00A95416" w:rsidRPr="00E43187" w:rsidRDefault="00A95416" w:rsidP="00327BFD">
            <w:pPr>
              <w:spacing w:before="40"/>
              <w:jc w:val="right"/>
              <w:rPr>
                <w:color w:val="000000"/>
                <w:sz w:val="20"/>
              </w:rPr>
            </w:pPr>
            <w:r w:rsidRPr="00E43187">
              <w:rPr>
                <w:color w:val="000000"/>
                <w:sz w:val="20"/>
              </w:rPr>
              <w:t>(31,876)</w:t>
            </w:r>
          </w:p>
        </w:tc>
      </w:tr>
      <w:tr w:rsidR="00A95416" w14:paraId="260DFDA2" w14:textId="77777777" w:rsidTr="005101BC">
        <w:trPr>
          <w:trHeight w:val="280"/>
        </w:trPr>
        <w:tc>
          <w:tcPr>
            <w:tcW w:w="4819" w:type="dxa"/>
            <w:shd w:val="clear" w:color="auto" w:fill="auto"/>
            <w:vAlign w:val="bottom"/>
            <w:hideMark/>
          </w:tcPr>
          <w:p w14:paraId="1CED56FD" w14:textId="77777777" w:rsidR="00A95416" w:rsidRPr="00E43187" w:rsidRDefault="00A95416" w:rsidP="00327BFD">
            <w:pPr>
              <w:spacing w:before="40"/>
              <w:rPr>
                <w:color w:val="000000"/>
                <w:sz w:val="20"/>
              </w:rPr>
            </w:pPr>
            <w:r>
              <w:rPr>
                <w:color w:val="000000"/>
                <w:sz w:val="20"/>
              </w:rPr>
              <w:t>Taxes on income</w:t>
            </w:r>
          </w:p>
        </w:tc>
        <w:tc>
          <w:tcPr>
            <w:tcW w:w="1587" w:type="dxa"/>
            <w:shd w:val="clear" w:color="auto" w:fill="auto"/>
            <w:noWrap/>
            <w:vAlign w:val="bottom"/>
          </w:tcPr>
          <w:p w14:paraId="582EE760" w14:textId="77777777" w:rsidR="00A95416" w:rsidRPr="00E43187" w:rsidRDefault="00A95416" w:rsidP="00327BFD">
            <w:pPr>
              <w:spacing w:before="40"/>
              <w:jc w:val="right"/>
              <w:rPr>
                <w:color w:val="000000"/>
                <w:sz w:val="20"/>
              </w:rPr>
            </w:pPr>
          </w:p>
        </w:tc>
        <w:tc>
          <w:tcPr>
            <w:tcW w:w="1587" w:type="dxa"/>
            <w:shd w:val="clear" w:color="auto" w:fill="auto"/>
            <w:noWrap/>
            <w:vAlign w:val="bottom"/>
          </w:tcPr>
          <w:p w14:paraId="1A6F21F2" w14:textId="77777777" w:rsidR="00A95416" w:rsidRPr="00E43187" w:rsidRDefault="00A95416" w:rsidP="00327BFD">
            <w:pPr>
              <w:spacing w:before="40"/>
              <w:jc w:val="right"/>
              <w:rPr>
                <w:color w:val="000000"/>
                <w:sz w:val="20"/>
              </w:rPr>
            </w:pPr>
          </w:p>
        </w:tc>
        <w:tc>
          <w:tcPr>
            <w:tcW w:w="1587" w:type="dxa"/>
            <w:shd w:val="clear" w:color="auto" w:fill="auto"/>
            <w:noWrap/>
            <w:vAlign w:val="bottom"/>
          </w:tcPr>
          <w:p w14:paraId="3476131D" w14:textId="77777777" w:rsidR="00A95416" w:rsidRPr="00E43187" w:rsidRDefault="00A95416" w:rsidP="00327BFD">
            <w:pPr>
              <w:spacing w:before="40"/>
              <w:jc w:val="right"/>
              <w:rPr>
                <w:color w:val="000000"/>
                <w:sz w:val="20"/>
              </w:rPr>
            </w:pPr>
          </w:p>
        </w:tc>
        <w:tc>
          <w:tcPr>
            <w:tcW w:w="1587" w:type="dxa"/>
            <w:shd w:val="clear" w:color="auto" w:fill="auto"/>
            <w:noWrap/>
            <w:vAlign w:val="bottom"/>
          </w:tcPr>
          <w:p w14:paraId="30C7FCFA" w14:textId="77777777" w:rsidR="00A95416" w:rsidRPr="00E43187" w:rsidRDefault="00A95416" w:rsidP="00327BFD">
            <w:pPr>
              <w:spacing w:before="40"/>
              <w:jc w:val="right"/>
              <w:rPr>
                <w:color w:val="000000"/>
                <w:sz w:val="20"/>
              </w:rPr>
            </w:pPr>
          </w:p>
        </w:tc>
        <w:tc>
          <w:tcPr>
            <w:tcW w:w="1587" w:type="dxa"/>
            <w:shd w:val="clear" w:color="auto" w:fill="auto"/>
            <w:noWrap/>
            <w:vAlign w:val="bottom"/>
          </w:tcPr>
          <w:p w14:paraId="0340DA91" w14:textId="77777777" w:rsidR="00A95416" w:rsidRPr="00E43187" w:rsidRDefault="00A95416" w:rsidP="00327BFD">
            <w:pPr>
              <w:spacing w:before="40"/>
              <w:jc w:val="right"/>
              <w:rPr>
                <w:color w:val="000000"/>
                <w:sz w:val="20"/>
              </w:rPr>
            </w:pPr>
          </w:p>
        </w:tc>
        <w:tc>
          <w:tcPr>
            <w:tcW w:w="1816" w:type="dxa"/>
            <w:shd w:val="clear" w:color="auto" w:fill="auto"/>
            <w:noWrap/>
            <w:vAlign w:val="bottom"/>
          </w:tcPr>
          <w:p w14:paraId="6A0D94AF" w14:textId="77777777" w:rsidR="00A95416" w:rsidRPr="00E43187" w:rsidRDefault="00A95416" w:rsidP="00327BFD">
            <w:pPr>
              <w:spacing w:before="40"/>
              <w:jc w:val="right"/>
              <w:rPr>
                <w:color w:val="000000"/>
                <w:sz w:val="20"/>
              </w:rPr>
            </w:pPr>
            <w:r w:rsidRPr="00E43187">
              <w:rPr>
                <w:color w:val="000000"/>
                <w:sz w:val="20"/>
              </w:rPr>
              <w:t>(24,665)</w:t>
            </w:r>
          </w:p>
        </w:tc>
      </w:tr>
      <w:tr w:rsidR="00A95416" w14:paraId="20A7F470" w14:textId="77777777" w:rsidTr="005101BC">
        <w:trPr>
          <w:trHeight w:val="280"/>
        </w:trPr>
        <w:tc>
          <w:tcPr>
            <w:tcW w:w="4819" w:type="dxa"/>
            <w:shd w:val="clear" w:color="auto" w:fill="auto"/>
            <w:noWrap/>
            <w:vAlign w:val="bottom"/>
            <w:hideMark/>
          </w:tcPr>
          <w:p w14:paraId="01C7E43B" w14:textId="77777777" w:rsidR="00A95416" w:rsidRPr="00E43187" w:rsidRDefault="00A95416" w:rsidP="00327BFD">
            <w:pPr>
              <w:spacing w:before="40"/>
              <w:rPr>
                <w:color w:val="000000"/>
                <w:sz w:val="20"/>
              </w:rPr>
            </w:pPr>
            <w:r>
              <w:rPr>
                <w:color w:val="000000"/>
                <w:sz w:val="20"/>
              </w:rPr>
              <w:t xml:space="preserve">Profit </w:t>
            </w:r>
            <w:r w:rsidRPr="00606DF4">
              <w:rPr>
                <w:color w:val="000000"/>
                <w:sz w:val="20"/>
              </w:rPr>
              <w:t>for the period</w:t>
            </w:r>
          </w:p>
        </w:tc>
        <w:tc>
          <w:tcPr>
            <w:tcW w:w="1587" w:type="dxa"/>
            <w:shd w:val="clear" w:color="auto" w:fill="auto"/>
            <w:noWrap/>
            <w:vAlign w:val="bottom"/>
          </w:tcPr>
          <w:p w14:paraId="6C8B5DA2" w14:textId="77777777" w:rsidR="00A95416" w:rsidRPr="00E43187" w:rsidRDefault="00A95416" w:rsidP="00327BFD">
            <w:pPr>
              <w:spacing w:before="40"/>
              <w:jc w:val="right"/>
              <w:rPr>
                <w:color w:val="000000"/>
                <w:sz w:val="20"/>
              </w:rPr>
            </w:pPr>
          </w:p>
        </w:tc>
        <w:tc>
          <w:tcPr>
            <w:tcW w:w="1587" w:type="dxa"/>
            <w:shd w:val="clear" w:color="auto" w:fill="auto"/>
            <w:noWrap/>
            <w:vAlign w:val="bottom"/>
          </w:tcPr>
          <w:p w14:paraId="39940485" w14:textId="77777777" w:rsidR="00A95416" w:rsidRPr="00E43187" w:rsidRDefault="00A95416" w:rsidP="00327BFD">
            <w:pPr>
              <w:spacing w:before="40"/>
              <w:jc w:val="right"/>
              <w:rPr>
                <w:color w:val="000000"/>
                <w:sz w:val="20"/>
              </w:rPr>
            </w:pPr>
          </w:p>
        </w:tc>
        <w:tc>
          <w:tcPr>
            <w:tcW w:w="1587" w:type="dxa"/>
            <w:shd w:val="clear" w:color="auto" w:fill="auto"/>
            <w:noWrap/>
            <w:vAlign w:val="bottom"/>
          </w:tcPr>
          <w:p w14:paraId="7E7E25AC" w14:textId="77777777" w:rsidR="00A95416" w:rsidRPr="00E43187" w:rsidRDefault="00A95416" w:rsidP="00327BFD">
            <w:pPr>
              <w:spacing w:before="40"/>
              <w:jc w:val="right"/>
              <w:rPr>
                <w:color w:val="000000"/>
                <w:sz w:val="20"/>
              </w:rPr>
            </w:pPr>
          </w:p>
        </w:tc>
        <w:tc>
          <w:tcPr>
            <w:tcW w:w="1587" w:type="dxa"/>
            <w:shd w:val="clear" w:color="auto" w:fill="auto"/>
            <w:noWrap/>
            <w:vAlign w:val="bottom"/>
          </w:tcPr>
          <w:p w14:paraId="48784300" w14:textId="77777777" w:rsidR="00A95416" w:rsidRPr="00E43187" w:rsidRDefault="00A95416" w:rsidP="00327BFD">
            <w:pPr>
              <w:spacing w:before="40"/>
              <w:jc w:val="right"/>
              <w:rPr>
                <w:color w:val="000000"/>
                <w:sz w:val="20"/>
              </w:rPr>
            </w:pPr>
          </w:p>
        </w:tc>
        <w:tc>
          <w:tcPr>
            <w:tcW w:w="1587" w:type="dxa"/>
            <w:shd w:val="clear" w:color="auto" w:fill="auto"/>
            <w:noWrap/>
            <w:vAlign w:val="bottom"/>
          </w:tcPr>
          <w:p w14:paraId="48AF393B" w14:textId="77777777" w:rsidR="00A95416" w:rsidRPr="00E43187" w:rsidRDefault="00A95416" w:rsidP="00327BFD">
            <w:pPr>
              <w:spacing w:before="40"/>
              <w:jc w:val="right"/>
              <w:rPr>
                <w:color w:val="000000"/>
                <w:sz w:val="20"/>
              </w:rPr>
            </w:pPr>
          </w:p>
        </w:tc>
        <w:tc>
          <w:tcPr>
            <w:tcW w:w="1816" w:type="dxa"/>
            <w:tcBorders>
              <w:top w:val="single" w:sz="4" w:space="0" w:color="auto"/>
              <w:bottom w:val="double" w:sz="4" w:space="0" w:color="auto"/>
            </w:tcBorders>
            <w:shd w:val="clear" w:color="auto" w:fill="auto"/>
            <w:noWrap/>
            <w:vAlign w:val="bottom"/>
          </w:tcPr>
          <w:p w14:paraId="05336B4C" w14:textId="77777777" w:rsidR="00A95416" w:rsidRPr="00E43187" w:rsidRDefault="00A95416" w:rsidP="00327BFD">
            <w:pPr>
              <w:spacing w:before="40"/>
              <w:jc w:val="right"/>
              <w:rPr>
                <w:color w:val="000000"/>
                <w:sz w:val="20"/>
              </w:rPr>
            </w:pPr>
            <w:r w:rsidRPr="00E43187">
              <w:rPr>
                <w:color w:val="000000"/>
                <w:sz w:val="20"/>
              </w:rPr>
              <w:t>78,020</w:t>
            </w:r>
          </w:p>
        </w:tc>
      </w:tr>
      <w:tr w:rsidR="00A95416" w14:paraId="4EF958B5" w14:textId="77777777" w:rsidTr="005101BC">
        <w:trPr>
          <w:trHeight w:val="280"/>
        </w:trPr>
        <w:tc>
          <w:tcPr>
            <w:tcW w:w="4819" w:type="dxa"/>
            <w:shd w:val="clear" w:color="auto" w:fill="auto"/>
            <w:vAlign w:val="bottom"/>
            <w:hideMark/>
          </w:tcPr>
          <w:p w14:paraId="66593E82" w14:textId="77777777" w:rsidR="00A95416" w:rsidRDefault="00A95416" w:rsidP="00327BFD">
            <w:pPr>
              <w:spacing w:before="40"/>
              <w:rPr>
                <w:rFonts w:ascii="Arial" w:eastAsia="Arial" w:hAnsi="Arial" w:cs="Arial"/>
                <w:sz w:val="22"/>
              </w:rPr>
            </w:pPr>
          </w:p>
        </w:tc>
        <w:tc>
          <w:tcPr>
            <w:tcW w:w="1587" w:type="dxa"/>
            <w:shd w:val="clear" w:color="auto" w:fill="auto"/>
            <w:noWrap/>
            <w:vAlign w:val="bottom"/>
          </w:tcPr>
          <w:p w14:paraId="08BFE88E" w14:textId="77777777" w:rsidR="00A95416" w:rsidRPr="007F692C" w:rsidRDefault="00A95416" w:rsidP="00327BFD">
            <w:pPr>
              <w:spacing w:before="40"/>
              <w:jc w:val="right"/>
              <w:rPr>
                <w:rFonts w:ascii="Arial" w:eastAsia="Arial" w:hAnsi="Arial" w:cs="Arial"/>
                <w:b/>
                <w:bCs/>
                <w:sz w:val="22"/>
              </w:rPr>
            </w:pPr>
          </w:p>
        </w:tc>
        <w:tc>
          <w:tcPr>
            <w:tcW w:w="1587" w:type="dxa"/>
            <w:shd w:val="clear" w:color="auto" w:fill="auto"/>
            <w:noWrap/>
            <w:vAlign w:val="bottom"/>
          </w:tcPr>
          <w:p w14:paraId="45495592" w14:textId="77777777" w:rsidR="00A95416" w:rsidRPr="007F692C" w:rsidRDefault="00A95416" w:rsidP="00327BFD">
            <w:pPr>
              <w:spacing w:before="40"/>
              <w:jc w:val="right"/>
              <w:rPr>
                <w:rFonts w:ascii="Arial" w:eastAsia="Arial" w:hAnsi="Arial" w:cs="Arial"/>
                <w:b/>
                <w:bCs/>
                <w:sz w:val="22"/>
              </w:rPr>
            </w:pPr>
          </w:p>
        </w:tc>
        <w:tc>
          <w:tcPr>
            <w:tcW w:w="1587" w:type="dxa"/>
            <w:shd w:val="clear" w:color="auto" w:fill="auto"/>
            <w:noWrap/>
            <w:vAlign w:val="bottom"/>
          </w:tcPr>
          <w:p w14:paraId="29648E8B" w14:textId="77777777" w:rsidR="00A95416" w:rsidRPr="007F692C" w:rsidRDefault="00A95416" w:rsidP="00327BFD">
            <w:pPr>
              <w:spacing w:before="40"/>
              <w:jc w:val="right"/>
              <w:rPr>
                <w:rFonts w:ascii="Arial" w:eastAsia="Arial" w:hAnsi="Arial" w:cs="Arial"/>
                <w:b/>
                <w:bCs/>
                <w:sz w:val="22"/>
              </w:rPr>
            </w:pPr>
          </w:p>
        </w:tc>
        <w:tc>
          <w:tcPr>
            <w:tcW w:w="1587" w:type="dxa"/>
            <w:shd w:val="clear" w:color="auto" w:fill="auto"/>
            <w:noWrap/>
            <w:vAlign w:val="bottom"/>
          </w:tcPr>
          <w:p w14:paraId="11BD2F6F" w14:textId="77777777" w:rsidR="00A95416" w:rsidRPr="007F692C" w:rsidRDefault="00A95416" w:rsidP="00327BFD">
            <w:pPr>
              <w:spacing w:before="40"/>
              <w:jc w:val="right"/>
              <w:rPr>
                <w:rFonts w:ascii="Arial" w:eastAsia="Arial" w:hAnsi="Arial" w:cs="Arial"/>
                <w:b/>
                <w:bCs/>
                <w:sz w:val="22"/>
              </w:rPr>
            </w:pPr>
          </w:p>
        </w:tc>
        <w:tc>
          <w:tcPr>
            <w:tcW w:w="1587" w:type="dxa"/>
            <w:shd w:val="clear" w:color="auto" w:fill="auto"/>
            <w:noWrap/>
            <w:vAlign w:val="bottom"/>
          </w:tcPr>
          <w:p w14:paraId="21D16D00" w14:textId="77777777" w:rsidR="00A95416" w:rsidRPr="007F692C" w:rsidRDefault="00A95416" w:rsidP="00327BFD">
            <w:pPr>
              <w:spacing w:before="40"/>
              <w:jc w:val="right"/>
              <w:rPr>
                <w:rFonts w:ascii="Arial" w:eastAsia="Arial" w:hAnsi="Arial" w:cs="Arial"/>
                <w:b/>
                <w:bCs/>
                <w:sz w:val="22"/>
              </w:rPr>
            </w:pPr>
          </w:p>
        </w:tc>
        <w:tc>
          <w:tcPr>
            <w:tcW w:w="1816" w:type="dxa"/>
            <w:shd w:val="clear" w:color="auto" w:fill="auto"/>
            <w:noWrap/>
            <w:vAlign w:val="bottom"/>
          </w:tcPr>
          <w:p w14:paraId="7A4F4AE6" w14:textId="77777777" w:rsidR="00A95416" w:rsidRPr="007F692C" w:rsidRDefault="00A95416" w:rsidP="00327BFD">
            <w:pPr>
              <w:spacing w:before="40"/>
              <w:jc w:val="right"/>
              <w:rPr>
                <w:rFonts w:ascii="Arial" w:eastAsia="Arial" w:hAnsi="Arial" w:cs="Arial"/>
                <w:b/>
                <w:bCs/>
                <w:sz w:val="22"/>
              </w:rPr>
            </w:pPr>
          </w:p>
        </w:tc>
      </w:tr>
    </w:tbl>
    <w:p w14:paraId="047177C0" w14:textId="100BB5CD" w:rsidR="001F0577" w:rsidRDefault="001F0577" w:rsidP="00210130">
      <w:pPr>
        <w:rPr>
          <w:color w:val="000000"/>
          <w:sz w:val="20"/>
        </w:rPr>
      </w:pPr>
    </w:p>
    <w:p w14:paraId="37FB5F06" w14:textId="337001F2" w:rsidR="00E82120" w:rsidRDefault="00D85F46" w:rsidP="00C7020E">
      <w:pPr>
        <w:rPr>
          <w:b/>
          <w:bCs/>
          <w:sz w:val="26"/>
          <w:szCs w:val="26"/>
        </w:rPr>
      </w:pPr>
      <w:r>
        <w:rPr>
          <w:b/>
          <w:bCs/>
          <w:sz w:val="26"/>
          <w:szCs w:val="26"/>
        </w:rPr>
        <w:br w:type="page"/>
      </w:r>
    </w:p>
    <w:p w14:paraId="14BD0C28" w14:textId="77777777" w:rsidR="00425DB1" w:rsidRPr="00D85F46" w:rsidRDefault="00425DB1" w:rsidP="00C7020E">
      <w:pPr>
        <w:rPr>
          <w:b/>
          <w:bCs/>
          <w:sz w:val="22"/>
          <w:szCs w:val="22"/>
          <w:rtl/>
        </w:rPr>
      </w:pPr>
    </w:p>
    <w:p w14:paraId="0C1C919F" w14:textId="77777777" w:rsidR="00E82120" w:rsidRPr="00D85F46" w:rsidRDefault="00E82120" w:rsidP="00E82120">
      <w:pPr>
        <w:rPr>
          <w:sz w:val="22"/>
          <w:szCs w:val="22"/>
        </w:rPr>
      </w:pPr>
      <w:r w:rsidRPr="00D85F46">
        <w:rPr>
          <w:b/>
          <w:bCs/>
          <w:sz w:val="22"/>
          <w:szCs w:val="22"/>
        </w:rPr>
        <w:t>Note 24 - Operating Segments (cont’d)</w:t>
      </w:r>
    </w:p>
    <w:p w14:paraId="3F0B4206" w14:textId="77777777" w:rsidR="00E82120" w:rsidRDefault="00E82120" w:rsidP="00E82120">
      <w:pPr>
        <w:rPr>
          <w:rStyle w:val="Koteret"/>
          <w:b w:val="0"/>
          <w:bCs/>
          <w:i/>
          <w:iCs/>
        </w:rPr>
      </w:pPr>
    </w:p>
    <w:p w14:paraId="2DF0C20A" w14:textId="149FF7A4" w:rsidR="00E82120" w:rsidRDefault="00E82120" w:rsidP="00E82120">
      <w:pPr>
        <w:rPr>
          <w:rStyle w:val="Koteret"/>
          <w:b w:val="0"/>
          <w:i/>
          <w:iCs/>
          <w:rtl/>
        </w:rPr>
      </w:pPr>
      <w:r w:rsidRPr="005862F2">
        <w:rPr>
          <w:rStyle w:val="Koteret"/>
          <w:b w:val="0"/>
          <w:i/>
          <w:iCs/>
        </w:rPr>
        <w:t>In thousands of Euros</w:t>
      </w:r>
    </w:p>
    <w:tbl>
      <w:tblPr>
        <w:tblW w:w="13664" w:type="dxa"/>
        <w:tblLook w:val="06A0" w:firstRow="1" w:lastRow="0" w:firstColumn="1" w:lastColumn="0" w:noHBand="1" w:noVBand="1"/>
        <w:tblCaption w:val="AHR02"/>
        <w:tblDescription w:val="Operating Segments year of report"/>
      </w:tblPr>
      <w:tblGrid>
        <w:gridCol w:w="4025"/>
        <w:gridCol w:w="1587"/>
        <w:gridCol w:w="1587"/>
        <w:gridCol w:w="1739"/>
        <w:gridCol w:w="1595"/>
        <w:gridCol w:w="1495"/>
        <w:gridCol w:w="1636"/>
      </w:tblGrid>
      <w:tr w:rsidR="005101BC" w:rsidRPr="009A5ABF" w14:paraId="5CE1F669" w14:textId="77777777" w:rsidTr="005101BC">
        <w:trPr>
          <w:cantSplit/>
          <w:trHeight w:val="283"/>
          <w:tblHeader/>
        </w:trPr>
        <w:tc>
          <w:tcPr>
            <w:tcW w:w="4025" w:type="dxa"/>
            <w:vMerge w:val="restart"/>
            <w:shd w:val="clear" w:color="auto" w:fill="auto"/>
            <w:noWrap/>
            <w:vAlign w:val="bottom"/>
            <w:hideMark/>
          </w:tcPr>
          <w:p w14:paraId="2F26A9EF" w14:textId="77777777" w:rsidR="005101BC" w:rsidRPr="009A5ABF" w:rsidRDefault="005101BC" w:rsidP="005F4656">
            <w:pPr>
              <w:spacing w:before="40"/>
              <w:rPr>
                <w:rFonts w:ascii="Arial" w:eastAsia="Arial" w:hAnsi="Arial" w:cs="Arial"/>
                <w:sz w:val="20"/>
              </w:rPr>
            </w:pPr>
            <w:bookmarkStart w:id="224" w:name="Title_68" w:colFirst="0" w:colLast="0"/>
          </w:p>
        </w:tc>
        <w:tc>
          <w:tcPr>
            <w:tcW w:w="9639" w:type="dxa"/>
            <w:gridSpan w:val="6"/>
            <w:shd w:val="clear" w:color="auto" w:fill="auto"/>
            <w:vAlign w:val="bottom"/>
            <w:hideMark/>
          </w:tcPr>
          <w:p w14:paraId="7952144E" w14:textId="59AC9EF6" w:rsidR="005101BC" w:rsidRPr="009A5ABF" w:rsidRDefault="005101BC" w:rsidP="00D85F46">
            <w:pPr>
              <w:pBdr>
                <w:bottom w:val="single" w:sz="4" w:space="0" w:color="000000"/>
              </w:pBdr>
              <w:spacing w:before="40"/>
              <w:ind w:left="57"/>
              <w:jc w:val="center"/>
              <w:rPr>
                <w:b/>
                <w:bCs/>
                <w:sz w:val="20"/>
                <w:lang w:bidi="he-IL"/>
              </w:rPr>
            </w:pPr>
            <w:r w:rsidRPr="009A5ABF">
              <w:rPr>
                <w:b/>
                <w:bCs/>
                <w:color w:val="000000"/>
                <w:sz w:val="20"/>
              </w:rPr>
              <w:t xml:space="preserve">For the year ended </w:t>
            </w:r>
            <w:proofErr w:type="gramStart"/>
            <w:r w:rsidRPr="009A5ABF">
              <w:rPr>
                <w:b/>
                <w:bCs/>
                <w:color w:val="000000"/>
                <w:sz w:val="20"/>
              </w:rPr>
              <w:t>at</w:t>
            </w:r>
            <w:proofErr w:type="gramEnd"/>
            <w:r w:rsidRPr="009A5ABF">
              <w:rPr>
                <w:b/>
                <w:bCs/>
                <w:color w:val="000000"/>
                <w:sz w:val="20"/>
              </w:rPr>
              <w:t xml:space="preserve"> December 31, </w:t>
            </w:r>
            <w:r>
              <w:rPr>
                <w:b/>
                <w:bCs/>
                <w:sz w:val="20"/>
                <w:lang w:bidi="he-IL"/>
              </w:rPr>
              <w:t>2024</w:t>
            </w:r>
          </w:p>
        </w:tc>
      </w:tr>
      <w:bookmarkEnd w:id="224"/>
      <w:tr w:rsidR="005101BC" w:rsidRPr="009A5ABF" w14:paraId="20274788" w14:textId="77777777" w:rsidTr="005101BC">
        <w:trPr>
          <w:cantSplit/>
          <w:trHeight w:val="283"/>
          <w:tblHeader/>
        </w:trPr>
        <w:tc>
          <w:tcPr>
            <w:tcW w:w="4025" w:type="dxa"/>
            <w:vMerge/>
            <w:shd w:val="clear" w:color="auto" w:fill="auto"/>
            <w:noWrap/>
            <w:vAlign w:val="bottom"/>
            <w:hideMark/>
          </w:tcPr>
          <w:p w14:paraId="63B70092" w14:textId="77777777" w:rsidR="005101BC" w:rsidRPr="009A5ABF" w:rsidRDefault="005101BC" w:rsidP="005F4656">
            <w:pPr>
              <w:spacing w:before="40"/>
              <w:rPr>
                <w:rFonts w:ascii="Arial" w:eastAsia="Arial" w:hAnsi="Arial" w:cs="Arial"/>
                <w:sz w:val="20"/>
              </w:rPr>
            </w:pPr>
          </w:p>
        </w:tc>
        <w:tc>
          <w:tcPr>
            <w:tcW w:w="1587" w:type="dxa"/>
            <w:shd w:val="clear" w:color="auto" w:fill="auto"/>
            <w:vAlign w:val="bottom"/>
            <w:hideMark/>
          </w:tcPr>
          <w:p w14:paraId="7E9DC67D" w14:textId="77777777" w:rsidR="005101BC" w:rsidRPr="009A5ABF" w:rsidRDefault="005101BC" w:rsidP="005F4656">
            <w:pPr>
              <w:pBdr>
                <w:bottom w:val="single" w:sz="4" w:space="0" w:color="000000"/>
              </w:pBdr>
              <w:spacing w:before="40"/>
              <w:jc w:val="center"/>
              <w:rPr>
                <w:b/>
                <w:bCs/>
                <w:sz w:val="20"/>
              </w:rPr>
            </w:pPr>
            <w:r w:rsidRPr="009A5ABF">
              <w:rPr>
                <w:b/>
                <w:bCs/>
                <w:color w:val="000000"/>
                <w:sz w:val="20"/>
              </w:rPr>
              <w:t>Czech Republic</w:t>
            </w:r>
          </w:p>
        </w:tc>
        <w:tc>
          <w:tcPr>
            <w:tcW w:w="1587" w:type="dxa"/>
            <w:shd w:val="clear" w:color="auto" w:fill="auto"/>
            <w:vAlign w:val="bottom"/>
            <w:hideMark/>
          </w:tcPr>
          <w:p w14:paraId="05D4A75E" w14:textId="77777777" w:rsidR="005101BC" w:rsidRPr="009A5ABF" w:rsidRDefault="005101BC" w:rsidP="005F4656">
            <w:pPr>
              <w:pBdr>
                <w:bottom w:val="single" w:sz="4" w:space="0" w:color="000000"/>
              </w:pBdr>
              <w:spacing w:before="40"/>
              <w:jc w:val="center"/>
              <w:rPr>
                <w:b/>
                <w:bCs/>
                <w:sz w:val="20"/>
              </w:rPr>
            </w:pPr>
            <w:r w:rsidRPr="009A5ABF">
              <w:rPr>
                <w:b/>
                <w:bCs/>
                <w:color w:val="000000"/>
                <w:sz w:val="20"/>
              </w:rPr>
              <w:t>Serbia</w:t>
            </w:r>
          </w:p>
        </w:tc>
        <w:tc>
          <w:tcPr>
            <w:tcW w:w="1739" w:type="dxa"/>
            <w:shd w:val="clear" w:color="auto" w:fill="auto"/>
            <w:vAlign w:val="bottom"/>
            <w:hideMark/>
          </w:tcPr>
          <w:p w14:paraId="4A2581A9" w14:textId="77777777" w:rsidR="005101BC" w:rsidRPr="009A5ABF" w:rsidRDefault="005101BC" w:rsidP="005F4656">
            <w:pPr>
              <w:pBdr>
                <w:bottom w:val="single" w:sz="4" w:space="0" w:color="000000"/>
              </w:pBdr>
              <w:spacing w:before="40"/>
              <w:jc w:val="center"/>
              <w:rPr>
                <w:b/>
                <w:bCs/>
                <w:sz w:val="20"/>
              </w:rPr>
            </w:pPr>
            <w:r w:rsidRPr="009A5ABF">
              <w:rPr>
                <w:b/>
                <w:bCs/>
                <w:color w:val="000000"/>
                <w:sz w:val="20"/>
              </w:rPr>
              <w:t>Romania</w:t>
            </w:r>
          </w:p>
        </w:tc>
        <w:tc>
          <w:tcPr>
            <w:tcW w:w="1595" w:type="dxa"/>
            <w:shd w:val="clear" w:color="auto" w:fill="auto"/>
            <w:vAlign w:val="bottom"/>
            <w:hideMark/>
          </w:tcPr>
          <w:p w14:paraId="1BEC194C" w14:textId="77777777" w:rsidR="005101BC" w:rsidRPr="009A5ABF" w:rsidRDefault="005101BC" w:rsidP="005F4656">
            <w:pPr>
              <w:pBdr>
                <w:bottom w:val="single" w:sz="4" w:space="0" w:color="000000"/>
              </w:pBdr>
              <w:spacing w:before="40"/>
              <w:jc w:val="center"/>
              <w:rPr>
                <w:b/>
                <w:bCs/>
                <w:sz w:val="20"/>
              </w:rPr>
            </w:pPr>
            <w:r w:rsidRPr="009A5ABF">
              <w:rPr>
                <w:b/>
                <w:bCs/>
                <w:color w:val="000000"/>
                <w:sz w:val="20"/>
              </w:rPr>
              <w:t>Poland</w:t>
            </w:r>
          </w:p>
        </w:tc>
        <w:tc>
          <w:tcPr>
            <w:tcW w:w="1495" w:type="dxa"/>
            <w:shd w:val="clear" w:color="auto" w:fill="auto"/>
            <w:vAlign w:val="bottom"/>
            <w:hideMark/>
          </w:tcPr>
          <w:p w14:paraId="4B933779" w14:textId="77777777" w:rsidR="005101BC" w:rsidRPr="009A5ABF" w:rsidRDefault="005101BC" w:rsidP="005F4656">
            <w:pPr>
              <w:pBdr>
                <w:bottom w:val="single" w:sz="4" w:space="0" w:color="000000"/>
              </w:pBdr>
              <w:spacing w:before="40"/>
              <w:jc w:val="center"/>
              <w:rPr>
                <w:b/>
                <w:bCs/>
                <w:sz w:val="20"/>
              </w:rPr>
            </w:pPr>
            <w:r w:rsidRPr="009A5ABF">
              <w:rPr>
                <w:b/>
                <w:bCs/>
                <w:color w:val="000000"/>
                <w:sz w:val="20"/>
              </w:rPr>
              <w:t>Other Regions</w:t>
            </w:r>
          </w:p>
        </w:tc>
        <w:tc>
          <w:tcPr>
            <w:tcW w:w="1636" w:type="dxa"/>
            <w:shd w:val="clear" w:color="auto" w:fill="auto"/>
            <w:vAlign w:val="bottom"/>
            <w:hideMark/>
          </w:tcPr>
          <w:p w14:paraId="69C40601" w14:textId="77777777" w:rsidR="005101BC" w:rsidRPr="009A5ABF" w:rsidRDefault="005101BC" w:rsidP="005F4656">
            <w:pPr>
              <w:pBdr>
                <w:bottom w:val="single" w:sz="4" w:space="0" w:color="000000"/>
              </w:pBdr>
              <w:spacing w:before="40"/>
              <w:jc w:val="center"/>
              <w:rPr>
                <w:b/>
                <w:bCs/>
                <w:sz w:val="20"/>
              </w:rPr>
            </w:pPr>
            <w:r w:rsidRPr="009A5ABF">
              <w:rPr>
                <w:b/>
                <w:bCs/>
                <w:color w:val="000000"/>
                <w:sz w:val="20"/>
              </w:rPr>
              <w:t>Total Consolidated</w:t>
            </w:r>
          </w:p>
        </w:tc>
      </w:tr>
      <w:tr w:rsidR="00B76FDE" w:rsidRPr="009A5ABF" w14:paraId="3FB26AFF" w14:textId="77777777" w:rsidTr="005101BC">
        <w:trPr>
          <w:trHeight w:val="283"/>
        </w:trPr>
        <w:tc>
          <w:tcPr>
            <w:tcW w:w="4025" w:type="dxa"/>
            <w:shd w:val="clear" w:color="auto" w:fill="auto"/>
            <w:vAlign w:val="bottom"/>
            <w:hideMark/>
          </w:tcPr>
          <w:p w14:paraId="1DEFE6DA" w14:textId="77777777" w:rsidR="00B76FDE" w:rsidRPr="00967E9D" w:rsidRDefault="00B76FDE" w:rsidP="00B76FDE">
            <w:pPr>
              <w:spacing w:before="40"/>
              <w:rPr>
                <w:sz w:val="20"/>
              </w:rPr>
            </w:pPr>
            <w:r w:rsidRPr="00967E9D">
              <w:rPr>
                <w:color w:val="000000"/>
                <w:sz w:val="20"/>
              </w:rPr>
              <w:t>Investment property and investment property under development</w:t>
            </w:r>
          </w:p>
        </w:tc>
        <w:tc>
          <w:tcPr>
            <w:tcW w:w="1587" w:type="dxa"/>
            <w:shd w:val="clear" w:color="auto" w:fill="auto"/>
            <w:noWrap/>
            <w:vAlign w:val="bottom"/>
          </w:tcPr>
          <w:p w14:paraId="177806C0" w14:textId="3E6B091F" w:rsidR="00B76FDE" w:rsidRPr="00425DB1" w:rsidRDefault="00B76FDE" w:rsidP="00B76FDE">
            <w:pPr>
              <w:spacing w:before="40"/>
              <w:jc w:val="right"/>
              <w:rPr>
                <w:sz w:val="20"/>
              </w:rPr>
            </w:pPr>
            <w:r w:rsidRPr="00425DB1">
              <w:rPr>
                <w:sz w:val="20"/>
              </w:rPr>
              <w:t>546,903</w:t>
            </w:r>
          </w:p>
        </w:tc>
        <w:tc>
          <w:tcPr>
            <w:tcW w:w="1587" w:type="dxa"/>
            <w:shd w:val="clear" w:color="auto" w:fill="auto"/>
            <w:noWrap/>
            <w:vAlign w:val="bottom"/>
          </w:tcPr>
          <w:p w14:paraId="72A7A726" w14:textId="456E2837" w:rsidR="00B76FDE" w:rsidRPr="00425DB1" w:rsidRDefault="00B76FDE" w:rsidP="00B76FDE">
            <w:pPr>
              <w:spacing w:before="40"/>
              <w:jc w:val="right"/>
              <w:rPr>
                <w:sz w:val="20"/>
              </w:rPr>
            </w:pPr>
            <w:r w:rsidRPr="00425DB1">
              <w:rPr>
                <w:sz w:val="20"/>
              </w:rPr>
              <w:t>656,991</w:t>
            </w:r>
          </w:p>
        </w:tc>
        <w:tc>
          <w:tcPr>
            <w:tcW w:w="1739" w:type="dxa"/>
            <w:shd w:val="clear" w:color="auto" w:fill="auto"/>
            <w:noWrap/>
            <w:vAlign w:val="bottom"/>
          </w:tcPr>
          <w:p w14:paraId="24C44DE0" w14:textId="432DE27C" w:rsidR="00B76FDE" w:rsidRPr="00425DB1" w:rsidRDefault="00B76FDE" w:rsidP="00B76FDE">
            <w:pPr>
              <w:spacing w:before="40"/>
              <w:jc w:val="right"/>
              <w:rPr>
                <w:sz w:val="20"/>
              </w:rPr>
            </w:pPr>
            <w:r w:rsidRPr="00425DB1">
              <w:rPr>
                <w:sz w:val="20"/>
              </w:rPr>
              <w:t>1,583,367</w:t>
            </w:r>
          </w:p>
        </w:tc>
        <w:tc>
          <w:tcPr>
            <w:tcW w:w="1595" w:type="dxa"/>
            <w:shd w:val="clear" w:color="auto" w:fill="auto"/>
            <w:noWrap/>
            <w:vAlign w:val="bottom"/>
          </w:tcPr>
          <w:p w14:paraId="19EC419A" w14:textId="5E74CB20" w:rsidR="00B76FDE" w:rsidRPr="00425DB1" w:rsidRDefault="00B76FDE" w:rsidP="00B76FDE">
            <w:pPr>
              <w:spacing w:before="40"/>
              <w:jc w:val="right"/>
              <w:rPr>
                <w:sz w:val="20"/>
              </w:rPr>
            </w:pPr>
            <w:r w:rsidRPr="00425DB1">
              <w:rPr>
                <w:sz w:val="20"/>
              </w:rPr>
              <w:t>521,018</w:t>
            </w:r>
          </w:p>
        </w:tc>
        <w:tc>
          <w:tcPr>
            <w:tcW w:w="1495" w:type="dxa"/>
            <w:shd w:val="clear" w:color="auto" w:fill="auto"/>
            <w:noWrap/>
            <w:vAlign w:val="bottom"/>
          </w:tcPr>
          <w:p w14:paraId="179D5F67" w14:textId="68BA4DD7" w:rsidR="00B76FDE" w:rsidRPr="00425DB1" w:rsidRDefault="00B76FDE" w:rsidP="00B76FDE">
            <w:pPr>
              <w:spacing w:before="40"/>
              <w:jc w:val="right"/>
              <w:rPr>
                <w:sz w:val="20"/>
              </w:rPr>
            </w:pPr>
            <w:r w:rsidRPr="00425DB1">
              <w:rPr>
                <w:sz w:val="20"/>
              </w:rPr>
              <w:t>34,594</w:t>
            </w:r>
          </w:p>
        </w:tc>
        <w:tc>
          <w:tcPr>
            <w:tcW w:w="1636" w:type="dxa"/>
            <w:shd w:val="clear" w:color="auto" w:fill="auto"/>
            <w:noWrap/>
            <w:vAlign w:val="bottom"/>
          </w:tcPr>
          <w:p w14:paraId="0B61BD93" w14:textId="6401CE67" w:rsidR="00B76FDE" w:rsidRPr="00425DB1" w:rsidRDefault="00B76FDE" w:rsidP="00B76FDE">
            <w:pPr>
              <w:spacing w:before="40"/>
              <w:jc w:val="right"/>
              <w:rPr>
                <w:sz w:val="20"/>
              </w:rPr>
            </w:pPr>
            <w:r w:rsidRPr="00425DB1">
              <w:rPr>
                <w:sz w:val="20"/>
              </w:rPr>
              <w:t>3,342,873</w:t>
            </w:r>
          </w:p>
        </w:tc>
      </w:tr>
      <w:tr w:rsidR="00B76FDE" w:rsidRPr="009A5ABF" w14:paraId="0433B3BA" w14:textId="77777777" w:rsidTr="005101BC">
        <w:trPr>
          <w:trHeight w:val="283"/>
        </w:trPr>
        <w:tc>
          <w:tcPr>
            <w:tcW w:w="4025" w:type="dxa"/>
            <w:shd w:val="clear" w:color="auto" w:fill="auto"/>
            <w:vAlign w:val="bottom"/>
            <w:hideMark/>
          </w:tcPr>
          <w:p w14:paraId="3ABF9420" w14:textId="77777777" w:rsidR="00B76FDE" w:rsidRPr="00967E9D" w:rsidRDefault="00B76FDE" w:rsidP="00B76FDE">
            <w:pPr>
              <w:spacing w:before="40"/>
              <w:rPr>
                <w:sz w:val="20"/>
              </w:rPr>
            </w:pPr>
            <w:r w:rsidRPr="00967E9D">
              <w:rPr>
                <w:color w:val="000000"/>
                <w:sz w:val="20"/>
              </w:rPr>
              <w:t>Inventory of buildings and land</w:t>
            </w:r>
          </w:p>
        </w:tc>
        <w:tc>
          <w:tcPr>
            <w:tcW w:w="1587" w:type="dxa"/>
            <w:shd w:val="clear" w:color="auto" w:fill="auto"/>
            <w:noWrap/>
            <w:vAlign w:val="bottom"/>
          </w:tcPr>
          <w:p w14:paraId="62A26125" w14:textId="35C7C0B9" w:rsidR="00B76FDE" w:rsidRPr="00425DB1" w:rsidRDefault="00B76FDE" w:rsidP="00B76FDE">
            <w:pPr>
              <w:pBdr>
                <w:bottom w:val="single" w:sz="4" w:space="0" w:color="000000"/>
              </w:pBdr>
              <w:spacing w:before="40"/>
              <w:jc w:val="right"/>
              <w:rPr>
                <w:sz w:val="20"/>
              </w:rPr>
            </w:pPr>
            <w:r w:rsidRPr="00425DB1">
              <w:rPr>
                <w:sz w:val="20"/>
              </w:rPr>
              <w:t>32,448</w:t>
            </w:r>
          </w:p>
        </w:tc>
        <w:tc>
          <w:tcPr>
            <w:tcW w:w="1587" w:type="dxa"/>
            <w:shd w:val="clear" w:color="auto" w:fill="auto"/>
            <w:noWrap/>
            <w:vAlign w:val="bottom"/>
          </w:tcPr>
          <w:p w14:paraId="0A75BA43" w14:textId="71DD5D66" w:rsidR="00B76FDE" w:rsidRPr="00425DB1" w:rsidRDefault="00B76FDE" w:rsidP="00B76FDE">
            <w:pPr>
              <w:pBdr>
                <w:bottom w:val="single" w:sz="4" w:space="0" w:color="000000"/>
              </w:pBdr>
              <w:spacing w:before="40"/>
              <w:jc w:val="right"/>
              <w:rPr>
                <w:sz w:val="20"/>
              </w:rPr>
            </w:pPr>
            <w:r w:rsidRPr="00425DB1">
              <w:rPr>
                <w:sz w:val="20"/>
              </w:rPr>
              <w:t>-</w:t>
            </w:r>
          </w:p>
        </w:tc>
        <w:tc>
          <w:tcPr>
            <w:tcW w:w="1739" w:type="dxa"/>
            <w:shd w:val="clear" w:color="auto" w:fill="auto"/>
            <w:noWrap/>
            <w:vAlign w:val="bottom"/>
          </w:tcPr>
          <w:p w14:paraId="61774C71" w14:textId="5CA7B6CC" w:rsidR="00B76FDE" w:rsidRPr="00425DB1" w:rsidRDefault="00B76FDE" w:rsidP="00B76FDE">
            <w:pPr>
              <w:pBdr>
                <w:bottom w:val="single" w:sz="4" w:space="0" w:color="000000"/>
              </w:pBdr>
              <w:spacing w:before="40"/>
              <w:jc w:val="right"/>
              <w:rPr>
                <w:sz w:val="20"/>
              </w:rPr>
            </w:pPr>
            <w:r w:rsidRPr="00425DB1">
              <w:rPr>
                <w:sz w:val="20"/>
              </w:rPr>
              <w:t>56,562</w:t>
            </w:r>
          </w:p>
        </w:tc>
        <w:tc>
          <w:tcPr>
            <w:tcW w:w="1595" w:type="dxa"/>
            <w:shd w:val="clear" w:color="auto" w:fill="auto"/>
            <w:noWrap/>
            <w:vAlign w:val="bottom"/>
          </w:tcPr>
          <w:p w14:paraId="38BC7C6B" w14:textId="48241298" w:rsidR="00B76FDE" w:rsidRPr="00425DB1" w:rsidRDefault="00B76FDE" w:rsidP="00B76FDE">
            <w:pPr>
              <w:pBdr>
                <w:bottom w:val="single" w:sz="4" w:space="0" w:color="000000"/>
              </w:pBdr>
              <w:spacing w:before="40"/>
              <w:jc w:val="right"/>
              <w:rPr>
                <w:sz w:val="20"/>
              </w:rPr>
            </w:pPr>
            <w:r w:rsidRPr="00425DB1">
              <w:rPr>
                <w:sz w:val="20"/>
              </w:rPr>
              <w:t>9,809</w:t>
            </w:r>
          </w:p>
        </w:tc>
        <w:tc>
          <w:tcPr>
            <w:tcW w:w="1495" w:type="dxa"/>
            <w:shd w:val="clear" w:color="auto" w:fill="auto"/>
            <w:noWrap/>
            <w:vAlign w:val="bottom"/>
          </w:tcPr>
          <w:p w14:paraId="31FDE7E5" w14:textId="74E18BDA" w:rsidR="00B76FDE" w:rsidRPr="00425DB1" w:rsidRDefault="00B76FDE" w:rsidP="00B76FDE">
            <w:pPr>
              <w:pBdr>
                <w:bottom w:val="single" w:sz="4" w:space="0" w:color="000000"/>
              </w:pBdr>
              <w:spacing w:before="40"/>
              <w:jc w:val="right"/>
              <w:rPr>
                <w:sz w:val="20"/>
              </w:rPr>
            </w:pPr>
            <w:r w:rsidRPr="00425DB1">
              <w:rPr>
                <w:sz w:val="20"/>
              </w:rPr>
              <w:t>38,700</w:t>
            </w:r>
          </w:p>
        </w:tc>
        <w:tc>
          <w:tcPr>
            <w:tcW w:w="1636" w:type="dxa"/>
            <w:shd w:val="clear" w:color="auto" w:fill="auto"/>
            <w:noWrap/>
            <w:vAlign w:val="bottom"/>
          </w:tcPr>
          <w:p w14:paraId="74B5F98E" w14:textId="3C9721BC" w:rsidR="00B76FDE" w:rsidRPr="00425DB1" w:rsidRDefault="00B76FDE" w:rsidP="00B76FDE">
            <w:pPr>
              <w:pBdr>
                <w:bottom w:val="single" w:sz="4" w:space="0" w:color="000000"/>
              </w:pBdr>
              <w:spacing w:before="40"/>
              <w:jc w:val="right"/>
              <w:rPr>
                <w:sz w:val="20"/>
              </w:rPr>
            </w:pPr>
            <w:r w:rsidRPr="00425DB1">
              <w:rPr>
                <w:sz w:val="20"/>
              </w:rPr>
              <w:t>137,519</w:t>
            </w:r>
          </w:p>
        </w:tc>
      </w:tr>
      <w:tr w:rsidR="00B76FDE" w:rsidRPr="009A5ABF" w14:paraId="58D3DA05" w14:textId="77777777" w:rsidTr="005101BC">
        <w:trPr>
          <w:trHeight w:val="283"/>
        </w:trPr>
        <w:tc>
          <w:tcPr>
            <w:tcW w:w="4025" w:type="dxa"/>
            <w:shd w:val="clear" w:color="auto" w:fill="auto"/>
            <w:noWrap/>
            <w:vAlign w:val="bottom"/>
            <w:hideMark/>
          </w:tcPr>
          <w:p w14:paraId="4E8292DA" w14:textId="77777777" w:rsidR="00B76FDE" w:rsidRPr="00967E9D" w:rsidRDefault="00B76FDE" w:rsidP="00B76FDE">
            <w:pPr>
              <w:spacing w:before="40"/>
              <w:rPr>
                <w:sz w:val="20"/>
              </w:rPr>
            </w:pPr>
            <w:r w:rsidRPr="00967E9D">
              <w:rPr>
                <w:color w:val="000000"/>
                <w:sz w:val="20"/>
              </w:rPr>
              <w:t xml:space="preserve">Total </w:t>
            </w:r>
          </w:p>
        </w:tc>
        <w:tc>
          <w:tcPr>
            <w:tcW w:w="1587" w:type="dxa"/>
            <w:shd w:val="clear" w:color="auto" w:fill="auto"/>
            <w:noWrap/>
            <w:vAlign w:val="bottom"/>
          </w:tcPr>
          <w:p w14:paraId="02489C73" w14:textId="54B24996" w:rsidR="00B76FDE" w:rsidRPr="00425DB1" w:rsidRDefault="00B76FDE" w:rsidP="00B76FDE">
            <w:pPr>
              <w:pBdr>
                <w:bottom w:val="single" w:sz="4" w:space="0" w:color="000000"/>
              </w:pBdr>
              <w:spacing w:before="40"/>
              <w:jc w:val="right"/>
              <w:rPr>
                <w:sz w:val="20"/>
              </w:rPr>
            </w:pPr>
            <w:r w:rsidRPr="00425DB1">
              <w:rPr>
                <w:sz w:val="20"/>
              </w:rPr>
              <w:t>579,351</w:t>
            </w:r>
          </w:p>
        </w:tc>
        <w:tc>
          <w:tcPr>
            <w:tcW w:w="1587" w:type="dxa"/>
            <w:shd w:val="clear" w:color="auto" w:fill="auto"/>
            <w:noWrap/>
            <w:vAlign w:val="bottom"/>
          </w:tcPr>
          <w:p w14:paraId="36A6A6CB" w14:textId="4B364FD6" w:rsidR="00B76FDE" w:rsidRPr="00425DB1" w:rsidRDefault="00B76FDE" w:rsidP="00B76FDE">
            <w:pPr>
              <w:pBdr>
                <w:bottom w:val="single" w:sz="4" w:space="0" w:color="000000"/>
              </w:pBdr>
              <w:spacing w:before="40"/>
              <w:jc w:val="right"/>
              <w:rPr>
                <w:sz w:val="20"/>
              </w:rPr>
            </w:pPr>
            <w:r w:rsidRPr="00425DB1">
              <w:rPr>
                <w:sz w:val="20"/>
              </w:rPr>
              <w:t>656,991</w:t>
            </w:r>
          </w:p>
        </w:tc>
        <w:tc>
          <w:tcPr>
            <w:tcW w:w="1739" w:type="dxa"/>
            <w:shd w:val="clear" w:color="auto" w:fill="auto"/>
            <w:noWrap/>
            <w:vAlign w:val="bottom"/>
          </w:tcPr>
          <w:p w14:paraId="32598A5F" w14:textId="3D6A1EFF" w:rsidR="00B76FDE" w:rsidRPr="00425DB1" w:rsidRDefault="00B76FDE" w:rsidP="00B76FDE">
            <w:pPr>
              <w:pBdr>
                <w:bottom w:val="single" w:sz="4" w:space="0" w:color="000000"/>
              </w:pBdr>
              <w:spacing w:before="40"/>
              <w:jc w:val="right"/>
              <w:rPr>
                <w:sz w:val="20"/>
              </w:rPr>
            </w:pPr>
            <w:r w:rsidRPr="00425DB1">
              <w:rPr>
                <w:sz w:val="20"/>
              </w:rPr>
              <w:t>1,639,929</w:t>
            </w:r>
          </w:p>
        </w:tc>
        <w:tc>
          <w:tcPr>
            <w:tcW w:w="1595" w:type="dxa"/>
            <w:shd w:val="clear" w:color="auto" w:fill="auto"/>
            <w:noWrap/>
            <w:vAlign w:val="bottom"/>
          </w:tcPr>
          <w:p w14:paraId="301E3A13" w14:textId="058EA075" w:rsidR="00B76FDE" w:rsidRPr="00425DB1" w:rsidRDefault="00B76FDE" w:rsidP="00B76FDE">
            <w:pPr>
              <w:pBdr>
                <w:bottom w:val="single" w:sz="4" w:space="0" w:color="000000"/>
              </w:pBdr>
              <w:spacing w:before="40"/>
              <w:jc w:val="right"/>
              <w:rPr>
                <w:sz w:val="20"/>
              </w:rPr>
            </w:pPr>
            <w:r w:rsidRPr="00425DB1">
              <w:rPr>
                <w:sz w:val="20"/>
              </w:rPr>
              <w:t>530,827</w:t>
            </w:r>
          </w:p>
        </w:tc>
        <w:tc>
          <w:tcPr>
            <w:tcW w:w="1495" w:type="dxa"/>
            <w:shd w:val="clear" w:color="auto" w:fill="auto"/>
            <w:noWrap/>
            <w:vAlign w:val="bottom"/>
          </w:tcPr>
          <w:p w14:paraId="12A6C365" w14:textId="7D8F60E2" w:rsidR="00B76FDE" w:rsidRPr="00425DB1" w:rsidRDefault="00B76FDE" w:rsidP="00B76FDE">
            <w:pPr>
              <w:pBdr>
                <w:bottom w:val="single" w:sz="4" w:space="0" w:color="000000"/>
              </w:pBdr>
              <w:spacing w:before="40"/>
              <w:jc w:val="right"/>
              <w:rPr>
                <w:sz w:val="20"/>
              </w:rPr>
            </w:pPr>
            <w:r w:rsidRPr="00425DB1">
              <w:rPr>
                <w:sz w:val="20"/>
              </w:rPr>
              <w:t>73,294</w:t>
            </w:r>
          </w:p>
        </w:tc>
        <w:tc>
          <w:tcPr>
            <w:tcW w:w="1636" w:type="dxa"/>
            <w:shd w:val="clear" w:color="auto" w:fill="auto"/>
            <w:noWrap/>
            <w:vAlign w:val="bottom"/>
          </w:tcPr>
          <w:p w14:paraId="22A2C106" w14:textId="7F184CFE" w:rsidR="00B76FDE" w:rsidRPr="00425DB1" w:rsidRDefault="00B76FDE" w:rsidP="00B76FDE">
            <w:pPr>
              <w:pBdr>
                <w:bottom w:val="single" w:sz="4" w:space="0" w:color="000000"/>
              </w:pBdr>
              <w:spacing w:before="40"/>
              <w:jc w:val="right"/>
              <w:rPr>
                <w:sz w:val="20"/>
              </w:rPr>
            </w:pPr>
            <w:r w:rsidRPr="00425DB1">
              <w:rPr>
                <w:sz w:val="20"/>
              </w:rPr>
              <w:t>3,480,392</w:t>
            </w:r>
          </w:p>
        </w:tc>
      </w:tr>
      <w:tr w:rsidR="00B76FDE" w:rsidRPr="009A5ABF" w14:paraId="2290CEC0" w14:textId="77777777" w:rsidTr="005101BC">
        <w:trPr>
          <w:trHeight w:val="283"/>
        </w:trPr>
        <w:tc>
          <w:tcPr>
            <w:tcW w:w="4025" w:type="dxa"/>
            <w:shd w:val="clear" w:color="auto" w:fill="auto"/>
            <w:noWrap/>
            <w:vAlign w:val="bottom"/>
            <w:hideMark/>
          </w:tcPr>
          <w:p w14:paraId="525FDFA9" w14:textId="77777777" w:rsidR="00B76FDE" w:rsidRPr="00967E9D" w:rsidRDefault="00B76FDE" w:rsidP="00B76FDE">
            <w:pPr>
              <w:spacing w:before="40"/>
              <w:rPr>
                <w:sz w:val="20"/>
                <w:highlight w:val="yellow"/>
              </w:rPr>
            </w:pPr>
            <w:r w:rsidRPr="00967E9D">
              <w:rPr>
                <w:color w:val="000000"/>
                <w:sz w:val="20"/>
              </w:rPr>
              <w:t>Unallocated assets</w:t>
            </w:r>
          </w:p>
        </w:tc>
        <w:tc>
          <w:tcPr>
            <w:tcW w:w="1587" w:type="dxa"/>
            <w:shd w:val="clear" w:color="auto" w:fill="auto"/>
            <w:noWrap/>
            <w:vAlign w:val="bottom"/>
          </w:tcPr>
          <w:p w14:paraId="43143B2C" w14:textId="00AE70DA" w:rsidR="00B76FDE" w:rsidRPr="00425DB1" w:rsidRDefault="00B76FDE" w:rsidP="00B76FDE">
            <w:pPr>
              <w:spacing w:before="40"/>
              <w:jc w:val="right"/>
              <w:rPr>
                <w:sz w:val="20"/>
              </w:rPr>
            </w:pPr>
            <w:r w:rsidRPr="00425DB1">
              <w:rPr>
                <w:sz w:val="20"/>
              </w:rPr>
              <w:t>-</w:t>
            </w:r>
          </w:p>
        </w:tc>
        <w:tc>
          <w:tcPr>
            <w:tcW w:w="1587" w:type="dxa"/>
            <w:shd w:val="clear" w:color="auto" w:fill="auto"/>
            <w:noWrap/>
            <w:vAlign w:val="bottom"/>
          </w:tcPr>
          <w:p w14:paraId="7A2EEC95" w14:textId="18D4074E" w:rsidR="00B76FDE" w:rsidRPr="00425DB1" w:rsidRDefault="00B76FDE" w:rsidP="00B76FDE">
            <w:pPr>
              <w:spacing w:before="40"/>
              <w:jc w:val="right"/>
              <w:rPr>
                <w:sz w:val="20"/>
              </w:rPr>
            </w:pPr>
            <w:r w:rsidRPr="00425DB1">
              <w:rPr>
                <w:sz w:val="20"/>
              </w:rPr>
              <w:t>-</w:t>
            </w:r>
          </w:p>
        </w:tc>
        <w:tc>
          <w:tcPr>
            <w:tcW w:w="1739" w:type="dxa"/>
            <w:shd w:val="clear" w:color="auto" w:fill="auto"/>
            <w:noWrap/>
            <w:vAlign w:val="bottom"/>
          </w:tcPr>
          <w:p w14:paraId="75371C04" w14:textId="55C84BEB" w:rsidR="00B76FDE" w:rsidRPr="00425DB1" w:rsidRDefault="00B76FDE" w:rsidP="00B76FDE">
            <w:pPr>
              <w:spacing w:before="40"/>
              <w:jc w:val="right"/>
              <w:rPr>
                <w:sz w:val="20"/>
              </w:rPr>
            </w:pPr>
            <w:r w:rsidRPr="00425DB1">
              <w:rPr>
                <w:sz w:val="20"/>
              </w:rPr>
              <w:t>-</w:t>
            </w:r>
          </w:p>
        </w:tc>
        <w:tc>
          <w:tcPr>
            <w:tcW w:w="1595" w:type="dxa"/>
            <w:shd w:val="clear" w:color="auto" w:fill="auto"/>
            <w:noWrap/>
            <w:vAlign w:val="bottom"/>
          </w:tcPr>
          <w:p w14:paraId="5E3ACA73" w14:textId="4E9BA34E" w:rsidR="00B76FDE" w:rsidRPr="00425DB1" w:rsidRDefault="00B76FDE" w:rsidP="00B76FDE">
            <w:pPr>
              <w:spacing w:before="40"/>
              <w:jc w:val="right"/>
              <w:rPr>
                <w:sz w:val="20"/>
              </w:rPr>
            </w:pPr>
            <w:r w:rsidRPr="00425DB1">
              <w:rPr>
                <w:sz w:val="20"/>
              </w:rPr>
              <w:t>-</w:t>
            </w:r>
          </w:p>
        </w:tc>
        <w:tc>
          <w:tcPr>
            <w:tcW w:w="1495" w:type="dxa"/>
            <w:shd w:val="clear" w:color="auto" w:fill="auto"/>
            <w:noWrap/>
            <w:vAlign w:val="bottom"/>
          </w:tcPr>
          <w:p w14:paraId="10758781" w14:textId="52714CC3" w:rsidR="00B76FDE" w:rsidRPr="00425DB1" w:rsidRDefault="00B76FDE" w:rsidP="00B76FDE">
            <w:pPr>
              <w:spacing w:before="40"/>
              <w:jc w:val="right"/>
              <w:rPr>
                <w:sz w:val="20"/>
              </w:rPr>
            </w:pPr>
            <w:r w:rsidRPr="00425DB1">
              <w:rPr>
                <w:sz w:val="20"/>
              </w:rPr>
              <w:t>-</w:t>
            </w:r>
          </w:p>
        </w:tc>
        <w:tc>
          <w:tcPr>
            <w:tcW w:w="1636" w:type="dxa"/>
            <w:shd w:val="clear" w:color="auto" w:fill="auto"/>
            <w:noWrap/>
            <w:vAlign w:val="bottom"/>
          </w:tcPr>
          <w:p w14:paraId="07DC1EA8" w14:textId="4CAA9531" w:rsidR="00B76FDE" w:rsidRPr="00425DB1" w:rsidRDefault="00B76FDE" w:rsidP="00B76FDE">
            <w:pPr>
              <w:spacing w:before="40"/>
              <w:jc w:val="right"/>
              <w:rPr>
                <w:sz w:val="20"/>
              </w:rPr>
            </w:pPr>
            <w:r w:rsidRPr="00425DB1">
              <w:rPr>
                <w:sz w:val="20"/>
              </w:rPr>
              <w:t>383,694</w:t>
            </w:r>
          </w:p>
        </w:tc>
      </w:tr>
      <w:tr w:rsidR="00B76FDE" w:rsidRPr="009A5ABF" w14:paraId="0BB209F2" w14:textId="77777777" w:rsidTr="005101BC">
        <w:trPr>
          <w:trHeight w:val="283"/>
        </w:trPr>
        <w:tc>
          <w:tcPr>
            <w:tcW w:w="4025" w:type="dxa"/>
            <w:shd w:val="clear" w:color="auto" w:fill="auto"/>
            <w:noWrap/>
            <w:vAlign w:val="bottom"/>
            <w:hideMark/>
          </w:tcPr>
          <w:p w14:paraId="28586CAD" w14:textId="77777777" w:rsidR="00B76FDE" w:rsidRPr="00967E9D" w:rsidRDefault="00B76FDE" w:rsidP="00B76FDE">
            <w:pPr>
              <w:spacing w:before="40"/>
              <w:rPr>
                <w:sz w:val="20"/>
              </w:rPr>
            </w:pPr>
            <w:r w:rsidRPr="00967E9D">
              <w:rPr>
                <w:color w:val="000000"/>
                <w:sz w:val="20"/>
              </w:rPr>
              <w:t>Total assets</w:t>
            </w:r>
          </w:p>
        </w:tc>
        <w:tc>
          <w:tcPr>
            <w:tcW w:w="1587" w:type="dxa"/>
            <w:shd w:val="clear" w:color="auto" w:fill="auto"/>
            <w:noWrap/>
            <w:vAlign w:val="bottom"/>
          </w:tcPr>
          <w:p w14:paraId="634DE2EA" w14:textId="3F325DEC" w:rsidR="00B76FDE" w:rsidRPr="00425DB1" w:rsidRDefault="00B76FDE" w:rsidP="00B76FDE">
            <w:pPr>
              <w:spacing w:before="40"/>
              <w:jc w:val="right"/>
              <w:rPr>
                <w:sz w:val="20"/>
              </w:rPr>
            </w:pPr>
            <w:r w:rsidRPr="00425DB1">
              <w:rPr>
                <w:sz w:val="20"/>
              </w:rPr>
              <w:t>-</w:t>
            </w:r>
          </w:p>
        </w:tc>
        <w:tc>
          <w:tcPr>
            <w:tcW w:w="1587" w:type="dxa"/>
            <w:shd w:val="clear" w:color="auto" w:fill="auto"/>
            <w:noWrap/>
            <w:vAlign w:val="bottom"/>
          </w:tcPr>
          <w:p w14:paraId="3E072272" w14:textId="51AEF3F9" w:rsidR="00B76FDE" w:rsidRPr="00425DB1" w:rsidRDefault="00B76FDE" w:rsidP="00B76FDE">
            <w:pPr>
              <w:spacing w:before="40"/>
              <w:jc w:val="right"/>
              <w:rPr>
                <w:sz w:val="20"/>
              </w:rPr>
            </w:pPr>
            <w:r w:rsidRPr="00425DB1">
              <w:rPr>
                <w:sz w:val="20"/>
              </w:rPr>
              <w:t>-</w:t>
            </w:r>
          </w:p>
        </w:tc>
        <w:tc>
          <w:tcPr>
            <w:tcW w:w="1739" w:type="dxa"/>
            <w:shd w:val="clear" w:color="auto" w:fill="auto"/>
            <w:noWrap/>
            <w:vAlign w:val="bottom"/>
          </w:tcPr>
          <w:p w14:paraId="32C1376C" w14:textId="0939EC4D" w:rsidR="00B76FDE" w:rsidRPr="00425DB1" w:rsidRDefault="00B76FDE" w:rsidP="00B76FDE">
            <w:pPr>
              <w:spacing w:before="40"/>
              <w:jc w:val="right"/>
              <w:rPr>
                <w:sz w:val="20"/>
              </w:rPr>
            </w:pPr>
            <w:r w:rsidRPr="00425DB1">
              <w:rPr>
                <w:sz w:val="20"/>
              </w:rPr>
              <w:t>-</w:t>
            </w:r>
          </w:p>
        </w:tc>
        <w:tc>
          <w:tcPr>
            <w:tcW w:w="1595" w:type="dxa"/>
            <w:shd w:val="clear" w:color="auto" w:fill="auto"/>
            <w:noWrap/>
            <w:vAlign w:val="bottom"/>
          </w:tcPr>
          <w:p w14:paraId="3977F311" w14:textId="201E148F" w:rsidR="00B76FDE" w:rsidRPr="00425DB1" w:rsidRDefault="00B76FDE" w:rsidP="00B76FDE">
            <w:pPr>
              <w:spacing w:before="40"/>
              <w:jc w:val="right"/>
              <w:rPr>
                <w:sz w:val="20"/>
              </w:rPr>
            </w:pPr>
            <w:r w:rsidRPr="00425DB1">
              <w:rPr>
                <w:sz w:val="20"/>
              </w:rPr>
              <w:t>-</w:t>
            </w:r>
          </w:p>
        </w:tc>
        <w:tc>
          <w:tcPr>
            <w:tcW w:w="1495" w:type="dxa"/>
            <w:shd w:val="clear" w:color="auto" w:fill="auto"/>
            <w:noWrap/>
            <w:vAlign w:val="bottom"/>
          </w:tcPr>
          <w:p w14:paraId="49B49BEE" w14:textId="5FF31675" w:rsidR="00B76FDE" w:rsidRPr="00425DB1" w:rsidRDefault="00B76FDE" w:rsidP="00B76FDE">
            <w:pPr>
              <w:spacing w:before="40"/>
              <w:jc w:val="right"/>
              <w:rPr>
                <w:sz w:val="20"/>
              </w:rPr>
            </w:pPr>
            <w:r w:rsidRPr="00425DB1">
              <w:rPr>
                <w:sz w:val="20"/>
              </w:rPr>
              <w:t>-</w:t>
            </w:r>
          </w:p>
        </w:tc>
        <w:tc>
          <w:tcPr>
            <w:tcW w:w="1636" w:type="dxa"/>
            <w:shd w:val="clear" w:color="auto" w:fill="auto"/>
            <w:noWrap/>
            <w:vAlign w:val="bottom"/>
          </w:tcPr>
          <w:p w14:paraId="30CEE19D" w14:textId="3192C192" w:rsidR="00B76FDE" w:rsidRPr="00425DB1" w:rsidRDefault="00B76FDE" w:rsidP="00B76FDE">
            <w:pPr>
              <w:spacing w:before="40"/>
              <w:jc w:val="right"/>
              <w:rPr>
                <w:sz w:val="20"/>
              </w:rPr>
            </w:pPr>
            <w:r w:rsidRPr="00425DB1">
              <w:rPr>
                <w:sz w:val="20"/>
              </w:rPr>
              <w:t>3,864,086</w:t>
            </w:r>
          </w:p>
        </w:tc>
      </w:tr>
      <w:tr w:rsidR="00B76FDE" w:rsidRPr="009A5ABF" w14:paraId="44A0A7F3" w14:textId="77777777" w:rsidTr="005101BC">
        <w:trPr>
          <w:trHeight w:val="283"/>
        </w:trPr>
        <w:tc>
          <w:tcPr>
            <w:tcW w:w="4025" w:type="dxa"/>
            <w:shd w:val="clear" w:color="auto" w:fill="auto"/>
            <w:noWrap/>
            <w:vAlign w:val="bottom"/>
            <w:hideMark/>
          </w:tcPr>
          <w:p w14:paraId="48344E73" w14:textId="77777777" w:rsidR="00B76FDE" w:rsidRPr="00967E9D" w:rsidRDefault="00B76FDE" w:rsidP="00B76FDE">
            <w:pPr>
              <w:spacing w:before="40"/>
              <w:rPr>
                <w:sz w:val="20"/>
              </w:rPr>
            </w:pPr>
            <w:r w:rsidRPr="00967E9D">
              <w:rPr>
                <w:color w:val="000000"/>
                <w:sz w:val="20"/>
              </w:rPr>
              <w:t>Segment liabilities</w:t>
            </w:r>
          </w:p>
        </w:tc>
        <w:tc>
          <w:tcPr>
            <w:tcW w:w="1587" w:type="dxa"/>
            <w:shd w:val="clear" w:color="auto" w:fill="auto"/>
            <w:noWrap/>
            <w:vAlign w:val="bottom"/>
          </w:tcPr>
          <w:p w14:paraId="19B25AD6" w14:textId="5E5E8F9A" w:rsidR="00B76FDE" w:rsidRPr="00425DB1" w:rsidRDefault="00B76FDE" w:rsidP="00B76FDE">
            <w:pPr>
              <w:spacing w:before="40"/>
              <w:jc w:val="right"/>
              <w:rPr>
                <w:sz w:val="20"/>
              </w:rPr>
            </w:pPr>
            <w:r w:rsidRPr="00425DB1">
              <w:rPr>
                <w:sz w:val="20"/>
              </w:rPr>
              <w:t>269,671</w:t>
            </w:r>
          </w:p>
        </w:tc>
        <w:tc>
          <w:tcPr>
            <w:tcW w:w="1587" w:type="dxa"/>
            <w:shd w:val="clear" w:color="auto" w:fill="auto"/>
            <w:noWrap/>
            <w:vAlign w:val="bottom"/>
          </w:tcPr>
          <w:p w14:paraId="6A537B09" w14:textId="6A339745" w:rsidR="00B76FDE" w:rsidRPr="00425DB1" w:rsidRDefault="00B76FDE" w:rsidP="00B76FDE">
            <w:pPr>
              <w:spacing w:before="40"/>
              <w:jc w:val="right"/>
              <w:rPr>
                <w:sz w:val="20"/>
              </w:rPr>
            </w:pPr>
            <w:r w:rsidRPr="00425DB1">
              <w:rPr>
                <w:sz w:val="20"/>
              </w:rPr>
              <w:t>79,242</w:t>
            </w:r>
          </w:p>
        </w:tc>
        <w:tc>
          <w:tcPr>
            <w:tcW w:w="1739" w:type="dxa"/>
            <w:shd w:val="clear" w:color="auto" w:fill="auto"/>
            <w:noWrap/>
            <w:vAlign w:val="bottom"/>
          </w:tcPr>
          <w:p w14:paraId="1FA40A6C" w14:textId="076D814D" w:rsidR="00B76FDE" w:rsidRPr="00425DB1" w:rsidRDefault="00B76FDE" w:rsidP="00B76FDE">
            <w:pPr>
              <w:spacing w:before="40"/>
              <w:jc w:val="right"/>
              <w:rPr>
                <w:sz w:val="20"/>
              </w:rPr>
            </w:pPr>
            <w:r w:rsidRPr="00425DB1">
              <w:rPr>
                <w:sz w:val="20"/>
              </w:rPr>
              <w:t>735,866</w:t>
            </w:r>
          </w:p>
        </w:tc>
        <w:tc>
          <w:tcPr>
            <w:tcW w:w="1595" w:type="dxa"/>
            <w:shd w:val="clear" w:color="auto" w:fill="auto"/>
            <w:noWrap/>
            <w:vAlign w:val="bottom"/>
          </w:tcPr>
          <w:p w14:paraId="73309843" w14:textId="763D55F3" w:rsidR="00B76FDE" w:rsidRPr="00425DB1" w:rsidRDefault="00B76FDE" w:rsidP="00B76FDE">
            <w:pPr>
              <w:spacing w:before="40"/>
              <w:jc w:val="right"/>
              <w:rPr>
                <w:sz w:val="20"/>
              </w:rPr>
            </w:pPr>
            <w:r w:rsidRPr="00425DB1">
              <w:rPr>
                <w:sz w:val="20"/>
              </w:rPr>
              <w:t>136,005</w:t>
            </w:r>
          </w:p>
        </w:tc>
        <w:tc>
          <w:tcPr>
            <w:tcW w:w="1495" w:type="dxa"/>
            <w:shd w:val="clear" w:color="auto" w:fill="auto"/>
            <w:noWrap/>
            <w:vAlign w:val="bottom"/>
          </w:tcPr>
          <w:p w14:paraId="2A4E4A09" w14:textId="58E014A3" w:rsidR="00B76FDE" w:rsidRPr="00425DB1" w:rsidRDefault="00B76FDE" w:rsidP="00B76FDE">
            <w:pPr>
              <w:spacing w:before="40"/>
              <w:jc w:val="right"/>
              <w:rPr>
                <w:sz w:val="20"/>
              </w:rPr>
            </w:pPr>
            <w:r w:rsidRPr="00425DB1">
              <w:rPr>
                <w:sz w:val="20"/>
              </w:rPr>
              <w:t>8,526</w:t>
            </w:r>
          </w:p>
        </w:tc>
        <w:tc>
          <w:tcPr>
            <w:tcW w:w="1636" w:type="dxa"/>
            <w:shd w:val="clear" w:color="auto" w:fill="auto"/>
            <w:noWrap/>
            <w:vAlign w:val="bottom"/>
          </w:tcPr>
          <w:p w14:paraId="187B1350" w14:textId="275DD5A4" w:rsidR="00B76FDE" w:rsidRPr="00425DB1" w:rsidRDefault="00B76FDE" w:rsidP="00B76FDE">
            <w:pPr>
              <w:spacing w:before="40"/>
              <w:jc w:val="right"/>
              <w:rPr>
                <w:sz w:val="20"/>
              </w:rPr>
            </w:pPr>
            <w:r w:rsidRPr="00425DB1">
              <w:rPr>
                <w:sz w:val="20"/>
              </w:rPr>
              <w:t>1,229,310</w:t>
            </w:r>
          </w:p>
        </w:tc>
      </w:tr>
      <w:tr w:rsidR="00B76FDE" w:rsidRPr="009A5ABF" w14:paraId="535917F0" w14:textId="77777777" w:rsidTr="005101BC">
        <w:trPr>
          <w:trHeight w:val="283"/>
        </w:trPr>
        <w:tc>
          <w:tcPr>
            <w:tcW w:w="4025" w:type="dxa"/>
            <w:shd w:val="clear" w:color="auto" w:fill="auto"/>
            <w:noWrap/>
            <w:vAlign w:val="bottom"/>
            <w:hideMark/>
          </w:tcPr>
          <w:p w14:paraId="6257DE7B" w14:textId="77777777" w:rsidR="00B76FDE" w:rsidRPr="00967E9D" w:rsidRDefault="00B76FDE" w:rsidP="00B76FDE">
            <w:pPr>
              <w:spacing w:before="40"/>
              <w:rPr>
                <w:sz w:val="20"/>
                <w:highlight w:val="yellow"/>
              </w:rPr>
            </w:pPr>
            <w:r w:rsidRPr="00967E9D">
              <w:rPr>
                <w:color w:val="000000"/>
                <w:sz w:val="20"/>
              </w:rPr>
              <w:t>Unallocated liabilities</w:t>
            </w:r>
          </w:p>
        </w:tc>
        <w:tc>
          <w:tcPr>
            <w:tcW w:w="1587" w:type="dxa"/>
            <w:shd w:val="clear" w:color="auto" w:fill="auto"/>
            <w:noWrap/>
            <w:vAlign w:val="bottom"/>
          </w:tcPr>
          <w:p w14:paraId="5FFF0047" w14:textId="1E132497" w:rsidR="00B76FDE" w:rsidRPr="00425DB1" w:rsidRDefault="00B76FDE" w:rsidP="00B76FDE">
            <w:pPr>
              <w:spacing w:before="40"/>
              <w:jc w:val="right"/>
              <w:rPr>
                <w:sz w:val="20"/>
                <w:highlight w:val="yellow"/>
              </w:rPr>
            </w:pPr>
            <w:r w:rsidRPr="00425DB1">
              <w:rPr>
                <w:sz w:val="20"/>
              </w:rPr>
              <w:t>-</w:t>
            </w:r>
          </w:p>
        </w:tc>
        <w:tc>
          <w:tcPr>
            <w:tcW w:w="1587" w:type="dxa"/>
            <w:shd w:val="clear" w:color="auto" w:fill="auto"/>
            <w:noWrap/>
            <w:vAlign w:val="bottom"/>
          </w:tcPr>
          <w:p w14:paraId="54BA9DB3" w14:textId="53AE4C43" w:rsidR="00B76FDE" w:rsidRPr="00425DB1" w:rsidRDefault="00B76FDE" w:rsidP="00B76FDE">
            <w:pPr>
              <w:spacing w:before="40"/>
              <w:jc w:val="right"/>
              <w:rPr>
                <w:sz w:val="20"/>
              </w:rPr>
            </w:pPr>
            <w:r w:rsidRPr="00425DB1">
              <w:rPr>
                <w:sz w:val="20"/>
              </w:rPr>
              <w:t>-</w:t>
            </w:r>
          </w:p>
        </w:tc>
        <w:tc>
          <w:tcPr>
            <w:tcW w:w="1739" w:type="dxa"/>
            <w:shd w:val="clear" w:color="auto" w:fill="auto"/>
            <w:noWrap/>
            <w:vAlign w:val="bottom"/>
          </w:tcPr>
          <w:p w14:paraId="1640CA2D" w14:textId="6D661F90" w:rsidR="00B76FDE" w:rsidRPr="00425DB1" w:rsidRDefault="00B76FDE" w:rsidP="00B76FDE">
            <w:pPr>
              <w:spacing w:before="40"/>
              <w:jc w:val="right"/>
              <w:rPr>
                <w:sz w:val="20"/>
              </w:rPr>
            </w:pPr>
            <w:r w:rsidRPr="00425DB1">
              <w:rPr>
                <w:sz w:val="20"/>
              </w:rPr>
              <w:t>-</w:t>
            </w:r>
          </w:p>
        </w:tc>
        <w:tc>
          <w:tcPr>
            <w:tcW w:w="1595" w:type="dxa"/>
            <w:shd w:val="clear" w:color="auto" w:fill="auto"/>
            <w:noWrap/>
            <w:vAlign w:val="bottom"/>
          </w:tcPr>
          <w:p w14:paraId="4E98D446" w14:textId="01836E42" w:rsidR="00B76FDE" w:rsidRPr="00425DB1" w:rsidRDefault="00B76FDE" w:rsidP="00B76FDE">
            <w:pPr>
              <w:spacing w:before="40"/>
              <w:jc w:val="right"/>
              <w:rPr>
                <w:sz w:val="20"/>
              </w:rPr>
            </w:pPr>
            <w:r w:rsidRPr="00425DB1">
              <w:rPr>
                <w:sz w:val="20"/>
              </w:rPr>
              <w:t>-</w:t>
            </w:r>
          </w:p>
        </w:tc>
        <w:tc>
          <w:tcPr>
            <w:tcW w:w="1495" w:type="dxa"/>
            <w:shd w:val="clear" w:color="auto" w:fill="auto"/>
            <w:noWrap/>
            <w:vAlign w:val="bottom"/>
          </w:tcPr>
          <w:p w14:paraId="5814568C" w14:textId="1458C404" w:rsidR="00B76FDE" w:rsidRPr="00425DB1" w:rsidRDefault="00B76FDE" w:rsidP="00B76FDE">
            <w:pPr>
              <w:spacing w:before="40"/>
              <w:jc w:val="right"/>
              <w:rPr>
                <w:sz w:val="20"/>
              </w:rPr>
            </w:pPr>
            <w:r w:rsidRPr="00425DB1">
              <w:rPr>
                <w:sz w:val="20"/>
              </w:rPr>
              <w:t>-</w:t>
            </w:r>
          </w:p>
        </w:tc>
        <w:tc>
          <w:tcPr>
            <w:tcW w:w="1636" w:type="dxa"/>
            <w:shd w:val="clear" w:color="auto" w:fill="auto"/>
            <w:noWrap/>
            <w:vAlign w:val="bottom"/>
          </w:tcPr>
          <w:p w14:paraId="1F491FE3" w14:textId="26B46C12" w:rsidR="00B76FDE" w:rsidRPr="00425DB1" w:rsidRDefault="00B76FDE" w:rsidP="00B76FDE">
            <w:pPr>
              <w:spacing w:before="40"/>
              <w:jc w:val="right"/>
              <w:rPr>
                <w:sz w:val="20"/>
              </w:rPr>
            </w:pPr>
            <w:r w:rsidRPr="00425DB1">
              <w:rPr>
                <w:sz w:val="20"/>
              </w:rPr>
              <w:t>1,569,532</w:t>
            </w:r>
          </w:p>
        </w:tc>
      </w:tr>
      <w:tr w:rsidR="00B76FDE" w:rsidRPr="00E802D0" w14:paraId="1C3ABBA5" w14:textId="77777777" w:rsidTr="005101BC">
        <w:trPr>
          <w:trHeight w:val="283"/>
        </w:trPr>
        <w:tc>
          <w:tcPr>
            <w:tcW w:w="4025" w:type="dxa"/>
            <w:shd w:val="clear" w:color="auto" w:fill="auto"/>
            <w:noWrap/>
            <w:vAlign w:val="bottom"/>
            <w:hideMark/>
          </w:tcPr>
          <w:p w14:paraId="1BF82F2D" w14:textId="77777777" w:rsidR="00B76FDE" w:rsidRPr="00967E9D" w:rsidRDefault="00B76FDE" w:rsidP="00B76FDE">
            <w:pPr>
              <w:spacing w:before="40"/>
              <w:rPr>
                <w:sz w:val="20"/>
              </w:rPr>
            </w:pPr>
            <w:r w:rsidRPr="00967E9D">
              <w:rPr>
                <w:color w:val="000000"/>
                <w:sz w:val="20"/>
              </w:rPr>
              <w:t>Total liabilities</w:t>
            </w:r>
          </w:p>
        </w:tc>
        <w:tc>
          <w:tcPr>
            <w:tcW w:w="1587" w:type="dxa"/>
            <w:shd w:val="clear" w:color="auto" w:fill="auto"/>
            <w:noWrap/>
            <w:vAlign w:val="bottom"/>
          </w:tcPr>
          <w:p w14:paraId="1B3694C9" w14:textId="66ADD859" w:rsidR="00B76FDE" w:rsidRPr="00425DB1" w:rsidRDefault="00B76FDE" w:rsidP="00B76FDE">
            <w:pPr>
              <w:spacing w:before="40"/>
              <w:jc w:val="right"/>
              <w:rPr>
                <w:sz w:val="20"/>
                <w:highlight w:val="yellow"/>
              </w:rPr>
            </w:pPr>
            <w:r w:rsidRPr="00425DB1">
              <w:rPr>
                <w:sz w:val="20"/>
              </w:rPr>
              <w:t>-</w:t>
            </w:r>
          </w:p>
        </w:tc>
        <w:tc>
          <w:tcPr>
            <w:tcW w:w="1587" w:type="dxa"/>
            <w:shd w:val="clear" w:color="auto" w:fill="auto"/>
            <w:noWrap/>
            <w:vAlign w:val="bottom"/>
          </w:tcPr>
          <w:p w14:paraId="17F6A8C8" w14:textId="79118A99" w:rsidR="00B76FDE" w:rsidRPr="00425DB1" w:rsidRDefault="00B76FDE" w:rsidP="00B76FDE">
            <w:pPr>
              <w:spacing w:before="40"/>
              <w:jc w:val="right"/>
              <w:rPr>
                <w:sz w:val="20"/>
              </w:rPr>
            </w:pPr>
            <w:r w:rsidRPr="00425DB1">
              <w:rPr>
                <w:sz w:val="20"/>
              </w:rPr>
              <w:t>-</w:t>
            </w:r>
          </w:p>
        </w:tc>
        <w:tc>
          <w:tcPr>
            <w:tcW w:w="1739" w:type="dxa"/>
            <w:shd w:val="clear" w:color="auto" w:fill="auto"/>
            <w:noWrap/>
            <w:vAlign w:val="bottom"/>
          </w:tcPr>
          <w:p w14:paraId="6CB5B840" w14:textId="417281C5" w:rsidR="00B76FDE" w:rsidRPr="00425DB1" w:rsidRDefault="00B76FDE" w:rsidP="00B76FDE">
            <w:pPr>
              <w:spacing w:before="40"/>
              <w:jc w:val="right"/>
              <w:rPr>
                <w:sz w:val="20"/>
              </w:rPr>
            </w:pPr>
            <w:r w:rsidRPr="00425DB1">
              <w:rPr>
                <w:sz w:val="20"/>
              </w:rPr>
              <w:t>-</w:t>
            </w:r>
          </w:p>
        </w:tc>
        <w:tc>
          <w:tcPr>
            <w:tcW w:w="1595" w:type="dxa"/>
            <w:shd w:val="clear" w:color="auto" w:fill="auto"/>
            <w:noWrap/>
            <w:vAlign w:val="bottom"/>
          </w:tcPr>
          <w:p w14:paraId="126A66EA" w14:textId="6F464D5F" w:rsidR="00B76FDE" w:rsidRPr="00425DB1" w:rsidRDefault="00B76FDE" w:rsidP="00B76FDE">
            <w:pPr>
              <w:spacing w:before="40"/>
              <w:jc w:val="right"/>
              <w:rPr>
                <w:sz w:val="20"/>
              </w:rPr>
            </w:pPr>
            <w:r w:rsidRPr="00425DB1">
              <w:rPr>
                <w:sz w:val="20"/>
              </w:rPr>
              <w:t>-</w:t>
            </w:r>
          </w:p>
        </w:tc>
        <w:tc>
          <w:tcPr>
            <w:tcW w:w="1495" w:type="dxa"/>
            <w:shd w:val="clear" w:color="auto" w:fill="auto"/>
            <w:noWrap/>
            <w:vAlign w:val="bottom"/>
          </w:tcPr>
          <w:p w14:paraId="16FAD5A2" w14:textId="36A7632A" w:rsidR="00B76FDE" w:rsidRPr="00425DB1" w:rsidRDefault="00B76FDE" w:rsidP="00B76FDE">
            <w:pPr>
              <w:spacing w:before="40"/>
              <w:jc w:val="right"/>
              <w:rPr>
                <w:sz w:val="20"/>
              </w:rPr>
            </w:pPr>
            <w:r w:rsidRPr="00425DB1">
              <w:rPr>
                <w:sz w:val="20"/>
              </w:rPr>
              <w:t>-</w:t>
            </w:r>
          </w:p>
        </w:tc>
        <w:tc>
          <w:tcPr>
            <w:tcW w:w="1636" w:type="dxa"/>
            <w:shd w:val="clear" w:color="auto" w:fill="auto"/>
            <w:noWrap/>
            <w:vAlign w:val="bottom"/>
          </w:tcPr>
          <w:p w14:paraId="2FE26B4A" w14:textId="1F1E69C3" w:rsidR="00B76FDE" w:rsidRPr="00425DB1" w:rsidRDefault="00B76FDE" w:rsidP="00B76FDE">
            <w:pPr>
              <w:spacing w:before="40"/>
              <w:jc w:val="right"/>
              <w:rPr>
                <w:sz w:val="20"/>
              </w:rPr>
            </w:pPr>
            <w:r w:rsidRPr="00425DB1">
              <w:rPr>
                <w:sz w:val="20"/>
              </w:rPr>
              <w:t>2,798,842</w:t>
            </w:r>
          </w:p>
        </w:tc>
      </w:tr>
    </w:tbl>
    <w:p w14:paraId="011B208B" w14:textId="4BE482F2" w:rsidR="00E82120" w:rsidRDefault="00E82120" w:rsidP="00E82120">
      <w:pPr>
        <w:rPr>
          <w:b/>
          <w:bCs/>
          <w:sz w:val="26"/>
          <w:szCs w:val="26"/>
          <w:rtl/>
        </w:rPr>
      </w:pPr>
    </w:p>
    <w:p w14:paraId="6C373A55" w14:textId="77777777" w:rsidR="00E82120" w:rsidRDefault="00E82120" w:rsidP="00E82120">
      <w:pPr>
        <w:rPr>
          <w:rStyle w:val="Koteret"/>
          <w:b w:val="0"/>
          <w:i/>
          <w:iCs/>
        </w:rPr>
      </w:pPr>
      <w:r w:rsidRPr="005862F2">
        <w:rPr>
          <w:rStyle w:val="Koteret"/>
          <w:b w:val="0"/>
          <w:i/>
          <w:iCs/>
        </w:rPr>
        <w:t>In thousands of Euros</w:t>
      </w:r>
    </w:p>
    <w:tbl>
      <w:tblPr>
        <w:tblW w:w="13608" w:type="dxa"/>
        <w:tblLook w:val="06A0" w:firstRow="1" w:lastRow="0" w:firstColumn="1" w:lastColumn="0" w:noHBand="1" w:noVBand="1"/>
        <w:tblCaption w:val="AHR02"/>
        <w:tblDescription w:val="Operating Segments year of report"/>
      </w:tblPr>
      <w:tblGrid>
        <w:gridCol w:w="3969"/>
        <w:gridCol w:w="1587"/>
        <w:gridCol w:w="1587"/>
        <w:gridCol w:w="1739"/>
        <w:gridCol w:w="1595"/>
        <w:gridCol w:w="1495"/>
        <w:gridCol w:w="1636"/>
      </w:tblGrid>
      <w:tr w:rsidR="005101BC" w:rsidRPr="009A5ABF" w14:paraId="176F0630" w14:textId="77777777" w:rsidTr="005101BC">
        <w:trPr>
          <w:cantSplit/>
          <w:trHeight w:val="283"/>
          <w:tblHeader/>
        </w:trPr>
        <w:tc>
          <w:tcPr>
            <w:tcW w:w="3969" w:type="dxa"/>
            <w:vMerge w:val="restart"/>
            <w:shd w:val="clear" w:color="auto" w:fill="auto"/>
            <w:noWrap/>
            <w:vAlign w:val="bottom"/>
            <w:hideMark/>
          </w:tcPr>
          <w:p w14:paraId="45F99FAD" w14:textId="77777777" w:rsidR="005101BC" w:rsidRPr="009A5ABF" w:rsidRDefault="005101BC" w:rsidP="00327BFD">
            <w:pPr>
              <w:spacing w:before="40"/>
              <w:rPr>
                <w:rFonts w:ascii="Arial" w:eastAsia="Arial" w:hAnsi="Arial" w:cs="Arial"/>
                <w:sz w:val="20"/>
              </w:rPr>
            </w:pPr>
          </w:p>
        </w:tc>
        <w:tc>
          <w:tcPr>
            <w:tcW w:w="9639" w:type="dxa"/>
            <w:gridSpan w:val="6"/>
            <w:shd w:val="clear" w:color="auto" w:fill="auto"/>
            <w:vAlign w:val="bottom"/>
            <w:hideMark/>
          </w:tcPr>
          <w:p w14:paraId="146F9335" w14:textId="77777777" w:rsidR="005101BC" w:rsidRPr="009A5ABF" w:rsidRDefault="005101BC" w:rsidP="00327BFD">
            <w:pPr>
              <w:pBdr>
                <w:bottom w:val="single" w:sz="4" w:space="0" w:color="000000"/>
              </w:pBdr>
              <w:spacing w:before="40"/>
              <w:ind w:left="57"/>
              <w:jc w:val="center"/>
              <w:rPr>
                <w:b/>
                <w:bCs/>
                <w:sz w:val="20"/>
                <w:lang w:bidi="he-IL"/>
              </w:rPr>
            </w:pPr>
            <w:r w:rsidRPr="009A5ABF">
              <w:rPr>
                <w:b/>
                <w:bCs/>
                <w:color w:val="000000"/>
                <w:sz w:val="20"/>
              </w:rPr>
              <w:t xml:space="preserve">For the year ended </w:t>
            </w:r>
            <w:proofErr w:type="gramStart"/>
            <w:r w:rsidRPr="009A5ABF">
              <w:rPr>
                <w:b/>
                <w:bCs/>
                <w:color w:val="000000"/>
                <w:sz w:val="20"/>
              </w:rPr>
              <w:t>at</w:t>
            </w:r>
            <w:proofErr w:type="gramEnd"/>
            <w:r w:rsidRPr="009A5ABF">
              <w:rPr>
                <w:b/>
                <w:bCs/>
                <w:color w:val="000000"/>
                <w:sz w:val="20"/>
              </w:rPr>
              <w:t xml:space="preserve"> December 31, </w:t>
            </w:r>
            <w:r>
              <w:rPr>
                <w:b/>
                <w:bCs/>
                <w:sz w:val="20"/>
                <w:lang w:bidi="he-IL"/>
              </w:rPr>
              <w:t>2023</w:t>
            </w:r>
          </w:p>
        </w:tc>
      </w:tr>
      <w:tr w:rsidR="005101BC" w:rsidRPr="009A5ABF" w14:paraId="0AEF7FFE" w14:textId="77777777" w:rsidTr="005101BC">
        <w:trPr>
          <w:cantSplit/>
          <w:trHeight w:val="283"/>
          <w:tblHeader/>
        </w:trPr>
        <w:tc>
          <w:tcPr>
            <w:tcW w:w="3969" w:type="dxa"/>
            <w:vMerge/>
            <w:shd w:val="clear" w:color="auto" w:fill="auto"/>
            <w:noWrap/>
            <w:vAlign w:val="bottom"/>
            <w:hideMark/>
          </w:tcPr>
          <w:p w14:paraId="194D202E" w14:textId="77777777" w:rsidR="005101BC" w:rsidRPr="009A5ABF" w:rsidRDefault="005101BC" w:rsidP="00327BFD">
            <w:pPr>
              <w:spacing w:before="40"/>
              <w:rPr>
                <w:rFonts w:ascii="Arial" w:eastAsia="Arial" w:hAnsi="Arial" w:cs="Arial"/>
                <w:sz w:val="20"/>
              </w:rPr>
            </w:pPr>
          </w:p>
        </w:tc>
        <w:tc>
          <w:tcPr>
            <w:tcW w:w="1587" w:type="dxa"/>
            <w:shd w:val="clear" w:color="auto" w:fill="auto"/>
            <w:vAlign w:val="bottom"/>
            <w:hideMark/>
          </w:tcPr>
          <w:p w14:paraId="3ED835CA" w14:textId="77777777" w:rsidR="005101BC" w:rsidRPr="009A5ABF" w:rsidRDefault="005101BC" w:rsidP="00327BFD">
            <w:pPr>
              <w:pBdr>
                <w:bottom w:val="single" w:sz="4" w:space="0" w:color="000000"/>
              </w:pBdr>
              <w:spacing w:before="40"/>
              <w:jc w:val="center"/>
              <w:rPr>
                <w:b/>
                <w:bCs/>
                <w:sz w:val="20"/>
              </w:rPr>
            </w:pPr>
            <w:r w:rsidRPr="009A5ABF">
              <w:rPr>
                <w:b/>
                <w:bCs/>
                <w:color w:val="000000"/>
                <w:sz w:val="20"/>
              </w:rPr>
              <w:t>Czech Republic</w:t>
            </w:r>
          </w:p>
        </w:tc>
        <w:tc>
          <w:tcPr>
            <w:tcW w:w="1587" w:type="dxa"/>
            <w:shd w:val="clear" w:color="auto" w:fill="auto"/>
            <w:vAlign w:val="bottom"/>
            <w:hideMark/>
          </w:tcPr>
          <w:p w14:paraId="07945F40" w14:textId="77777777" w:rsidR="005101BC" w:rsidRPr="009A5ABF" w:rsidRDefault="005101BC" w:rsidP="00327BFD">
            <w:pPr>
              <w:pBdr>
                <w:bottom w:val="single" w:sz="4" w:space="0" w:color="000000"/>
              </w:pBdr>
              <w:spacing w:before="40"/>
              <w:jc w:val="center"/>
              <w:rPr>
                <w:b/>
                <w:bCs/>
                <w:sz w:val="20"/>
              </w:rPr>
            </w:pPr>
            <w:r w:rsidRPr="009A5ABF">
              <w:rPr>
                <w:b/>
                <w:bCs/>
                <w:color w:val="000000"/>
                <w:sz w:val="20"/>
              </w:rPr>
              <w:t>Serbia</w:t>
            </w:r>
          </w:p>
        </w:tc>
        <w:tc>
          <w:tcPr>
            <w:tcW w:w="1739" w:type="dxa"/>
            <w:shd w:val="clear" w:color="auto" w:fill="auto"/>
            <w:vAlign w:val="bottom"/>
            <w:hideMark/>
          </w:tcPr>
          <w:p w14:paraId="6216DE0F" w14:textId="77777777" w:rsidR="005101BC" w:rsidRPr="009A5ABF" w:rsidRDefault="005101BC" w:rsidP="00327BFD">
            <w:pPr>
              <w:pBdr>
                <w:bottom w:val="single" w:sz="4" w:space="0" w:color="000000"/>
              </w:pBdr>
              <w:spacing w:before="40"/>
              <w:jc w:val="center"/>
              <w:rPr>
                <w:b/>
                <w:bCs/>
                <w:sz w:val="20"/>
              </w:rPr>
            </w:pPr>
            <w:r w:rsidRPr="009A5ABF">
              <w:rPr>
                <w:b/>
                <w:bCs/>
                <w:color w:val="000000"/>
                <w:sz w:val="20"/>
              </w:rPr>
              <w:t>Romania</w:t>
            </w:r>
          </w:p>
        </w:tc>
        <w:tc>
          <w:tcPr>
            <w:tcW w:w="1595" w:type="dxa"/>
            <w:shd w:val="clear" w:color="auto" w:fill="auto"/>
            <w:vAlign w:val="bottom"/>
            <w:hideMark/>
          </w:tcPr>
          <w:p w14:paraId="2251CE0D" w14:textId="77777777" w:rsidR="005101BC" w:rsidRPr="009A5ABF" w:rsidRDefault="005101BC" w:rsidP="00327BFD">
            <w:pPr>
              <w:pBdr>
                <w:bottom w:val="single" w:sz="4" w:space="0" w:color="000000"/>
              </w:pBdr>
              <w:spacing w:before="40"/>
              <w:jc w:val="center"/>
              <w:rPr>
                <w:b/>
                <w:bCs/>
                <w:sz w:val="20"/>
              </w:rPr>
            </w:pPr>
            <w:r w:rsidRPr="009A5ABF">
              <w:rPr>
                <w:b/>
                <w:bCs/>
                <w:color w:val="000000"/>
                <w:sz w:val="20"/>
              </w:rPr>
              <w:t>Poland</w:t>
            </w:r>
          </w:p>
        </w:tc>
        <w:tc>
          <w:tcPr>
            <w:tcW w:w="1495" w:type="dxa"/>
            <w:shd w:val="clear" w:color="auto" w:fill="auto"/>
            <w:vAlign w:val="bottom"/>
            <w:hideMark/>
          </w:tcPr>
          <w:p w14:paraId="375A9214" w14:textId="77777777" w:rsidR="005101BC" w:rsidRPr="009A5ABF" w:rsidRDefault="005101BC" w:rsidP="00327BFD">
            <w:pPr>
              <w:pBdr>
                <w:bottom w:val="single" w:sz="4" w:space="0" w:color="000000"/>
              </w:pBdr>
              <w:spacing w:before="40"/>
              <w:jc w:val="center"/>
              <w:rPr>
                <w:b/>
                <w:bCs/>
                <w:sz w:val="20"/>
              </w:rPr>
            </w:pPr>
            <w:r w:rsidRPr="009A5ABF">
              <w:rPr>
                <w:b/>
                <w:bCs/>
                <w:color w:val="000000"/>
                <w:sz w:val="20"/>
              </w:rPr>
              <w:t>Other Regions</w:t>
            </w:r>
          </w:p>
        </w:tc>
        <w:tc>
          <w:tcPr>
            <w:tcW w:w="1636" w:type="dxa"/>
            <w:shd w:val="clear" w:color="auto" w:fill="auto"/>
            <w:vAlign w:val="bottom"/>
            <w:hideMark/>
          </w:tcPr>
          <w:p w14:paraId="28A2DC70" w14:textId="77777777" w:rsidR="005101BC" w:rsidRPr="009A5ABF" w:rsidRDefault="005101BC" w:rsidP="00327BFD">
            <w:pPr>
              <w:pBdr>
                <w:bottom w:val="single" w:sz="4" w:space="0" w:color="000000"/>
              </w:pBdr>
              <w:spacing w:before="40"/>
              <w:jc w:val="center"/>
              <w:rPr>
                <w:b/>
                <w:bCs/>
                <w:sz w:val="20"/>
              </w:rPr>
            </w:pPr>
            <w:r w:rsidRPr="009A5ABF">
              <w:rPr>
                <w:b/>
                <w:bCs/>
                <w:color w:val="000000"/>
                <w:sz w:val="20"/>
              </w:rPr>
              <w:t>Total Consolidated</w:t>
            </w:r>
          </w:p>
        </w:tc>
      </w:tr>
      <w:tr w:rsidR="00A95416" w:rsidRPr="009A5ABF" w14:paraId="7DB6A8B9" w14:textId="77777777" w:rsidTr="005101BC">
        <w:trPr>
          <w:trHeight w:val="283"/>
        </w:trPr>
        <w:tc>
          <w:tcPr>
            <w:tcW w:w="3969" w:type="dxa"/>
            <w:shd w:val="clear" w:color="auto" w:fill="auto"/>
            <w:vAlign w:val="bottom"/>
            <w:hideMark/>
          </w:tcPr>
          <w:p w14:paraId="210DFBCE" w14:textId="77777777" w:rsidR="00A95416" w:rsidRPr="00967E9D" w:rsidRDefault="00A95416" w:rsidP="00327BFD">
            <w:pPr>
              <w:spacing w:before="40"/>
              <w:rPr>
                <w:sz w:val="20"/>
              </w:rPr>
            </w:pPr>
            <w:r w:rsidRPr="00967E9D">
              <w:rPr>
                <w:color w:val="000000"/>
                <w:sz w:val="20"/>
              </w:rPr>
              <w:t>Investment property and investment property under development</w:t>
            </w:r>
          </w:p>
        </w:tc>
        <w:tc>
          <w:tcPr>
            <w:tcW w:w="1587" w:type="dxa"/>
            <w:shd w:val="clear" w:color="auto" w:fill="auto"/>
            <w:noWrap/>
            <w:vAlign w:val="bottom"/>
          </w:tcPr>
          <w:p w14:paraId="3081E115" w14:textId="77777777" w:rsidR="00A95416" w:rsidRPr="0020502A" w:rsidRDefault="00A95416" w:rsidP="00327BFD">
            <w:pPr>
              <w:spacing w:before="40"/>
              <w:jc w:val="right"/>
              <w:rPr>
                <w:sz w:val="20"/>
              </w:rPr>
            </w:pPr>
            <w:r w:rsidRPr="0020502A">
              <w:rPr>
                <w:sz w:val="20"/>
              </w:rPr>
              <w:t>545,650</w:t>
            </w:r>
          </w:p>
        </w:tc>
        <w:tc>
          <w:tcPr>
            <w:tcW w:w="1587" w:type="dxa"/>
            <w:shd w:val="clear" w:color="auto" w:fill="auto"/>
            <w:noWrap/>
            <w:vAlign w:val="bottom"/>
          </w:tcPr>
          <w:p w14:paraId="01A4B4E8" w14:textId="77777777" w:rsidR="00A95416" w:rsidRPr="0020502A" w:rsidRDefault="00A95416" w:rsidP="00327BFD">
            <w:pPr>
              <w:spacing w:before="40"/>
              <w:jc w:val="right"/>
              <w:rPr>
                <w:sz w:val="20"/>
              </w:rPr>
            </w:pPr>
            <w:r w:rsidRPr="0020502A">
              <w:rPr>
                <w:sz w:val="20"/>
              </w:rPr>
              <w:t>588,445</w:t>
            </w:r>
          </w:p>
        </w:tc>
        <w:tc>
          <w:tcPr>
            <w:tcW w:w="1739" w:type="dxa"/>
            <w:shd w:val="clear" w:color="auto" w:fill="auto"/>
            <w:noWrap/>
            <w:vAlign w:val="bottom"/>
          </w:tcPr>
          <w:p w14:paraId="26BCC654" w14:textId="77777777" w:rsidR="00A95416" w:rsidRPr="0020502A" w:rsidRDefault="00A95416" w:rsidP="00327BFD">
            <w:pPr>
              <w:spacing w:before="40"/>
              <w:jc w:val="right"/>
              <w:rPr>
                <w:sz w:val="20"/>
              </w:rPr>
            </w:pPr>
            <w:r w:rsidRPr="0020502A">
              <w:rPr>
                <w:sz w:val="20"/>
              </w:rPr>
              <w:t>1,448,819</w:t>
            </w:r>
          </w:p>
        </w:tc>
        <w:tc>
          <w:tcPr>
            <w:tcW w:w="1595" w:type="dxa"/>
            <w:shd w:val="clear" w:color="auto" w:fill="auto"/>
            <w:noWrap/>
            <w:vAlign w:val="bottom"/>
          </w:tcPr>
          <w:p w14:paraId="33115823" w14:textId="77777777" w:rsidR="00A95416" w:rsidRPr="0020502A" w:rsidRDefault="00A95416" w:rsidP="00327BFD">
            <w:pPr>
              <w:spacing w:before="40"/>
              <w:jc w:val="right"/>
              <w:rPr>
                <w:sz w:val="20"/>
              </w:rPr>
            </w:pPr>
            <w:r w:rsidRPr="0020502A">
              <w:rPr>
                <w:sz w:val="20"/>
              </w:rPr>
              <w:t>312,901</w:t>
            </w:r>
          </w:p>
        </w:tc>
        <w:tc>
          <w:tcPr>
            <w:tcW w:w="1495" w:type="dxa"/>
            <w:shd w:val="clear" w:color="auto" w:fill="auto"/>
            <w:noWrap/>
            <w:vAlign w:val="bottom"/>
          </w:tcPr>
          <w:p w14:paraId="3B6F10F7" w14:textId="77777777" w:rsidR="00A95416" w:rsidRPr="0020502A" w:rsidRDefault="00A95416" w:rsidP="00327BFD">
            <w:pPr>
              <w:spacing w:before="40"/>
              <w:jc w:val="right"/>
              <w:rPr>
                <w:sz w:val="20"/>
              </w:rPr>
            </w:pPr>
            <w:r w:rsidRPr="0020502A">
              <w:rPr>
                <w:sz w:val="20"/>
              </w:rPr>
              <w:t>32,119</w:t>
            </w:r>
          </w:p>
        </w:tc>
        <w:tc>
          <w:tcPr>
            <w:tcW w:w="1636" w:type="dxa"/>
            <w:shd w:val="clear" w:color="auto" w:fill="auto"/>
            <w:noWrap/>
            <w:vAlign w:val="bottom"/>
          </w:tcPr>
          <w:p w14:paraId="2EEAB88C" w14:textId="77777777" w:rsidR="00A95416" w:rsidRPr="0020502A" w:rsidRDefault="00A95416" w:rsidP="00327BFD">
            <w:pPr>
              <w:spacing w:before="40"/>
              <w:jc w:val="right"/>
              <w:rPr>
                <w:sz w:val="20"/>
              </w:rPr>
            </w:pPr>
            <w:r w:rsidRPr="0020502A">
              <w:rPr>
                <w:sz w:val="20"/>
              </w:rPr>
              <w:t>2,927,934</w:t>
            </w:r>
          </w:p>
        </w:tc>
      </w:tr>
      <w:tr w:rsidR="00A95416" w:rsidRPr="009A5ABF" w14:paraId="46B895DE" w14:textId="77777777" w:rsidTr="005101BC">
        <w:trPr>
          <w:trHeight w:val="283"/>
        </w:trPr>
        <w:tc>
          <w:tcPr>
            <w:tcW w:w="3969" w:type="dxa"/>
            <w:shd w:val="clear" w:color="auto" w:fill="auto"/>
            <w:vAlign w:val="bottom"/>
            <w:hideMark/>
          </w:tcPr>
          <w:p w14:paraId="6373C78D" w14:textId="77777777" w:rsidR="00A95416" w:rsidRPr="00967E9D" w:rsidRDefault="00A95416" w:rsidP="00327BFD">
            <w:pPr>
              <w:spacing w:before="40"/>
              <w:rPr>
                <w:sz w:val="20"/>
              </w:rPr>
            </w:pPr>
            <w:r w:rsidRPr="00967E9D">
              <w:rPr>
                <w:color w:val="000000"/>
                <w:sz w:val="20"/>
              </w:rPr>
              <w:t>Inventory of buildings and land</w:t>
            </w:r>
          </w:p>
        </w:tc>
        <w:tc>
          <w:tcPr>
            <w:tcW w:w="1587" w:type="dxa"/>
            <w:shd w:val="clear" w:color="auto" w:fill="auto"/>
            <w:noWrap/>
            <w:vAlign w:val="bottom"/>
          </w:tcPr>
          <w:p w14:paraId="6BBB6049" w14:textId="77777777" w:rsidR="00A95416" w:rsidRPr="0020502A" w:rsidRDefault="00A95416" w:rsidP="00327BFD">
            <w:pPr>
              <w:pBdr>
                <w:bottom w:val="single" w:sz="4" w:space="0" w:color="000000"/>
              </w:pBdr>
              <w:spacing w:before="40"/>
              <w:jc w:val="right"/>
              <w:rPr>
                <w:sz w:val="20"/>
              </w:rPr>
            </w:pPr>
            <w:r w:rsidRPr="0020502A">
              <w:rPr>
                <w:sz w:val="20"/>
              </w:rPr>
              <w:t>32,019</w:t>
            </w:r>
          </w:p>
        </w:tc>
        <w:tc>
          <w:tcPr>
            <w:tcW w:w="1587" w:type="dxa"/>
            <w:shd w:val="clear" w:color="auto" w:fill="auto"/>
            <w:noWrap/>
            <w:vAlign w:val="bottom"/>
          </w:tcPr>
          <w:p w14:paraId="0E69B839" w14:textId="77777777" w:rsidR="00A95416" w:rsidRPr="0020502A" w:rsidRDefault="00A95416" w:rsidP="00327BFD">
            <w:pPr>
              <w:pBdr>
                <w:bottom w:val="single" w:sz="4" w:space="0" w:color="000000"/>
              </w:pBdr>
              <w:spacing w:before="40"/>
              <w:jc w:val="right"/>
              <w:rPr>
                <w:sz w:val="20"/>
              </w:rPr>
            </w:pPr>
            <w:r w:rsidRPr="0020502A">
              <w:rPr>
                <w:sz w:val="20"/>
              </w:rPr>
              <w:t>-</w:t>
            </w:r>
          </w:p>
        </w:tc>
        <w:tc>
          <w:tcPr>
            <w:tcW w:w="1739" w:type="dxa"/>
            <w:shd w:val="clear" w:color="auto" w:fill="auto"/>
            <w:noWrap/>
            <w:vAlign w:val="bottom"/>
          </w:tcPr>
          <w:p w14:paraId="08CD252C" w14:textId="77777777" w:rsidR="00A95416" w:rsidRPr="0020502A" w:rsidRDefault="00A95416" w:rsidP="00327BFD">
            <w:pPr>
              <w:pBdr>
                <w:bottom w:val="single" w:sz="4" w:space="0" w:color="000000"/>
              </w:pBdr>
              <w:spacing w:before="40"/>
              <w:jc w:val="right"/>
              <w:rPr>
                <w:sz w:val="20"/>
              </w:rPr>
            </w:pPr>
            <w:r w:rsidRPr="0020502A">
              <w:rPr>
                <w:sz w:val="20"/>
              </w:rPr>
              <w:t>56,442</w:t>
            </w:r>
          </w:p>
        </w:tc>
        <w:tc>
          <w:tcPr>
            <w:tcW w:w="1595" w:type="dxa"/>
            <w:shd w:val="clear" w:color="auto" w:fill="auto"/>
            <w:noWrap/>
            <w:vAlign w:val="bottom"/>
          </w:tcPr>
          <w:p w14:paraId="4117C0E2" w14:textId="77777777" w:rsidR="00A95416" w:rsidRPr="0020502A" w:rsidRDefault="00A95416" w:rsidP="00327BFD">
            <w:pPr>
              <w:pBdr>
                <w:bottom w:val="single" w:sz="4" w:space="0" w:color="000000"/>
              </w:pBdr>
              <w:spacing w:before="40"/>
              <w:jc w:val="right"/>
              <w:rPr>
                <w:sz w:val="20"/>
              </w:rPr>
            </w:pPr>
            <w:r w:rsidRPr="0020502A">
              <w:rPr>
                <w:sz w:val="20"/>
              </w:rPr>
              <w:t>9,672</w:t>
            </w:r>
          </w:p>
        </w:tc>
        <w:tc>
          <w:tcPr>
            <w:tcW w:w="1495" w:type="dxa"/>
            <w:shd w:val="clear" w:color="auto" w:fill="auto"/>
            <w:noWrap/>
            <w:vAlign w:val="bottom"/>
          </w:tcPr>
          <w:p w14:paraId="474F64E9" w14:textId="77777777" w:rsidR="00A95416" w:rsidRPr="0020502A" w:rsidRDefault="00A95416" w:rsidP="00327BFD">
            <w:pPr>
              <w:pBdr>
                <w:bottom w:val="single" w:sz="4" w:space="0" w:color="000000"/>
              </w:pBdr>
              <w:spacing w:before="40"/>
              <w:jc w:val="right"/>
              <w:rPr>
                <w:sz w:val="20"/>
              </w:rPr>
            </w:pPr>
            <w:r w:rsidRPr="0020502A">
              <w:rPr>
                <w:sz w:val="20"/>
              </w:rPr>
              <w:t>35,783</w:t>
            </w:r>
          </w:p>
        </w:tc>
        <w:tc>
          <w:tcPr>
            <w:tcW w:w="1636" w:type="dxa"/>
            <w:shd w:val="clear" w:color="auto" w:fill="auto"/>
            <w:noWrap/>
            <w:vAlign w:val="bottom"/>
          </w:tcPr>
          <w:p w14:paraId="4BDF0B12" w14:textId="77777777" w:rsidR="00A95416" w:rsidRPr="0020502A" w:rsidRDefault="00A95416" w:rsidP="00327BFD">
            <w:pPr>
              <w:pBdr>
                <w:bottom w:val="single" w:sz="4" w:space="0" w:color="000000"/>
              </w:pBdr>
              <w:spacing w:before="40"/>
              <w:jc w:val="right"/>
              <w:rPr>
                <w:sz w:val="20"/>
              </w:rPr>
            </w:pPr>
            <w:r w:rsidRPr="0020502A">
              <w:rPr>
                <w:sz w:val="20"/>
              </w:rPr>
              <w:t>133,916</w:t>
            </w:r>
          </w:p>
        </w:tc>
      </w:tr>
      <w:tr w:rsidR="00A95416" w:rsidRPr="009A5ABF" w14:paraId="00C7C3E9" w14:textId="77777777" w:rsidTr="005101BC">
        <w:trPr>
          <w:trHeight w:val="283"/>
        </w:trPr>
        <w:tc>
          <w:tcPr>
            <w:tcW w:w="3969" w:type="dxa"/>
            <w:shd w:val="clear" w:color="auto" w:fill="auto"/>
            <w:noWrap/>
            <w:vAlign w:val="bottom"/>
            <w:hideMark/>
          </w:tcPr>
          <w:p w14:paraId="325A47CE" w14:textId="77777777" w:rsidR="00A95416" w:rsidRPr="00967E9D" w:rsidRDefault="00A95416" w:rsidP="00327BFD">
            <w:pPr>
              <w:spacing w:before="40"/>
              <w:rPr>
                <w:sz w:val="20"/>
              </w:rPr>
            </w:pPr>
            <w:r w:rsidRPr="00967E9D">
              <w:rPr>
                <w:color w:val="000000"/>
                <w:sz w:val="20"/>
              </w:rPr>
              <w:t xml:space="preserve">Total </w:t>
            </w:r>
          </w:p>
        </w:tc>
        <w:tc>
          <w:tcPr>
            <w:tcW w:w="1587" w:type="dxa"/>
            <w:shd w:val="clear" w:color="auto" w:fill="auto"/>
            <w:noWrap/>
            <w:vAlign w:val="bottom"/>
          </w:tcPr>
          <w:p w14:paraId="4C8181BA" w14:textId="77777777" w:rsidR="00A95416" w:rsidRPr="0020502A" w:rsidRDefault="00A95416" w:rsidP="00327BFD">
            <w:pPr>
              <w:pBdr>
                <w:bottom w:val="single" w:sz="4" w:space="0" w:color="000000"/>
              </w:pBdr>
              <w:spacing w:before="40"/>
              <w:jc w:val="right"/>
              <w:rPr>
                <w:sz w:val="20"/>
              </w:rPr>
            </w:pPr>
            <w:r w:rsidRPr="0020502A">
              <w:rPr>
                <w:sz w:val="20"/>
              </w:rPr>
              <w:t>577,669</w:t>
            </w:r>
          </w:p>
        </w:tc>
        <w:tc>
          <w:tcPr>
            <w:tcW w:w="1587" w:type="dxa"/>
            <w:shd w:val="clear" w:color="auto" w:fill="auto"/>
            <w:noWrap/>
            <w:vAlign w:val="bottom"/>
          </w:tcPr>
          <w:p w14:paraId="1F5A98E2" w14:textId="77777777" w:rsidR="00A95416" w:rsidRPr="0020502A" w:rsidRDefault="00A95416" w:rsidP="00327BFD">
            <w:pPr>
              <w:pBdr>
                <w:bottom w:val="single" w:sz="4" w:space="0" w:color="000000"/>
              </w:pBdr>
              <w:spacing w:before="40"/>
              <w:jc w:val="right"/>
              <w:rPr>
                <w:sz w:val="20"/>
              </w:rPr>
            </w:pPr>
            <w:r w:rsidRPr="0020502A">
              <w:rPr>
                <w:sz w:val="20"/>
              </w:rPr>
              <w:t>588,445</w:t>
            </w:r>
          </w:p>
        </w:tc>
        <w:tc>
          <w:tcPr>
            <w:tcW w:w="1739" w:type="dxa"/>
            <w:shd w:val="clear" w:color="auto" w:fill="auto"/>
            <w:noWrap/>
            <w:vAlign w:val="bottom"/>
          </w:tcPr>
          <w:p w14:paraId="71A7E78C" w14:textId="77777777" w:rsidR="00A95416" w:rsidRPr="0020502A" w:rsidRDefault="00A95416" w:rsidP="00327BFD">
            <w:pPr>
              <w:pBdr>
                <w:bottom w:val="single" w:sz="4" w:space="0" w:color="000000"/>
              </w:pBdr>
              <w:spacing w:before="40"/>
              <w:jc w:val="right"/>
              <w:rPr>
                <w:sz w:val="20"/>
              </w:rPr>
            </w:pPr>
            <w:r w:rsidRPr="0020502A">
              <w:rPr>
                <w:sz w:val="20"/>
              </w:rPr>
              <w:t>1,505,261</w:t>
            </w:r>
          </w:p>
        </w:tc>
        <w:tc>
          <w:tcPr>
            <w:tcW w:w="1595" w:type="dxa"/>
            <w:shd w:val="clear" w:color="auto" w:fill="auto"/>
            <w:noWrap/>
            <w:vAlign w:val="bottom"/>
          </w:tcPr>
          <w:p w14:paraId="516AD0B5" w14:textId="77777777" w:rsidR="00A95416" w:rsidRPr="0020502A" w:rsidRDefault="00A95416" w:rsidP="00327BFD">
            <w:pPr>
              <w:pBdr>
                <w:bottom w:val="single" w:sz="4" w:space="0" w:color="000000"/>
              </w:pBdr>
              <w:spacing w:before="40"/>
              <w:jc w:val="right"/>
              <w:rPr>
                <w:sz w:val="20"/>
              </w:rPr>
            </w:pPr>
            <w:r w:rsidRPr="0020502A">
              <w:rPr>
                <w:sz w:val="20"/>
              </w:rPr>
              <w:t>322,573</w:t>
            </w:r>
          </w:p>
        </w:tc>
        <w:tc>
          <w:tcPr>
            <w:tcW w:w="1495" w:type="dxa"/>
            <w:shd w:val="clear" w:color="auto" w:fill="auto"/>
            <w:noWrap/>
            <w:vAlign w:val="bottom"/>
          </w:tcPr>
          <w:p w14:paraId="09D58A7F" w14:textId="77777777" w:rsidR="00A95416" w:rsidRPr="0020502A" w:rsidRDefault="00A95416" w:rsidP="00327BFD">
            <w:pPr>
              <w:pBdr>
                <w:bottom w:val="single" w:sz="4" w:space="0" w:color="000000"/>
              </w:pBdr>
              <w:spacing w:before="40"/>
              <w:jc w:val="right"/>
              <w:rPr>
                <w:sz w:val="20"/>
              </w:rPr>
            </w:pPr>
            <w:r w:rsidRPr="0020502A">
              <w:rPr>
                <w:sz w:val="20"/>
              </w:rPr>
              <w:t>67,902</w:t>
            </w:r>
          </w:p>
        </w:tc>
        <w:tc>
          <w:tcPr>
            <w:tcW w:w="1636" w:type="dxa"/>
            <w:shd w:val="clear" w:color="auto" w:fill="auto"/>
            <w:noWrap/>
            <w:vAlign w:val="bottom"/>
          </w:tcPr>
          <w:p w14:paraId="602EDC56" w14:textId="77777777" w:rsidR="00A95416" w:rsidRPr="0020502A" w:rsidRDefault="00A95416" w:rsidP="00327BFD">
            <w:pPr>
              <w:pBdr>
                <w:bottom w:val="single" w:sz="4" w:space="0" w:color="000000"/>
              </w:pBdr>
              <w:spacing w:before="40"/>
              <w:jc w:val="right"/>
              <w:rPr>
                <w:sz w:val="20"/>
              </w:rPr>
            </w:pPr>
            <w:r w:rsidRPr="0020502A">
              <w:rPr>
                <w:sz w:val="20"/>
              </w:rPr>
              <w:t>3,061,850</w:t>
            </w:r>
          </w:p>
        </w:tc>
      </w:tr>
      <w:tr w:rsidR="00A95416" w:rsidRPr="009A5ABF" w14:paraId="7273747E" w14:textId="77777777" w:rsidTr="005101BC">
        <w:trPr>
          <w:trHeight w:val="283"/>
        </w:trPr>
        <w:tc>
          <w:tcPr>
            <w:tcW w:w="3969" w:type="dxa"/>
            <w:shd w:val="clear" w:color="auto" w:fill="auto"/>
            <w:noWrap/>
            <w:vAlign w:val="bottom"/>
            <w:hideMark/>
          </w:tcPr>
          <w:p w14:paraId="0AB36E01" w14:textId="77777777" w:rsidR="00A95416" w:rsidRPr="00967E9D" w:rsidRDefault="00A95416" w:rsidP="00327BFD">
            <w:pPr>
              <w:spacing w:before="40"/>
              <w:rPr>
                <w:sz w:val="20"/>
                <w:highlight w:val="yellow"/>
              </w:rPr>
            </w:pPr>
            <w:r w:rsidRPr="00967E9D">
              <w:rPr>
                <w:color w:val="000000"/>
                <w:sz w:val="20"/>
              </w:rPr>
              <w:t>Unallocated assets</w:t>
            </w:r>
          </w:p>
        </w:tc>
        <w:tc>
          <w:tcPr>
            <w:tcW w:w="1587" w:type="dxa"/>
            <w:shd w:val="clear" w:color="auto" w:fill="auto"/>
            <w:noWrap/>
            <w:vAlign w:val="bottom"/>
          </w:tcPr>
          <w:p w14:paraId="208FE439" w14:textId="77777777" w:rsidR="00A95416" w:rsidRPr="0020502A" w:rsidRDefault="00A95416" w:rsidP="00327BFD">
            <w:pPr>
              <w:spacing w:before="40"/>
              <w:jc w:val="right"/>
              <w:rPr>
                <w:sz w:val="20"/>
              </w:rPr>
            </w:pPr>
          </w:p>
        </w:tc>
        <w:tc>
          <w:tcPr>
            <w:tcW w:w="1587" w:type="dxa"/>
            <w:shd w:val="clear" w:color="auto" w:fill="auto"/>
            <w:noWrap/>
            <w:vAlign w:val="bottom"/>
          </w:tcPr>
          <w:p w14:paraId="4B33251A" w14:textId="77777777" w:rsidR="00A95416" w:rsidRPr="0020502A" w:rsidRDefault="00A95416" w:rsidP="00327BFD">
            <w:pPr>
              <w:spacing w:before="40"/>
              <w:jc w:val="right"/>
              <w:rPr>
                <w:sz w:val="20"/>
              </w:rPr>
            </w:pPr>
          </w:p>
        </w:tc>
        <w:tc>
          <w:tcPr>
            <w:tcW w:w="1739" w:type="dxa"/>
            <w:shd w:val="clear" w:color="auto" w:fill="auto"/>
            <w:noWrap/>
            <w:vAlign w:val="bottom"/>
          </w:tcPr>
          <w:p w14:paraId="04233618" w14:textId="77777777" w:rsidR="00A95416" w:rsidRPr="0020502A" w:rsidRDefault="00A95416" w:rsidP="00327BFD">
            <w:pPr>
              <w:spacing w:before="40"/>
              <w:jc w:val="right"/>
              <w:rPr>
                <w:sz w:val="20"/>
              </w:rPr>
            </w:pPr>
          </w:p>
        </w:tc>
        <w:tc>
          <w:tcPr>
            <w:tcW w:w="1595" w:type="dxa"/>
            <w:shd w:val="clear" w:color="auto" w:fill="auto"/>
            <w:noWrap/>
            <w:vAlign w:val="bottom"/>
          </w:tcPr>
          <w:p w14:paraId="55DEF834" w14:textId="77777777" w:rsidR="00A95416" w:rsidRPr="0020502A" w:rsidRDefault="00A95416" w:rsidP="00327BFD">
            <w:pPr>
              <w:spacing w:before="40"/>
              <w:jc w:val="right"/>
              <w:rPr>
                <w:sz w:val="20"/>
              </w:rPr>
            </w:pPr>
          </w:p>
        </w:tc>
        <w:tc>
          <w:tcPr>
            <w:tcW w:w="1495" w:type="dxa"/>
            <w:shd w:val="clear" w:color="auto" w:fill="auto"/>
            <w:noWrap/>
            <w:vAlign w:val="bottom"/>
          </w:tcPr>
          <w:p w14:paraId="65E4D9A6" w14:textId="77777777" w:rsidR="00A95416" w:rsidRPr="0020502A" w:rsidRDefault="00A95416" w:rsidP="00327BFD">
            <w:pPr>
              <w:spacing w:before="40"/>
              <w:jc w:val="right"/>
              <w:rPr>
                <w:sz w:val="20"/>
              </w:rPr>
            </w:pPr>
          </w:p>
        </w:tc>
        <w:tc>
          <w:tcPr>
            <w:tcW w:w="1636" w:type="dxa"/>
            <w:shd w:val="clear" w:color="auto" w:fill="auto"/>
            <w:noWrap/>
            <w:vAlign w:val="bottom"/>
          </w:tcPr>
          <w:p w14:paraId="177EB1B0" w14:textId="77777777" w:rsidR="00A95416" w:rsidRPr="0020502A" w:rsidRDefault="00A95416" w:rsidP="00327BFD">
            <w:pPr>
              <w:spacing w:before="40"/>
              <w:jc w:val="right"/>
              <w:rPr>
                <w:sz w:val="20"/>
              </w:rPr>
            </w:pPr>
            <w:r w:rsidRPr="0020502A">
              <w:rPr>
                <w:sz w:val="20"/>
              </w:rPr>
              <w:t>448,866</w:t>
            </w:r>
          </w:p>
        </w:tc>
      </w:tr>
      <w:tr w:rsidR="00A95416" w:rsidRPr="009A5ABF" w14:paraId="1437E938" w14:textId="77777777" w:rsidTr="005101BC">
        <w:trPr>
          <w:trHeight w:val="283"/>
        </w:trPr>
        <w:tc>
          <w:tcPr>
            <w:tcW w:w="3969" w:type="dxa"/>
            <w:shd w:val="clear" w:color="auto" w:fill="auto"/>
            <w:noWrap/>
            <w:vAlign w:val="bottom"/>
            <w:hideMark/>
          </w:tcPr>
          <w:p w14:paraId="5248F185" w14:textId="77777777" w:rsidR="00A95416" w:rsidRPr="00967E9D" w:rsidRDefault="00A95416" w:rsidP="00327BFD">
            <w:pPr>
              <w:spacing w:before="40"/>
              <w:rPr>
                <w:sz w:val="20"/>
              </w:rPr>
            </w:pPr>
            <w:r w:rsidRPr="00967E9D">
              <w:rPr>
                <w:color w:val="000000"/>
                <w:sz w:val="20"/>
              </w:rPr>
              <w:t>Total assets</w:t>
            </w:r>
          </w:p>
        </w:tc>
        <w:tc>
          <w:tcPr>
            <w:tcW w:w="1587" w:type="dxa"/>
            <w:shd w:val="clear" w:color="auto" w:fill="auto"/>
            <w:noWrap/>
            <w:vAlign w:val="bottom"/>
          </w:tcPr>
          <w:p w14:paraId="53665CF2" w14:textId="77777777" w:rsidR="00A95416" w:rsidRPr="0020502A" w:rsidRDefault="00A95416" w:rsidP="00327BFD">
            <w:pPr>
              <w:spacing w:before="40"/>
              <w:jc w:val="right"/>
              <w:rPr>
                <w:sz w:val="20"/>
              </w:rPr>
            </w:pPr>
          </w:p>
        </w:tc>
        <w:tc>
          <w:tcPr>
            <w:tcW w:w="1587" w:type="dxa"/>
            <w:shd w:val="clear" w:color="auto" w:fill="auto"/>
            <w:noWrap/>
            <w:vAlign w:val="bottom"/>
          </w:tcPr>
          <w:p w14:paraId="1908A3C2" w14:textId="77777777" w:rsidR="00A95416" w:rsidRPr="0020502A" w:rsidRDefault="00A95416" w:rsidP="00327BFD">
            <w:pPr>
              <w:spacing w:before="40"/>
              <w:jc w:val="right"/>
              <w:rPr>
                <w:sz w:val="20"/>
              </w:rPr>
            </w:pPr>
          </w:p>
        </w:tc>
        <w:tc>
          <w:tcPr>
            <w:tcW w:w="1739" w:type="dxa"/>
            <w:shd w:val="clear" w:color="auto" w:fill="auto"/>
            <w:noWrap/>
            <w:vAlign w:val="bottom"/>
          </w:tcPr>
          <w:p w14:paraId="7B7EF5E8" w14:textId="77777777" w:rsidR="00A95416" w:rsidRPr="0020502A" w:rsidRDefault="00A95416" w:rsidP="00327BFD">
            <w:pPr>
              <w:spacing w:before="40"/>
              <w:jc w:val="right"/>
              <w:rPr>
                <w:sz w:val="20"/>
              </w:rPr>
            </w:pPr>
          </w:p>
        </w:tc>
        <w:tc>
          <w:tcPr>
            <w:tcW w:w="1595" w:type="dxa"/>
            <w:shd w:val="clear" w:color="auto" w:fill="auto"/>
            <w:noWrap/>
            <w:vAlign w:val="bottom"/>
          </w:tcPr>
          <w:p w14:paraId="50ACBA78" w14:textId="77777777" w:rsidR="00A95416" w:rsidRPr="0020502A" w:rsidRDefault="00A95416" w:rsidP="00327BFD">
            <w:pPr>
              <w:spacing w:before="40"/>
              <w:jc w:val="right"/>
              <w:rPr>
                <w:sz w:val="20"/>
              </w:rPr>
            </w:pPr>
          </w:p>
        </w:tc>
        <w:tc>
          <w:tcPr>
            <w:tcW w:w="1495" w:type="dxa"/>
            <w:shd w:val="clear" w:color="auto" w:fill="auto"/>
            <w:noWrap/>
            <w:vAlign w:val="bottom"/>
          </w:tcPr>
          <w:p w14:paraId="0D7A6ABC" w14:textId="77777777" w:rsidR="00A95416" w:rsidRPr="0020502A" w:rsidRDefault="00A95416" w:rsidP="00327BFD">
            <w:pPr>
              <w:spacing w:before="40"/>
              <w:jc w:val="right"/>
              <w:rPr>
                <w:sz w:val="20"/>
              </w:rPr>
            </w:pPr>
          </w:p>
        </w:tc>
        <w:tc>
          <w:tcPr>
            <w:tcW w:w="1636" w:type="dxa"/>
            <w:shd w:val="clear" w:color="auto" w:fill="auto"/>
            <w:noWrap/>
            <w:vAlign w:val="bottom"/>
          </w:tcPr>
          <w:p w14:paraId="2C5D594F" w14:textId="77777777" w:rsidR="00A95416" w:rsidRPr="0020502A" w:rsidRDefault="00A95416" w:rsidP="00327BFD">
            <w:pPr>
              <w:spacing w:before="40"/>
              <w:jc w:val="right"/>
              <w:rPr>
                <w:sz w:val="20"/>
              </w:rPr>
            </w:pPr>
            <w:r w:rsidRPr="0020502A">
              <w:rPr>
                <w:sz w:val="20"/>
              </w:rPr>
              <w:t>3,510,716</w:t>
            </w:r>
          </w:p>
        </w:tc>
      </w:tr>
      <w:tr w:rsidR="00A95416" w:rsidRPr="009A5ABF" w14:paraId="13C160A3" w14:textId="77777777" w:rsidTr="005101BC">
        <w:trPr>
          <w:trHeight w:val="283"/>
        </w:trPr>
        <w:tc>
          <w:tcPr>
            <w:tcW w:w="3969" w:type="dxa"/>
            <w:shd w:val="clear" w:color="auto" w:fill="auto"/>
            <w:noWrap/>
            <w:vAlign w:val="bottom"/>
            <w:hideMark/>
          </w:tcPr>
          <w:p w14:paraId="3FFAC1B1" w14:textId="77777777" w:rsidR="00A95416" w:rsidRPr="00967E9D" w:rsidRDefault="00A95416" w:rsidP="00327BFD">
            <w:pPr>
              <w:spacing w:before="40"/>
              <w:rPr>
                <w:sz w:val="20"/>
              </w:rPr>
            </w:pPr>
            <w:r w:rsidRPr="00967E9D">
              <w:rPr>
                <w:color w:val="000000"/>
                <w:sz w:val="20"/>
              </w:rPr>
              <w:t>Segment liabilities</w:t>
            </w:r>
          </w:p>
        </w:tc>
        <w:tc>
          <w:tcPr>
            <w:tcW w:w="1587" w:type="dxa"/>
            <w:shd w:val="clear" w:color="auto" w:fill="auto"/>
            <w:noWrap/>
            <w:vAlign w:val="bottom"/>
          </w:tcPr>
          <w:p w14:paraId="11E56D8F" w14:textId="77777777" w:rsidR="00A95416" w:rsidRPr="0020502A" w:rsidRDefault="00A95416" w:rsidP="00327BFD">
            <w:pPr>
              <w:spacing w:before="40"/>
              <w:jc w:val="right"/>
              <w:rPr>
                <w:sz w:val="20"/>
              </w:rPr>
            </w:pPr>
            <w:r w:rsidRPr="0020502A">
              <w:rPr>
                <w:sz w:val="20"/>
              </w:rPr>
              <w:t>274,567</w:t>
            </w:r>
          </w:p>
        </w:tc>
        <w:tc>
          <w:tcPr>
            <w:tcW w:w="1587" w:type="dxa"/>
            <w:shd w:val="clear" w:color="auto" w:fill="auto"/>
            <w:noWrap/>
            <w:vAlign w:val="bottom"/>
          </w:tcPr>
          <w:p w14:paraId="29A8BAA7" w14:textId="77777777" w:rsidR="00A95416" w:rsidRPr="0020502A" w:rsidRDefault="00A95416" w:rsidP="00327BFD">
            <w:pPr>
              <w:spacing w:before="40"/>
              <w:jc w:val="right"/>
              <w:rPr>
                <w:sz w:val="20"/>
              </w:rPr>
            </w:pPr>
            <w:r w:rsidRPr="0020502A">
              <w:rPr>
                <w:sz w:val="20"/>
              </w:rPr>
              <w:t>66,787</w:t>
            </w:r>
          </w:p>
        </w:tc>
        <w:tc>
          <w:tcPr>
            <w:tcW w:w="1739" w:type="dxa"/>
            <w:shd w:val="clear" w:color="auto" w:fill="auto"/>
            <w:noWrap/>
            <w:vAlign w:val="bottom"/>
          </w:tcPr>
          <w:p w14:paraId="490D58E2" w14:textId="77777777" w:rsidR="00A95416" w:rsidRPr="0020502A" w:rsidRDefault="00A95416" w:rsidP="00327BFD">
            <w:pPr>
              <w:spacing w:before="40"/>
              <w:jc w:val="right"/>
              <w:rPr>
                <w:sz w:val="20"/>
              </w:rPr>
            </w:pPr>
            <w:r w:rsidRPr="0020502A">
              <w:rPr>
                <w:sz w:val="20"/>
              </w:rPr>
              <w:t>683,307</w:t>
            </w:r>
          </w:p>
        </w:tc>
        <w:tc>
          <w:tcPr>
            <w:tcW w:w="1595" w:type="dxa"/>
            <w:shd w:val="clear" w:color="auto" w:fill="auto"/>
            <w:noWrap/>
            <w:vAlign w:val="bottom"/>
          </w:tcPr>
          <w:p w14:paraId="2017A321" w14:textId="77777777" w:rsidR="00A95416" w:rsidRPr="0020502A" w:rsidRDefault="00A95416" w:rsidP="00327BFD">
            <w:pPr>
              <w:spacing w:before="40"/>
              <w:jc w:val="right"/>
              <w:rPr>
                <w:sz w:val="20"/>
              </w:rPr>
            </w:pPr>
            <w:r w:rsidRPr="0020502A">
              <w:rPr>
                <w:sz w:val="20"/>
              </w:rPr>
              <w:t>118,689</w:t>
            </w:r>
          </w:p>
        </w:tc>
        <w:tc>
          <w:tcPr>
            <w:tcW w:w="1495" w:type="dxa"/>
            <w:shd w:val="clear" w:color="auto" w:fill="auto"/>
            <w:noWrap/>
            <w:vAlign w:val="bottom"/>
          </w:tcPr>
          <w:p w14:paraId="45D9F856" w14:textId="77777777" w:rsidR="00A95416" w:rsidRPr="0020502A" w:rsidRDefault="00A95416" w:rsidP="00327BFD">
            <w:pPr>
              <w:spacing w:before="40"/>
              <w:jc w:val="right"/>
              <w:rPr>
                <w:sz w:val="20"/>
              </w:rPr>
            </w:pPr>
            <w:r w:rsidRPr="0020502A">
              <w:rPr>
                <w:sz w:val="20"/>
              </w:rPr>
              <w:t>11,449</w:t>
            </w:r>
          </w:p>
        </w:tc>
        <w:tc>
          <w:tcPr>
            <w:tcW w:w="1636" w:type="dxa"/>
            <w:shd w:val="clear" w:color="auto" w:fill="auto"/>
            <w:noWrap/>
            <w:vAlign w:val="bottom"/>
          </w:tcPr>
          <w:p w14:paraId="5618E2CB" w14:textId="77777777" w:rsidR="00A95416" w:rsidRPr="0020502A" w:rsidRDefault="00A95416" w:rsidP="00327BFD">
            <w:pPr>
              <w:spacing w:before="40"/>
              <w:jc w:val="right"/>
              <w:rPr>
                <w:sz w:val="20"/>
              </w:rPr>
            </w:pPr>
            <w:r w:rsidRPr="0020502A">
              <w:rPr>
                <w:sz w:val="20"/>
              </w:rPr>
              <w:t>1,154,799</w:t>
            </w:r>
          </w:p>
        </w:tc>
      </w:tr>
      <w:tr w:rsidR="00A95416" w:rsidRPr="009A5ABF" w14:paraId="05EF45D7" w14:textId="77777777" w:rsidTr="005101BC">
        <w:trPr>
          <w:trHeight w:val="283"/>
        </w:trPr>
        <w:tc>
          <w:tcPr>
            <w:tcW w:w="3969" w:type="dxa"/>
            <w:shd w:val="clear" w:color="auto" w:fill="auto"/>
            <w:noWrap/>
            <w:vAlign w:val="bottom"/>
            <w:hideMark/>
          </w:tcPr>
          <w:p w14:paraId="7CA50D5A" w14:textId="77777777" w:rsidR="00A95416" w:rsidRPr="00967E9D" w:rsidRDefault="00A95416" w:rsidP="00327BFD">
            <w:pPr>
              <w:spacing w:before="40"/>
              <w:rPr>
                <w:sz w:val="20"/>
                <w:highlight w:val="yellow"/>
              </w:rPr>
            </w:pPr>
            <w:r w:rsidRPr="00967E9D">
              <w:rPr>
                <w:color w:val="000000"/>
                <w:sz w:val="20"/>
              </w:rPr>
              <w:t>Unallocated liabilities</w:t>
            </w:r>
          </w:p>
        </w:tc>
        <w:tc>
          <w:tcPr>
            <w:tcW w:w="1587" w:type="dxa"/>
            <w:shd w:val="clear" w:color="auto" w:fill="auto"/>
            <w:noWrap/>
            <w:vAlign w:val="bottom"/>
          </w:tcPr>
          <w:p w14:paraId="62FE221D" w14:textId="77777777" w:rsidR="00A95416" w:rsidRPr="0020502A" w:rsidRDefault="00A95416" w:rsidP="00327BFD">
            <w:pPr>
              <w:spacing w:before="40"/>
              <w:jc w:val="right"/>
              <w:rPr>
                <w:sz w:val="20"/>
                <w:highlight w:val="yellow"/>
              </w:rPr>
            </w:pPr>
          </w:p>
        </w:tc>
        <w:tc>
          <w:tcPr>
            <w:tcW w:w="1587" w:type="dxa"/>
            <w:shd w:val="clear" w:color="auto" w:fill="auto"/>
            <w:noWrap/>
            <w:vAlign w:val="bottom"/>
          </w:tcPr>
          <w:p w14:paraId="4A6FAC71" w14:textId="77777777" w:rsidR="00A95416" w:rsidRPr="0020502A" w:rsidRDefault="00A95416" w:rsidP="00327BFD">
            <w:pPr>
              <w:spacing w:before="40"/>
              <w:jc w:val="right"/>
              <w:rPr>
                <w:sz w:val="20"/>
              </w:rPr>
            </w:pPr>
          </w:p>
        </w:tc>
        <w:tc>
          <w:tcPr>
            <w:tcW w:w="1739" w:type="dxa"/>
            <w:shd w:val="clear" w:color="auto" w:fill="auto"/>
            <w:noWrap/>
            <w:vAlign w:val="bottom"/>
          </w:tcPr>
          <w:p w14:paraId="39375932" w14:textId="77777777" w:rsidR="00A95416" w:rsidRPr="0020502A" w:rsidRDefault="00A95416" w:rsidP="00327BFD">
            <w:pPr>
              <w:spacing w:before="40"/>
              <w:jc w:val="right"/>
              <w:rPr>
                <w:sz w:val="20"/>
              </w:rPr>
            </w:pPr>
          </w:p>
        </w:tc>
        <w:tc>
          <w:tcPr>
            <w:tcW w:w="1595" w:type="dxa"/>
            <w:shd w:val="clear" w:color="auto" w:fill="auto"/>
            <w:noWrap/>
            <w:vAlign w:val="bottom"/>
          </w:tcPr>
          <w:p w14:paraId="1B65AD75" w14:textId="77777777" w:rsidR="00A95416" w:rsidRPr="0020502A" w:rsidRDefault="00A95416" w:rsidP="00327BFD">
            <w:pPr>
              <w:spacing w:before="40"/>
              <w:jc w:val="right"/>
              <w:rPr>
                <w:sz w:val="20"/>
              </w:rPr>
            </w:pPr>
          </w:p>
        </w:tc>
        <w:tc>
          <w:tcPr>
            <w:tcW w:w="1495" w:type="dxa"/>
            <w:shd w:val="clear" w:color="auto" w:fill="auto"/>
            <w:noWrap/>
            <w:vAlign w:val="bottom"/>
          </w:tcPr>
          <w:p w14:paraId="26BC1043" w14:textId="77777777" w:rsidR="00A95416" w:rsidRPr="0020502A" w:rsidRDefault="00A95416" w:rsidP="00327BFD">
            <w:pPr>
              <w:spacing w:before="40"/>
              <w:jc w:val="right"/>
              <w:rPr>
                <w:sz w:val="20"/>
              </w:rPr>
            </w:pPr>
          </w:p>
        </w:tc>
        <w:tc>
          <w:tcPr>
            <w:tcW w:w="1636" w:type="dxa"/>
            <w:shd w:val="clear" w:color="auto" w:fill="auto"/>
            <w:noWrap/>
            <w:vAlign w:val="bottom"/>
          </w:tcPr>
          <w:p w14:paraId="17C89B01" w14:textId="77777777" w:rsidR="00A95416" w:rsidRPr="0020502A" w:rsidRDefault="00A95416" w:rsidP="00327BFD">
            <w:pPr>
              <w:spacing w:before="40"/>
              <w:jc w:val="right"/>
              <w:rPr>
                <w:sz w:val="20"/>
              </w:rPr>
            </w:pPr>
            <w:r w:rsidRPr="0020502A">
              <w:rPr>
                <w:sz w:val="20"/>
              </w:rPr>
              <w:t>1,391,292</w:t>
            </w:r>
          </w:p>
        </w:tc>
      </w:tr>
      <w:tr w:rsidR="00A95416" w:rsidRPr="00E802D0" w14:paraId="0AB816C5" w14:textId="77777777" w:rsidTr="005101BC">
        <w:trPr>
          <w:trHeight w:val="283"/>
        </w:trPr>
        <w:tc>
          <w:tcPr>
            <w:tcW w:w="3969" w:type="dxa"/>
            <w:shd w:val="clear" w:color="auto" w:fill="auto"/>
            <w:noWrap/>
            <w:vAlign w:val="bottom"/>
            <w:hideMark/>
          </w:tcPr>
          <w:p w14:paraId="4756FFBA" w14:textId="77777777" w:rsidR="00A95416" w:rsidRPr="00967E9D" w:rsidRDefault="00A95416" w:rsidP="00327BFD">
            <w:pPr>
              <w:spacing w:before="40"/>
              <w:rPr>
                <w:sz w:val="20"/>
              </w:rPr>
            </w:pPr>
            <w:r w:rsidRPr="00967E9D">
              <w:rPr>
                <w:color w:val="000000"/>
                <w:sz w:val="20"/>
              </w:rPr>
              <w:t>Total liabilities</w:t>
            </w:r>
          </w:p>
        </w:tc>
        <w:tc>
          <w:tcPr>
            <w:tcW w:w="1587" w:type="dxa"/>
            <w:shd w:val="clear" w:color="auto" w:fill="auto"/>
            <w:noWrap/>
            <w:vAlign w:val="bottom"/>
          </w:tcPr>
          <w:p w14:paraId="6F9D6C5E" w14:textId="77777777" w:rsidR="00A95416" w:rsidRPr="0020502A" w:rsidRDefault="00A95416" w:rsidP="00327BFD">
            <w:pPr>
              <w:spacing w:before="40"/>
              <w:jc w:val="right"/>
              <w:rPr>
                <w:sz w:val="20"/>
                <w:highlight w:val="yellow"/>
              </w:rPr>
            </w:pPr>
          </w:p>
        </w:tc>
        <w:tc>
          <w:tcPr>
            <w:tcW w:w="1587" w:type="dxa"/>
            <w:shd w:val="clear" w:color="auto" w:fill="auto"/>
            <w:noWrap/>
            <w:vAlign w:val="bottom"/>
          </w:tcPr>
          <w:p w14:paraId="05533E46" w14:textId="77777777" w:rsidR="00A95416" w:rsidRPr="0020502A" w:rsidRDefault="00A95416" w:rsidP="00327BFD">
            <w:pPr>
              <w:spacing w:before="40"/>
              <w:jc w:val="right"/>
              <w:rPr>
                <w:sz w:val="20"/>
              </w:rPr>
            </w:pPr>
          </w:p>
        </w:tc>
        <w:tc>
          <w:tcPr>
            <w:tcW w:w="1739" w:type="dxa"/>
            <w:shd w:val="clear" w:color="auto" w:fill="auto"/>
            <w:noWrap/>
            <w:vAlign w:val="bottom"/>
          </w:tcPr>
          <w:p w14:paraId="6588BB19" w14:textId="77777777" w:rsidR="00A95416" w:rsidRPr="0020502A" w:rsidRDefault="00A95416" w:rsidP="00327BFD">
            <w:pPr>
              <w:spacing w:before="40"/>
              <w:jc w:val="right"/>
              <w:rPr>
                <w:sz w:val="20"/>
              </w:rPr>
            </w:pPr>
          </w:p>
        </w:tc>
        <w:tc>
          <w:tcPr>
            <w:tcW w:w="1595" w:type="dxa"/>
            <w:shd w:val="clear" w:color="auto" w:fill="auto"/>
            <w:noWrap/>
            <w:vAlign w:val="bottom"/>
          </w:tcPr>
          <w:p w14:paraId="497EACB6" w14:textId="77777777" w:rsidR="00A95416" w:rsidRPr="0020502A" w:rsidRDefault="00A95416" w:rsidP="00327BFD">
            <w:pPr>
              <w:spacing w:before="40"/>
              <w:jc w:val="right"/>
              <w:rPr>
                <w:sz w:val="20"/>
              </w:rPr>
            </w:pPr>
          </w:p>
        </w:tc>
        <w:tc>
          <w:tcPr>
            <w:tcW w:w="1495" w:type="dxa"/>
            <w:shd w:val="clear" w:color="auto" w:fill="auto"/>
            <w:noWrap/>
            <w:vAlign w:val="bottom"/>
          </w:tcPr>
          <w:p w14:paraId="1BB49AE9" w14:textId="77777777" w:rsidR="00A95416" w:rsidRPr="0020502A" w:rsidRDefault="00A95416" w:rsidP="00327BFD">
            <w:pPr>
              <w:spacing w:before="40"/>
              <w:jc w:val="right"/>
              <w:rPr>
                <w:sz w:val="20"/>
              </w:rPr>
            </w:pPr>
          </w:p>
        </w:tc>
        <w:tc>
          <w:tcPr>
            <w:tcW w:w="1636" w:type="dxa"/>
            <w:shd w:val="clear" w:color="auto" w:fill="auto"/>
            <w:noWrap/>
            <w:vAlign w:val="bottom"/>
          </w:tcPr>
          <w:p w14:paraId="7AA7997C" w14:textId="77777777" w:rsidR="00A95416" w:rsidRPr="0020502A" w:rsidRDefault="00A95416" w:rsidP="00327BFD">
            <w:pPr>
              <w:spacing w:before="40"/>
              <w:jc w:val="right"/>
              <w:rPr>
                <w:sz w:val="20"/>
              </w:rPr>
            </w:pPr>
            <w:r w:rsidRPr="0020502A">
              <w:rPr>
                <w:sz w:val="20"/>
              </w:rPr>
              <w:t>2,546,091</w:t>
            </w:r>
          </w:p>
        </w:tc>
      </w:tr>
    </w:tbl>
    <w:p w14:paraId="2CCF9F54" w14:textId="77777777" w:rsidR="00A95416" w:rsidRDefault="00A95416" w:rsidP="00E82120">
      <w:pPr>
        <w:rPr>
          <w:rStyle w:val="Koteret"/>
          <w:b w:val="0"/>
          <w:i/>
          <w:iCs/>
        </w:rPr>
      </w:pPr>
    </w:p>
    <w:p w14:paraId="549258E2" w14:textId="77777777" w:rsidR="00E82120" w:rsidRDefault="00E82120" w:rsidP="00E82120">
      <w:pPr>
        <w:rPr>
          <w:b/>
          <w:bCs/>
          <w:sz w:val="26"/>
          <w:szCs w:val="26"/>
        </w:rPr>
      </w:pPr>
    </w:p>
    <w:p w14:paraId="0CF38B15" w14:textId="77777777" w:rsidR="00C35D07" w:rsidRPr="00F02921" w:rsidRDefault="00C35D07" w:rsidP="00DC7D98">
      <w:pPr>
        <w:rPr>
          <w:sz w:val="22"/>
          <w:szCs w:val="22"/>
        </w:rPr>
        <w:sectPr w:rsidR="00C35D07" w:rsidRPr="00F02921" w:rsidSect="00593E8F">
          <w:endnotePr>
            <w:numFmt w:val="lowerLetter"/>
          </w:endnotePr>
          <w:type w:val="nextColumn"/>
          <w:pgSz w:w="16838" w:h="11906" w:orient="landscape"/>
          <w:pgMar w:top="1134" w:right="1134" w:bottom="1134" w:left="1134" w:header="567" w:footer="567" w:gutter="0"/>
          <w:paperSrc w:first="15" w:other="15"/>
          <w:cols w:space="720"/>
          <w:bidi/>
          <w:docGrid w:linePitch="326"/>
        </w:sectPr>
      </w:pPr>
    </w:p>
    <w:p w14:paraId="325F30CC" w14:textId="08DFDBA7" w:rsidR="00E63185" w:rsidRDefault="00E63185" w:rsidP="003A09FD">
      <w:pPr>
        <w:rPr>
          <w:b/>
          <w:bCs/>
          <w:sz w:val="26"/>
          <w:szCs w:val="26"/>
        </w:rPr>
      </w:pPr>
    </w:p>
    <w:p w14:paraId="246230CB" w14:textId="7733DEDD" w:rsidR="00C35D07" w:rsidRPr="00D85F46" w:rsidRDefault="00C35D07" w:rsidP="00C01E5D">
      <w:pPr>
        <w:outlineLvl w:val="2"/>
        <w:rPr>
          <w:sz w:val="22"/>
          <w:szCs w:val="22"/>
          <w:lang w:bidi="he-IL"/>
        </w:rPr>
      </w:pPr>
      <w:bookmarkStart w:id="225" w:name="H3_Note_26_Group_Entities"/>
      <w:r w:rsidRPr="0020502A">
        <w:rPr>
          <w:b/>
          <w:bCs/>
          <w:sz w:val="22"/>
          <w:szCs w:val="22"/>
        </w:rPr>
        <w:t xml:space="preserve">Note </w:t>
      </w:r>
      <w:r w:rsidR="00C7020E" w:rsidRPr="0020502A">
        <w:rPr>
          <w:b/>
          <w:bCs/>
          <w:sz w:val="22"/>
          <w:szCs w:val="22"/>
        </w:rPr>
        <w:t>2</w:t>
      </w:r>
      <w:r w:rsidR="00C7020E">
        <w:rPr>
          <w:b/>
          <w:bCs/>
          <w:sz w:val="22"/>
          <w:szCs w:val="22"/>
        </w:rPr>
        <w:t>5</w:t>
      </w:r>
      <w:r w:rsidRPr="0020502A">
        <w:rPr>
          <w:b/>
          <w:bCs/>
          <w:sz w:val="22"/>
          <w:szCs w:val="22"/>
        </w:rPr>
        <w:t>- Group Entities</w:t>
      </w:r>
    </w:p>
    <w:bookmarkEnd w:id="225"/>
    <w:p w14:paraId="65F6A9D2" w14:textId="77777777" w:rsidR="00C35D07" w:rsidRPr="00F02921" w:rsidRDefault="00C35D07" w:rsidP="004A3C21">
      <w:pPr>
        <w:rPr>
          <w:b/>
          <w:bCs/>
          <w:sz w:val="8"/>
          <w:szCs w:val="8"/>
        </w:rPr>
      </w:pPr>
    </w:p>
    <w:p w14:paraId="42DDC178" w14:textId="5511A870" w:rsidR="00C35D07" w:rsidRDefault="008A0D1B" w:rsidP="005F7EAF">
      <w:pPr>
        <w:outlineLvl w:val="3"/>
        <w:rPr>
          <w:sz w:val="22"/>
          <w:szCs w:val="22"/>
        </w:rPr>
      </w:pPr>
      <w:proofErr w:type="gramStart"/>
      <w:r w:rsidRPr="008A0D1B">
        <w:rPr>
          <w:sz w:val="22"/>
          <w:szCs w:val="22"/>
        </w:rPr>
        <w:t>Following below</w:t>
      </w:r>
      <w:proofErr w:type="gramEnd"/>
      <w:r w:rsidRPr="008A0D1B">
        <w:rPr>
          <w:sz w:val="22"/>
          <w:szCs w:val="22"/>
        </w:rPr>
        <w:t xml:space="preserve"> a </w:t>
      </w:r>
      <w:r w:rsidR="00310BA8">
        <w:rPr>
          <w:sz w:val="22"/>
          <w:szCs w:val="22"/>
        </w:rPr>
        <w:t>list</w:t>
      </w:r>
      <w:r w:rsidRPr="008A0D1B">
        <w:rPr>
          <w:sz w:val="22"/>
          <w:szCs w:val="22"/>
        </w:rPr>
        <w:t xml:space="preserve"> of all the Company's </w:t>
      </w:r>
      <w:r w:rsidR="00C35D07" w:rsidRPr="008A0D1B">
        <w:rPr>
          <w:sz w:val="22"/>
          <w:szCs w:val="22"/>
        </w:rPr>
        <w:t>subsidiaries</w:t>
      </w:r>
      <w:r w:rsidR="00310BA8">
        <w:rPr>
          <w:sz w:val="22"/>
          <w:szCs w:val="22"/>
        </w:rPr>
        <w:t>:</w:t>
      </w:r>
    </w:p>
    <w:p w14:paraId="5053ECD0" w14:textId="77777777" w:rsidR="007B23F1" w:rsidRPr="00602FCA" w:rsidRDefault="007B23F1" w:rsidP="00040227">
      <w:pPr>
        <w:rPr>
          <w:sz w:val="10"/>
          <w:szCs w:val="10"/>
        </w:rPr>
      </w:pPr>
    </w:p>
    <w:tbl>
      <w:tblPr>
        <w:tblW w:w="0" w:type="auto"/>
        <w:tblLayout w:type="fixed"/>
        <w:tblLook w:val="06A0" w:firstRow="1" w:lastRow="0" w:firstColumn="1" w:lastColumn="0" w:noHBand="1" w:noVBand="1"/>
        <w:tblCaption w:val="AHR01"/>
        <w:tblDescription w:val="Group Entities"/>
      </w:tblPr>
      <w:tblGrid>
        <w:gridCol w:w="4535"/>
        <w:gridCol w:w="2268"/>
        <w:gridCol w:w="1417"/>
        <w:gridCol w:w="1417"/>
      </w:tblGrid>
      <w:tr w:rsidR="007B23F1" w:rsidRPr="00E55352" w14:paraId="21994FC9" w14:textId="77777777" w:rsidTr="005101BC">
        <w:trPr>
          <w:cantSplit/>
          <w:trHeight w:val="240"/>
          <w:tblHeader/>
        </w:trPr>
        <w:tc>
          <w:tcPr>
            <w:tcW w:w="4535" w:type="dxa"/>
            <w:shd w:val="clear" w:color="auto" w:fill="auto"/>
            <w:noWrap/>
            <w:vAlign w:val="bottom"/>
          </w:tcPr>
          <w:p w14:paraId="3EB0C7B2" w14:textId="77777777" w:rsidR="007B23F1" w:rsidRPr="00E55352" w:rsidRDefault="007B23F1" w:rsidP="00F86159">
            <w:pPr>
              <w:spacing w:before="40"/>
              <w:rPr>
                <w:rFonts w:asciiTheme="majorBidi" w:eastAsia="Arial" w:hAnsiTheme="majorBidi" w:cstheme="majorBidi"/>
                <w:sz w:val="20"/>
              </w:rPr>
            </w:pPr>
            <w:bookmarkStart w:id="226" w:name="Title_69" w:colFirst="0" w:colLast="0"/>
          </w:p>
        </w:tc>
        <w:tc>
          <w:tcPr>
            <w:tcW w:w="2268" w:type="dxa"/>
            <w:shd w:val="clear" w:color="auto" w:fill="auto"/>
            <w:vAlign w:val="bottom"/>
          </w:tcPr>
          <w:p w14:paraId="1EE9D33B" w14:textId="77777777" w:rsidR="007B23F1" w:rsidRPr="00E55352" w:rsidRDefault="007B23F1" w:rsidP="00F86159">
            <w:pPr>
              <w:pBdr>
                <w:bottom w:val="single" w:sz="4" w:space="0" w:color="000000"/>
              </w:pBdr>
              <w:spacing w:before="40"/>
              <w:rPr>
                <w:rFonts w:asciiTheme="majorBidi" w:hAnsiTheme="majorBidi" w:cstheme="majorBidi"/>
                <w:color w:val="000000"/>
                <w:sz w:val="20"/>
              </w:rPr>
            </w:pPr>
            <w:r w:rsidRPr="00E55352">
              <w:rPr>
                <w:rFonts w:asciiTheme="majorBidi" w:hAnsiTheme="majorBidi" w:cstheme="majorBidi"/>
                <w:color w:val="000000"/>
                <w:sz w:val="20"/>
              </w:rPr>
              <w:t>Country of incorporation</w:t>
            </w:r>
          </w:p>
        </w:tc>
        <w:tc>
          <w:tcPr>
            <w:tcW w:w="1417" w:type="dxa"/>
            <w:shd w:val="clear" w:color="auto" w:fill="auto"/>
            <w:vAlign w:val="bottom"/>
          </w:tcPr>
          <w:p w14:paraId="0B593090" w14:textId="193443A7" w:rsidR="007B23F1" w:rsidRPr="00E55352" w:rsidRDefault="007B23F1" w:rsidP="00D85F46">
            <w:pPr>
              <w:pBdr>
                <w:bottom w:val="single" w:sz="4" w:space="0" w:color="000000"/>
              </w:pBdr>
              <w:spacing w:before="40"/>
              <w:ind w:left="57"/>
              <w:jc w:val="center"/>
              <w:rPr>
                <w:rFonts w:asciiTheme="majorBidi" w:hAnsiTheme="majorBidi" w:cstheme="majorBidi"/>
                <w:b/>
                <w:bCs/>
                <w:color w:val="000000"/>
                <w:sz w:val="20"/>
                <w:lang w:bidi="he-IL"/>
              </w:rPr>
            </w:pPr>
            <w:r w:rsidRPr="00E55352">
              <w:rPr>
                <w:rFonts w:asciiTheme="majorBidi" w:hAnsiTheme="majorBidi" w:cstheme="majorBidi"/>
                <w:b/>
                <w:bCs/>
                <w:color w:val="000000"/>
                <w:sz w:val="20"/>
              </w:rPr>
              <w:t xml:space="preserve">December 31, </w:t>
            </w:r>
            <w:r w:rsidR="00AD1E41">
              <w:rPr>
                <w:rFonts w:asciiTheme="majorBidi" w:hAnsiTheme="majorBidi" w:cstheme="majorBidi"/>
                <w:b/>
                <w:bCs/>
                <w:color w:val="000000"/>
                <w:sz w:val="20"/>
                <w:lang w:bidi="he-IL"/>
              </w:rPr>
              <w:t>202</w:t>
            </w:r>
            <w:r w:rsidR="00A95416">
              <w:rPr>
                <w:rFonts w:asciiTheme="majorBidi" w:hAnsiTheme="majorBidi" w:cstheme="majorBidi"/>
                <w:b/>
                <w:bCs/>
                <w:color w:val="000000"/>
                <w:sz w:val="20"/>
                <w:lang w:bidi="he-IL"/>
              </w:rPr>
              <w:t>4</w:t>
            </w:r>
          </w:p>
        </w:tc>
        <w:tc>
          <w:tcPr>
            <w:tcW w:w="1417" w:type="dxa"/>
            <w:shd w:val="clear" w:color="auto" w:fill="auto"/>
            <w:vAlign w:val="bottom"/>
          </w:tcPr>
          <w:p w14:paraId="77A8CBA4" w14:textId="6E89429C" w:rsidR="007B23F1" w:rsidRPr="00E55352" w:rsidRDefault="007B23F1" w:rsidP="00D85F46">
            <w:pPr>
              <w:pBdr>
                <w:bottom w:val="single" w:sz="4" w:space="0" w:color="000000"/>
              </w:pBdr>
              <w:spacing w:before="40"/>
              <w:ind w:left="57"/>
              <w:jc w:val="center"/>
              <w:rPr>
                <w:rFonts w:asciiTheme="majorBidi" w:hAnsiTheme="majorBidi" w:cstheme="majorBidi"/>
                <w:b/>
                <w:bCs/>
                <w:color w:val="000000"/>
                <w:sz w:val="20"/>
                <w:lang w:bidi="he-IL"/>
              </w:rPr>
            </w:pPr>
            <w:r w:rsidRPr="00E55352">
              <w:rPr>
                <w:rFonts w:asciiTheme="majorBidi" w:hAnsiTheme="majorBidi" w:cstheme="majorBidi"/>
                <w:b/>
                <w:bCs/>
                <w:color w:val="000000"/>
                <w:sz w:val="20"/>
              </w:rPr>
              <w:t xml:space="preserve">December 31, </w:t>
            </w:r>
            <w:r w:rsidR="00AD1E41">
              <w:rPr>
                <w:rFonts w:asciiTheme="majorBidi" w:hAnsiTheme="majorBidi" w:cstheme="majorBidi" w:hint="cs"/>
                <w:b/>
                <w:bCs/>
                <w:color w:val="000000"/>
                <w:sz w:val="20"/>
                <w:rtl/>
                <w:lang w:bidi="he-IL"/>
              </w:rPr>
              <w:t>202</w:t>
            </w:r>
            <w:r w:rsidR="00A95416">
              <w:rPr>
                <w:rFonts w:asciiTheme="majorBidi" w:hAnsiTheme="majorBidi" w:cstheme="majorBidi" w:hint="cs"/>
                <w:b/>
                <w:bCs/>
                <w:color w:val="000000"/>
                <w:sz w:val="20"/>
                <w:rtl/>
                <w:lang w:bidi="he-IL"/>
              </w:rPr>
              <w:t>3</w:t>
            </w:r>
          </w:p>
        </w:tc>
      </w:tr>
      <w:bookmarkEnd w:id="226"/>
      <w:tr w:rsidR="007A4AEE" w:rsidRPr="00E55352" w14:paraId="53AEDB45" w14:textId="77777777" w:rsidTr="005101BC">
        <w:trPr>
          <w:trHeight w:val="240"/>
        </w:trPr>
        <w:tc>
          <w:tcPr>
            <w:tcW w:w="4535" w:type="dxa"/>
            <w:shd w:val="clear" w:color="auto" w:fill="auto"/>
            <w:noWrap/>
            <w:vAlign w:val="bottom"/>
          </w:tcPr>
          <w:p w14:paraId="11969994" w14:textId="164C1B9A" w:rsidR="007A4AEE" w:rsidRPr="00E55352" w:rsidRDefault="007A4AEE" w:rsidP="007A4AEE">
            <w:pPr>
              <w:spacing w:before="40"/>
              <w:rPr>
                <w:rFonts w:asciiTheme="majorBidi" w:eastAsia="Arial" w:hAnsiTheme="majorBidi" w:cstheme="majorBidi"/>
                <w:sz w:val="20"/>
              </w:rPr>
            </w:pPr>
            <w:r w:rsidRPr="00E55352">
              <w:rPr>
                <w:rFonts w:asciiTheme="majorBidi" w:eastAsia="Arial" w:hAnsiTheme="majorBidi" w:cstheme="majorBidi"/>
                <w:sz w:val="20"/>
              </w:rPr>
              <w:t xml:space="preserve">AFI </w:t>
            </w:r>
            <w:proofErr w:type="spellStart"/>
            <w:r w:rsidRPr="00E55352">
              <w:rPr>
                <w:rFonts w:asciiTheme="majorBidi" w:eastAsia="Arial" w:hAnsiTheme="majorBidi" w:cstheme="majorBidi"/>
                <w:sz w:val="20"/>
              </w:rPr>
              <w:t>Vokovice</w:t>
            </w:r>
            <w:proofErr w:type="spellEnd"/>
            <w:r w:rsidRPr="00E55352">
              <w:rPr>
                <w:rFonts w:asciiTheme="majorBidi" w:eastAsia="Arial" w:hAnsiTheme="majorBidi" w:cstheme="majorBidi"/>
                <w:sz w:val="20"/>
              </w:rPr>
              <w:t xml:space="preserve"> </w:t>
            </w:r>
            <w:proofErr w:type="spellStart"/>
            <w:r w:rsidRPr="00E55352">
              <w:rPr>
                <w:rFonts w:asciiTheme="majorBidi" w:eastAsia="Arial" w:hAnsiTheme="majorBidi" w:cstheme="majorBidi"/>
                <w:sz w:val="20"/>
              </w:rPr>
              <w:t>s.r.o.</w:t>
            </w:r>
            <w:proofErr w:type="spellEnd"/>
          </w:p>
        </w:tc>
        <w:tc>
          <w:tcPr>
            <w:tcW w:w="2268" w:type="dxa"/>
            <w:shd w:val="clear" w:color="auto" w:fill="auto"/>
            <w:vAlign w:val="bottom"/>
          </w:tcPr>
          <w:p w14:paraId="598E8826" w14:textId="77777777" w:rsidR="007A4AEE" w:rsidRPr="00E55352" w:rsidRDefault="007A4AEE" w:rsidP="007A4AEE">
            <w:pPr>
              <w:widowControl w:val="0"/>
              <w:tabs>
                <w:tab w:val="left" w:pos="510"/>
                <w:tab w:val="left" w:pos="1531"/>
                <w:tab w:val="left" w:pos="1814"/>
              </w:tabs>
              <w:suppressAutoHyphens/>
              <w:autoSpaceDE w:val="0"/>
              <w:autoSpaceDN w:val="0"/>
              <w:adjustRightInd w:val="0"/>
              <w:spacing w:before="40" w:line="260" w:lineRule="atLeast"/>
              <w:ind w:right="113"/>
              <w:textAlignment w:val="center"/>
              <w:rPr>
                <w:rFonts w:asciiTheme="majorBidi" w:hAnsiTheme="majorBidi" w:cstheme="majorBidi"/>
                <w:color w:val="000000"/>
                <w:sz w:val="20"/>
              </w:rPr>
            </w:pPr>
            <w:r w:rsidRPr="00E55352">
              <w:rPr>
                <w:rFonts w:asciiTheme="majorBidi" w:hAnsiTheme="majorBidi" w:cstheme="majorBidi"/>
                <w:color w:val="000000"/>
                <w:sz w:val="20"/>
              </w:rPr>
              <w:t>Czech Republic</w:t>
            </w:r>
          </w:p>
        </w:tc>
        <w:tc>
          <w:tcPr>
            <w:tcW w:w="1417" w:type="dxa"/>
            <w:shd w:val="clear" w:color="auto" w:fill="auto"/>
            <w:vAlign w:val="bottom"/>
          </w:tcPr>
          <w:p w14:paraId="4C09FB49" w14:textId="2D1CA190" w:rsidR="007A4AEE" w:rsidRPr="00154B2D" w:rsidRDefault="007A4AEE" w:rsidP="007A4AEE">
            <w:pPr>
              <w:widowControl w:val="0"/>
              <w:tabs>
                <w:tab w:val="left" w:pos="510"/>
                <w:tab w:val="left" w:pos="1531"/>
                <w:tab w:val="left" w:pos="1814"/>
              </w:tabs>
              <w:suppressAutoHyphens/>
              <w:autoSpaceDE w:val="0"/>
              <w:autoSpaceDN w:val="0"/>
              <w:adjustRightInd w:val="0"/>
              <w:spacing w:before="40" w:line="260" w:lineRule="atLeast"/>
              <w:ind w:left="1418" w:hanging="1418"/>
              <w:jc w:val="right"/>
              <w:textAlignment w:val="center"/>
              <w:rPr>
                <w:rFonts w:asciiTheme="majorBidi" w:hAnsiTheme="majorBidi" w:cstheme="majorBidi"/>
                <w:color w:val="000000"/>
                <w:sz w:val="20"/>
              </w:rPr>
            </w:pPr>
            <w:r w:rsidRPr="00154B2D">
              <w:rPr>
                <w:rFonts w:asciiTheme="majorBidi" w:hAnsiTheme="majorBidi" w:cstheme="majorBidi"/>
                <w:color w:val="000000"/>
                <w:sz w:val="20"/>
              </w:rPr>
              <w:t xml:space="preserve"> 100.0</w:t>
            </w:r>
          </w:p>
        </w:tc>
        <w:tc>
          <w:tcPr>
            <w:tcW w:w="1417" w:type="dxa"/>
            <w:shd w:val="clear" w:color="auto" w:fill="auto"/>
            <w:vAlign w:val="bottom"/>
          </w:tcPr>
          <w:p w14:paraId="35FA056C" w14:textId="149E31EC" w:rsidR="007A4AEE" w:rsidRPr="00E55352" w:rsidRDefault="007A4AEE" w:rsidP="007A4AEE">
            <w:pPr>
              <w:widowControl w:val="0"/>
              <w:tabs>
                <w:tab w:val="left" w:pos="510"/>
                <w:tab w:val="left" w:pos="1531"/>
                <w:tab w:val="left" w:pos="1814"/>
              </w:tabs>
              <w:suppressAutoHyphens/>
              <w:autoSpaceDE w:val="0"/>
              <w:autoSpaceDN w:val="0"/>
              <w:adjustRightInd w:val="0"/>
              <w:spacing w:before="40" w:line="260" w:lineRule="atLeast"/>
              <w:ind w:left="1418" w:hanging="1418"/>
              <w:jc w:val="right"/>
              <w:textAlignment w:val="center"/>
              <w:rPr>
                <w:rFonts w:asciiTheme="majorBidi" w:hAnsiTheme="majorBidi" w:cstheme="majorBidi"/>
                <w:color w:val="000000"/>
                <w:sz w:val="20"/>
              </w:rPr>
            </w:pPr>
            <w:r w:rsidRPr="00154B2D">
              <w:rPr>
                <w:rFonts w:asciiTheme="majorBidi" w:hAnsiTheme="majorBidi" w:cstheme="majorBidi"/>
                <w:color w:val="000000"/>
                <w:sz w:val="20"/>
              </w:rPr>
              <w:t xml:space="preserve"> 100.0</w:t>
            </w:r>
          </w:p>
        </w:tc>
      </w:tr>
      <w:tr w:rsidR="007A4AEE" w:rsidRPr="00E55352" w14:paraId="3EF664FD" w14:textId="77777777" w:rsidTr="005101BC">
        <w:trPr>
          <w:trHeight w:val="240"/>
        </w:trPr>
        <w:tc>
          <w:tcPr>
            <w:tcW w:w="4535" w:type="dxa"/>
            <w:shd w:val="clear" w:color="auto" w:fill="auto"/>
            <w:noWrap/>
            <w:vAlign w:val="bottom"/>
          </w:tcPr>
          <w:p w14:paraId="761EDA81" w14:textId="77777777" w:rsidR="007A4AEE" w:rsidRPr="00E55352" w:rsidRDefault="007A4AEE" w:rsidP="007A4AEE">
            <w:pPr>
              <w:widowControl w:val="0"/>
              <w:tabs>
                <w:tab w:val="left" w:pos="510"/>
                <w:tab w:val="left" w:pos="1531"/>
                <w:tab w:val="left" w:pos="1814"/>
              </w:tabs>
              <w:suppressAutoHyphens/>
              <w:autoSpaceDE w:val="0"/>
              <w:autoSpaceDN w:val="0"/>
              <w:adjustRightInd w:val="0"/>
              <w:spacing w:before="40" w:line="260" w:lineRule="atLeast"/>
              <w:ind w:left="1418" w:right="113" w:hanging="1418"/>
              <w:textAlignment w:val="center"/>
              <w:rPr>
                <w:rFonts w:asciiTheme="majorBidi" w:eastAsia="Arial" w:hAnsiTheme="majorBidi" w:cstheme="majorBidi"/>
                <w:sz w:val="20"/>
              </w:rPr>
            </w:pPr>
            <w:r w:rsidRPr="00E55352">
              <w:rPr>
                <w:rFonts w:asciiTheme="majorBidi" w:eastAsia="Arial" w:hAnsiTheme="majorBidi" w:cstheme="majorBidi"/>
                <w:sz w:val="20"/>
              </w:rPr>
              <w:t>M.I.C</w:t>
            </w:r>
            <w:proofErr w:type="gramStart"/>
            <w:r w:rsidRPr="00E55352">
              <w:rPr>
                <w:rFonts w:asciiTheme="majorBidi" w:eastAsia="Arial" w:hAnsiTheme="majorBidi" w:cstheme="majorBidi"/>
                <w:sz w:val="20"/>
              </w:rPr>
              <w:t>.C</w:t>
            </w:r>
            <w:proofErr w:type="gramEnd"/>
            <w:r w:rsidRPr="00E55352">
              <w:rPr>
                <w:rFonts w:asciiTheme="majorBidi" w:eastAsia="Arial" w:hAnsiTheme="majorBidi" w:cstheme="majorBidi"/>
                <w:sz w:val="20"/>
              </w:rPr>
              <w:t xml:space="preserve"> Prague </w:t>
            </w:r>
            <w:proofErr w:type="spellStart"/>
            <w:r w:rsidRPr="00E55352">
              <w:rPr>
                <w:rFonts w:asciiTheme="majorBidi" w:eastAsia="Arial" w:hAnsiTheme="majorBidi" w:cstheme="majorBidi"/>
                <w:sz w:val="20"/>
              </w:rPr>
              <w:t>s.r.o.</w:t>
            </w:r>
            <w:proofErr w:type="spellEnd"/>
          </w:p>
        </w:tc>
        <w:tc>
          <w:tcPr>
            <w:tcW w:w="2268" w:type="dxa"/>
            <w:shd w:val="clear" w:color="auto" w:fill="auto"/>
            <w:vAlign w:val="bottom"/>
          </w:tcPr>
          <w:p w14:paraId="18B16B0C" w14:textId="77777777" w:rsidR="007A4AEE" w:rsidRPr="00E55352" w:rsidRDefault="007A4AEE" w:rsidP="007A4AEE">
            <w:pPr>
              <w:widowControl w:val="0"/>
              <w:tabs>
                <w:tab w:val="left" w:pos="510"/>
                <w:tab w:val="left" w:pos="1531"/>
                <w:tab w:val="left" w:pos="1814"/>
              </w:tabs>
              <w:suppressAutoHyphens/>
              <w:autoSpaceDE w:val="0"/>
              <w:autoSpaceDN w:val="0"/>
              <w:adjustRightInd w:val="0"/>
              <w:spacing w:before="40" w:line="260" w:lineRule="atLeast"/>
              <w:ind w:right="113"/>
              <w:textAlignment w:val="center"/>
              <w:rPr>
                <w:rFonts w:asciiTheme="majorBidi" w:hAnsiTheme="majorBidi" w:cstheme="majorBidi"/>
                <w:color w:val="000000"/>
                <w:sz w:val="20"/>
              </w:rPr>
            </w:pPr>
            <w:r w:rsidRPr="00E55352">
              <w:rPr>
                <w:rFonts w:asciiTheme="majorBidi" w:hAnsiTheme="majorBidi" w:cstheme="majorBidi"/>
                <w:color w:val="000000"/>
                <w:sz w:val="20"/>
              </w:rPr>
              <w:t>Czech Republic</w:t>
            </w:r>
          </w:p>
        </w:tc>
        <w:tc>
          <w:tcPr>
            <w:tcW w:w="1417" w:type="dxa"/>
            <w:shd w:val="clear" w:color="auto" w:fill="auto"/>
            <w:vAlign w:val="bottom"/>
          </w:tcPr>
          <w:p w14:paraId="6964594A" w14:textId="3E6EDB44" w:rsidR="007A4AEE" w:rsidRPr="00154B2D" w:rsidRDefault="007A4AEE" w:rsidP="007A4AEE">
            <w:pPr>
              <w:widowControl w:val="0"/>
              <w:tabs>
                <w:tab w:val="left" w:pos="510"/>
                <w:tab w:val="left" w:pos="1531"/>
                <w:tab w:val="left" w:pos="1814"/>
              </w:tabs>
              <w:suppressAutoHyphens/>
              <w:autoSpaceDE w:val="0"/>
              <w:autoSpaceDN w:val="0"/>
              <w:adjustRightInd w:val="0"/>
              <w:spacing w:before="40" w:line="260" w:lineRule="atLeast"/>
              <w:ind w:left="1418" w:hanging="1418"/>
              <w:jc w:val="right"/>
              <w:textAlignment w:val="center"/>
              <w:rPr>
                <w:rFonts w:asciiTheme="majorBidi" w:hAnsiTheme="majorBidi" w:cstheme="majorBidi"/>
                <w:color w:val="000000"/>
                <w:sz w:val="20"/>
              </w:rPr>
            </w:pPr>
            <w:r w:rsidRPr="00154B2D">
              <w:rPr>
                <w:rFonts w:asciiTheme="majorBidi" w:hAnsiTheme="majorBidi" w:cstheme="majorBidi"/>
                <w:color w:val="000000"/>
                <w:sz w:val="20"/>
              </w:rPr>
              <w:t xml:space="preserve"> 100.0</w:t>
            </w:r>
          </w:p>
        </w:tc>
        <w:tc>
          <w:tcPr>
            <w:tcW w:w="1417" w:type="dxa"/>
            <w:shd w:val="clear" w:color="auto" w:fill="auto"/>
            <w:vAlign w:val="bottom"/>
          </w:tcPr>
          <w:p w14:paraId="49C252FC" w14:textId="29F0B295" w:rsidR="007A4AEE" w:rsidRPr="00E55352" w:rsidRDefault="007A4AEE" w:rsidP="007A4AEE">
            <w:pPr>
              <w:widowControl w:val="0"/>
              <w:tabs>
                <w:tab w:val="left" w:pos="510"/>
                <w:tab w:val="left" w:pos="1531"/>
                <w:tab w:val="left" w:pos="1814"/>
              </w:tabs>
              <w:suppressAutoHyphens/>
              <w:autoSpaceDE w:val="0"/>
              <w:autoSpaceDN w:val="0"/>
              <w:adjustRightInd w:val="0"/>
              <w:spacing w:before="40" w:line="260" w:lineRule="atLeast"/>
              <w:ind w:left="1418" w:hanging="1418"/>
              <w:jc w:val="right"/>
              <w:textAlignment w:val="center"/>
              <w:rPr>
                <w:rFonts w:asciiTheme="majorBidi" w:hAnsiTheme="majorBidi" w:cstheme="majorBidi"/>
                <w:color w:val="000000"/>
                <w:sz w:val="20"/>
              </w:rPr>
            </w:pPr>
            <w:r w:rsidRPr="00154B2D">
              <w:rPr>
                <w:rFonts w:asciiTheme="majorBidi" w:hAnsiTheme="majorBidi" w:cstheme="majorBidi"/>
                <w:color w:val="000000"/>
                <w:sz w:val="20"/>
              </w:rPr>
              <w:t xml:space="preserve"> 100.0</w:t>
            </w:r>
          </w:p>
        </w:tc>
      </w:tr>
      <w:tr w:rsidR="007A4AEE" w:rsidRPr="00E55352" w14:paraId="76E802A6" w14:textId="77777777" w:rsidTr="005101BC">
        <w:trPr>
          <w:trHeight w:val="240"/>
        </w:trPr>
        <w:tc>
          <w:tcPr>
            <w:tcW w:w="4535" w:type="dxa"/>
            <w:shd w:val="clear" w:color="auto" w:fill="auto"/>
            <w:noWrap/>
            <w:vAlign w:val="bottom"/>
          </w:tcPr>
          <w:p w14:paraId="0D8D16C7" w14:textId="77777777" w:rsidR="007A4AEE" w:rsidRPr="00E55352" w:rsidRDefault="007A4AEE" w:rsidP="007A4AEE">
            <w:pPr>
              <w:widowControl w:val="0"/>
              <w:tabs>
                <w:tab w:val="left" w:pos="510"/>
                <w:tab w:val="left" w:pos="1531"/>
                <w:tab w:val="left" w:pos="1814"/>
              </w:tabs>
              <w:suppressAutoHyphens/>
              <w:autoSpaceDE w:val="0"/>
              <w:autoSpaceDN w:val="0"/>
              <w:adjustRightInd w:val="0"/>
              <w:spacing w:before="40" w:line="260" w:lineRule="atLeast"/>
              <w:ind w:left="1418" w:right="113" w:hanging="1418"/>
              <w:textAlignment w:val="center"/>
              <w:rPr>
                <w:rFonts w:asciiTheme="majorBidi" w:eastAsia="Arial" w:hAnsiTheme="majorBidi" w:cstheme="majorBidi"/>
                <w:sz w:val="20"/>
              </w:rPr>
            </w:pPr>
            <w:r w:rsidRPr="00E55352">
              <w:rPr>
                <w:rFonts w:asciiTheme="majorBidi" w:eastAsia="Arial" w:hAnsiTheme="majorBidi" w:cstheme="majorBidi"/>
                <w:sz w:val="20"/>
              </w:rPr>
              <w:t xml:space="preserve">Tulipa City </w:t>
            </w:r>
            <w:proofErr w:type="spellStart"/>
            <w:r w:rsidRPr="00E55352">
              <w:rPr>
                <w:rFonts w:asciiTheme="majorBidi" w:eastAsia="Arial" w:hAnsiTheme="majorBidi" w:cstheme="majorBidi"/>
                <w:sz w:val="20"/>
              </w:rPr>
              <w:t>s.r.o.</w:t>
            </w:r>
            <w:proofErr w:type="spellEnd"/>
          </w:p>
        </w:tc>
        <w:tc>
          <w:tcPr>
            <w:tcW w:w="2268" w:type="dxa"/>
            <w:shd w:val="clear" w:color="auto" w:fill="auto"/>
            <w:vAlign w:val="bottom"/>
          </w:tcPr>
          <w:p w14:paraId="78AF941A" w14:textId="77777777" w:rsidR="007A4AEE" w:rsidRPr="00E55352" w:rsidRDefault="007A4AEE" w:rsidP="007A4AEE">
            <w:pPr>
              <w:widowControl w:val="0"/>
              <w:tabs>
                <w:tab w:val="left" w:pos="510"/>
                <w:tab w:val="left" w:pos="1531"/>
                <w:tab w:val="left" w:pos="1814"/>
              </w:tabs>
              <w:suppressAutoHyphens/>
              <w:autoSpaceDE w:val="0"/>
              <w:autoSpaceDN w:val="0"/>
              <w:adjustRightInd w:val="0"/>
              <w:spacing w:before="40" w:line="260" w:lineRule="atLeast"/>
              <w:ind w:right="113"/>
              <w:textAlignment w:val="center"/>
              <w:rPr>
                <w:rFonts w:asciiTheme="majorBidi" w:hAnsiTheme="majorBidi" w:cstheme="majorBidi"/>
                <w:color w:val="000000"/>
                <w:sz w:val="20"/>
              </w:rPr>
            </w:pPr>
            <w:r w:rsidRPr="00E55352">
              <w:rPr>
                <w:rFonts w:asciiTheme="majorBidi" w:hAnsiTheme="majorBidi" w:cstheme="majorBidi"/>
                <w:color w:val="000000"/>
                <w:sz w:val="20"/>
              </w:rPr>
              <w:t>Czech Republic</w:t>
            </w:r>
          </w:p>
        </w:tc>
        <w:tc>
          <w:tcPr>
            <w:tcW w:w="1417" w:type="dxa"/>
            <w:shd w:val="clear" w:color="auto" w:fill="auto"/>
            <w:vAlign w:val="bottom"/>
          </w:tcPr>
          <w:p w14:paraId="02D1920D" w14:textId="3DDEA442" w:rsidR="007A4AEE" w:rsidRPr="00154B2D" w:rsidRDefault="007A4AEE" w:rsidP="007A4AEE">
            <w:pPr>
              <w:widowControl w:val="0"/>
              <w:tabs>
                <w:tab w:val="left" w:pos="510"/>
                <w:tab w:val="left" w:pos="1531"/>
                <w:tab w:val="left" w:pos="1814"/>
              </w:tabs>
              <w:suppressAutoHyphens/>
              <w:autoSpaceDE w:val="0"/>
              <w:autoSpaceDN w:val="0"/>
              <w:adjustRightInd w:val="0"/>
              <w:spacing w:before="40" w:line="260" w:lineRule="atLeast"/>
              <w:ind w:left="1418" w:hanging="1418"/>
              <w:jc w:val="right"/>
              <w:textAlignment w:val="center"/>
              <w:rPr>
                <w:rFonts w:asciiTheme="majorBidi" w:hAnsiTheme="majorBidi" w:cstheme="majorBidi"/>
                <w:color w:val="000000"/>
                <w:sz w:val="20"/>
              </w:rPr>
            </w:pPr>
            <w:r w:rsidRPr="00154B2D">
              <w:rPr>
                <w:rFonts w:asciiTheme="majorBidi" w:hAnsiTheme="majorBidi" w:cstheme="majorBidi"/>
                <w:color w:val="000000"/>
                <w:sz w:val="20"/>
              </w:rPr>
              <w:t xml:space="preserve"> 100.0</w:t>
            </w:r>
          </w:p>
        </w:tc>
        <w:tc>
          <w:tcPr>
            <w:tcW w:w="1417" w:type="dxa"/>
            <w:shd w:val="clear" w:color="auto" w:fill="auto"/>
            <w:vAlign w:val="bottom"/>
          </w:tcPr>
          <w:p w14:paraId="3CDC9FB7" w14:textId="1A1C4FAC" w:rsidR="007A4AEE" w:rsidRPr="00E55352" w:rsidRDefault="007A4AEE" w:rsidP="007A4AEE">
            <w:pPr>
              <w:widowControl w:val="0"/>
              <w:tabs>
                <w:tab w:val="left" w:pos="510"/>
                <w:tab w:val="left" w:pos="1531"/>
                <w:tab w:val="left" w:pos="1814"/>
              </w:tabs>
              <w:suppressAutoHyphens/>
              <w:autoSpaceDE w:val="0"/>
              <w:autoSpaceDN w:val="0"/>
              <w:adjustRightInd w:val="0"/>
              <w:spacing w:before="40" w:line="260" w:lineRule="atLeast"/>
              <w:ind w:left="1418" w:hanging="1418"/>
              <w:jc w:val="right"/>
              <w:textAlignment w:val="center"/>
              <w:rPr>
                <w:rFonts w:asciiTheme="majorBidi" w:hAnsiTheme="majorBidi" w:cstheme="majorBidi"/>
                <w:color w:val="000000"/>
                <w:sz w:val="20"/>
              </w:rPr>
            </w:pPr>
            <w:r w:rsidRPr="00154B2D">
              <w:rPr>
                <w:rFonts w:asciiTheme="majorBidi" w:hAnsiTheme="majorBidi" w:cstheme="majorBidi"/>
                <w:color w:val="000000"/>
                <w:sz w:val="20"/>
              </w:rPr>
              <w:t xml:space="preserve"> 100.0</w:t>
            </w:r>
          </w:p>
        </w:tc>
      </w:tr>
      <w:tr w:rsidR="007A4AEE" w:rsidRPr="00E55352" w14:paraId="69144EE0" w14:textId="77777777" w:rsidTr="005101BC">
        <w:trPr>
          <w:trHeight w:val="240"/>
        </w:trPr>
        <w:tc>
          <w:tcPr>
            <w:tcW w:w="4535" w:type="dxa"/>
            <w:shd w:val="clear" w:color="auto" w:fill="auto"/>
            <w:noWrap/>
            <w:vAlign w:val="bottom"/>
          </w:tcPr>
          <w:p w14:paraId="0813FFCA" w14:textId="00CBAF14" w:rsidR="007A4AEE" w:rsidRPr="005230A2" w:rsidRDefault="007A4AEE" w:rsidP="007A4AEE">
            <w:pPr>
              <w:widowControl w:val="0"/>
              <w:tabs>
                <w:tab w:val="left" w:pos="510"/>
                <w:tab w:val="left" w:pos="1531"/>
                <w:tab w:val="left" w:pos="1814"/>
              </w:tabs>
              <w:suppressAutoHyphens/>
              <w:autoSpaceDE w:val="0"/>
              <w:autoSpaceDN w:val="0"/>
              <w:adjustRightInd w:val="0"/>
              <w:spacing w:before="40" w:line="260" w:lineRule="atLeast"/>
              <w:ind w:left="1418" w:right="113" w:hanging="1418"/>
              <w:textAlignment w:val="center"/>
              <w:rPr>
                <w:rFonts w:asciiTheme="majorBidi" w:eastAsia="Arial" w:hAnsiTheme="majorBidi" w:cstheme="majorBidi"/>
                <w:sz w:val="20"/>
                <w:lang w:val="de-DE"/>
              </w:rPr>
            </w:pPr>
            <w:r w:rsidRPr="005230A2">
              <w:rPr>
                <w:rFonts w:asciiTheme="majorBidi" w:eastAsia="Arial" w:hAnsiTheme="majorBidi" w:cstheme="majorBidi"/>
                <w:sz w:val="20"/>
                <w:lang w:val="de-DE"/>
              </w:rPr>
              <w:t>AFI Karlin s.r.o.</w:t>
            </w:r>
          </w:p>
        </w:tc>
        <w:tc>
          <w:tcPr>
            <w:tcW w:w="2268" w:type="dxa"/>
            <w:shd w:val="clear" w:color="auto" w:fill="auto"/>
            <w:vAlign w:val="bottom"/>
          </w:tcPr>
          <w:p w14:paraId="02489066" w14:textId="77777777" w:rsidR="007A4AEE" w:rsidRPr="00E55352" w:rsidRDefault="007A4AEE" w:rsidP="007A4AEE">
            <w:pPr>
              <w:widowControl w:val="0"/>
              <w:tabs>
                <w:tab w:val="left" w:pos="510"/>
                <w:tab w:val="left" w:pos="1531"/>
                <w:tab w:val="left" w:pos="1814"/>
              </w:tabs>
              <w:suppressAutoHyphens/>
              <w:autoSpaceDE w:val="0"/>
              <w:autoSpaceDN w:val="0"/>
              <w:adjustRightInd w:val="0"/>
              <w:spacing w:before="40" w:line="260" w:lineRule="atLeast"/>
              <w:ind w:right="113"/>
              <w:textAlignment w:val="center"/>
              <w:rPr>
                <w:rFonts w:asciiTheme="majorBidi" w:hAnsiTheme="majorBidi" w:cstheme="majorBidi"/>
                <w:color w:val="000000"/>
                <w:sz w:val="20"/>
              </w:rPr>
            </w:pPr>
            <w:r w:rsidRPr="00E55352">
              <w:rPr>
                <w:rFonts w:asciiTheme="majorBidi" w:hAnsiTheme="majorBidi" w:cstheme="majorBidi"/>
                <w:color w:val="000000"/>
                <w:sz w:val="20"/>
              </w:rPr>
              <w:t>Czech Republic</w:t>
            </w:r>
          </w:p>
        </w:tc>
        <w:tc>
          <w:tcPr>
            <w:tcW w:w="1417" w:type="dxa"/>
            <w:shd w:val="clear" w:color="auto" w:fill="auto"/>
            <w:vAlign w:val="bottom"/>
          </w:tcPr>
          <w:p w14:paraId="34D84C62" w14:textId="215048AD" w:rsidR="007A4AEE" w:rsidRPr="00154B2D" w:rsidRDefault="007A4AEE" w:rsidP="007A4AEE">
            <w:pPr>
              <w:widowControl w:val="0"/>
              <w:tabs>
                <w:tab w:val="left" w:pos="510"/>
                <w:tab w:val="left" w:pos="1531"/>
                <w:tab w:val="left" w:pos="1814"/>
              </w:tabs>
              <w:suppressAutoHyphens/>
              <w:autoSpaceDE w:val="0"/>
              <w:autoSpaceDN w:val="0"/>
              <w:adjustRightInd w:val="0"/>
              <w:spacing w:before="40" w:line="260" w:lineRule="atLeast"/>
              <w:ind w:left="1418" w:hanging="1418"/>
              <w:jc w:val="right"/>
              <w:textAlignment w:val="center"/>
              <w:rPr>
                <w:rFonts w:asciiTheme="majorBidi" w:hAnsiTheme="majorBidi" w:cstheme="majorBidi"/>
                <w:color w:val="000000"/>
                <w:sz w:val="20"/>
              </w:rPr>
            </w:pPr>
            <w:r w:rsidRPr="00154B2D">
              <w:rPr>
                <w:rFonts w:asciiTheme="majorBidi" w:hAnsiTheme="majorBidi" w:cstheme="majorBidi"/>
                <w:color w:val="000000"/>
                <w:sz w:val="20"/>
              </w:rPr>
              <w:t xml:space="preserve"> 100.0</w:t>
            </w:r>
          </w:p>
        </w:tc>
        <w:tc>
          <w:tcPr>
            <w:tcW w:w="1417" w:type="dxa"/>
            <w:shd w:val="clear" w:color="auto" w:fill="auto"/>
            <w:vAlign w:val="bottom"/>
          </w:tcPr>
          <w:p w14:paraId="68F70F56" w14:textId="07245A3B" w:rsidR="007A4AEE" w:rsidRPr="00E55352" w:rsidRDefault="007A4AEE" w:rsidP="007A4AEE">
            <w:pPr>
              <w:widowControl w:val="0"/>
              <w:tabs>
                <w:tab w:val="left" w:pos="510"/>
                <w:tab w:val="left" w:pos="1531"/>
                <w:tab w:val="left" w:pos="1814"/>
              </w:tabs>
              <w:suppressAutoHyphens/>
              <w:autoSpaceDE w:val="0"/>
              <w:autoSpaceDN w:val="0"/>
              <w:adjustRightInd w:val="0"/>
              <w:spacing w:before="40" w:line="260" w:lineRule="atLeast"/>
              <w:ind w:left="1418" w:hanging="1418"/>
              <w:jc w:val="right"/>
              <w:textAlignment w:val="center"/>
              <w:rPr>
                <w:rFonts w:asciiTheme="majorBidi" w:hAnsiTheme="majorBidi" w:cstheme="majorBidi"/>
                <w:color w:val="000000"/>
                <w:sz w:val="20"/>
              </w:rPr>
            </w:pPr>
            <w:r w:rsidRPr="00154B2D">
              <w:rPr>
                <w:rFonts w:asciiTheme="majorBidi" w:hAnsiTheme="majorBidi" w:cstheme="majorBidi"/>
                <w:color w:val="000000"/>
                <w:sz w:val="20"/>
              </w:rPr>
              <w:t xml:space="preserve"> 100.0</w:t>
            </w:r>
          </w:p>
        </w:tc>
      </w:tr>
      <w:tr w:rsidR="007A4AEE" w:rsidRPr="00E55352" w14:paraId="37CF4EFE" w14:textId="77777777" w:rsidTr="005101BC">
        <w:trPr>
          <w:trHeight w:val="240"/>
        </w:trPr>
        <w:tc>
          <w:tcPr>
            <w:tcW w:w="4535" w:type="dxa"/>
            <w:shd w:val="clear" w:color="auto" w:fill="auto"/>
            <w:noWrap/>
            <w:vAlign w:val="bottom"/>
          </w:tcPr>
          <w:p w14:paraId="4B22D226" w14:textId="77777777" w:rsidR="007A4AEE" w:rsidRPr="00E55352" w:rsidRDefault="007A4AEE" w:rsidP="007A4AEE">
            <w:pPr>
              <w:widowControl w:val="0"/>
              <w:tabs>
                <w:tab w:val="left" w:pos="510"/>
                <w:tab w:val="left" w:pos="1531"/>
                <w:tab w:val="left" w:pos="1814"/>
              </w:tabs>
              <w:suppressAutoHyphens/>
              <w:autoSpaceDE w:val="0"/>
              <w:autoSpaceDN w:val="0"/>
              <w:adjustRightInd w:val="0"/>
              <w:spacing w:before="40" w:line="260" w:lineRule="atLeast"/>
              <w:ind w:left="1418" w:right="113" w:hanging="1418"/>
              <w:textAlignment w:val="center"/>
              <w:rPr>
                <w:rFonts w:asciiTheme="majorBidi" w:eastAsia="Arial" w:hAnsiTheme="majorBidi" w:cstheme="majorBidi"/>
                <w:sz w:val="20"/>
              </w:rPr>
            </w:pPr>
            <w:r w:rsidRPr="00E55352">
              <w:rPr>
                <w:rFonts w:asciiTheme="majorBidi" w:eastAsia="Arial" w:hAnsiTheme="majorBidi" w:cstheme="majorBidi"/>
                <w:sz w:val="20"/>
              </w:rPr>
              <w:t xml:space="preserve">AFI Europe Czech Republic </w:t>
            </w:r>
            <w:proofErr w:type="spellStart"/>
            <w:r w:rsidRPr="00E55352">
              <w:rPr>
                <w:rFonts w:asciiTheme="majorBidi" w:eastAsia="Arial" w:hAnsiTheme="majorBidi" w:cstheme="majorBidi"/>
                <w:sz w:val="20"/>
              </w:rPr>
              <w:t>s.</w:t>
            </w:r>
            <w:proofErr w:type="gramStart"/>
            <w:r w:rsidRPr="00E55352">
              <w:rPr>
                <w:rFonts w:asciiTheme="majorBidi" w:eastAsia="Arial" w:hAnsiTheme="majorBidi" w:cstheme="majorBidi"/>
                <w:sz w:val="20"/>
              </w:rPr>
              <w:t>r.o</w:t>
            </w:r>
            <w:proofErr w:type="spellEnd"/>
            <w:proofErr w:type="gramEnd"/>
          </w:p>
        </w:tc>
        <w:tc>
          <w:tcPr>
            <w:tcW w:w="2268" w:type="dxa"/>
            <w:shd w:val="clear" w:color="auto" w:fill="auto"/>
            <w:vAlign w:val="bottom"/>
          </w:tcPr>
          <w:p w14:paraId="11E4CF6E" w14:textId="77777777" w:rsidR="007A4AEE" w:rsidRPr="00E55352" w:rsidRDefault="007A4AEE" w:rsidP="007A4AEE">
            <w:pPr>
              <w:widowControl w:val="0"/>
              <w:tabs>
                <w:tab w:val="left" w:pos="510"/>
                <w:tab w:val="left" w:pos="1531"/>
                <w:tab w:val="left" w:pos="1814"/>
              </w:tabs>
              <w:suppressAutoHyphens/>
              <w:autoSpaceDE w:val="0"/>
              <w:autoSpaceDN w:val="0"/>
              <w:adjustRightInd w:val="0"/>
              <w:spacing w:before="40" w:line="260" w:lineRule="atLeast"/>
              <w:ind w:right="113"/>
              <w:textAlignment w:val="center"/>
              <w:rPr>
                <w:rFonts w:asciiTheme="majorBidi" w:hAnsiTheme="majorBidi" w:cstheme="majorBidi"/>
                <w:color w:val="000000"/>
                <w:sz w:val="20"/>
              </w:rPr>
            </w:pPr>
            <w:r w:rsidRPr="00E55352">
              <w:rPr>
                <w:rFonts w:asciiTheme="majorBidi" w:hAnsiTheme="majorBidi" w:cstheme="majorBidi"/>
                <w:color w:val="000000"/>
                <w:sz w:val="20"/>
              </w:rPr>
              <w:t>Czech Republic</w:t>
            </w:r>
          </w:p>
        </w:tc>
        <w:tc>
          <w:tcPr>
            <w:tcW w:w="1417" w:type="dxa"/>
            <w:shd w:val="clear" w:color="auto" w:fill="auto"/>
            <w:vAlign w:val="bottom"/>
          </w:tcPr>
          <w:p w14:paraId="11F6575A" w14:textId="2000E061" w:rsidR="007A4AEE" w:rsidRPr="00154B2D" w:rsidRDefault="007A4AEE" w:rsidP="007A4AEE">
            <w:pPr>
              <w:widowControl w:val="0"/>
              <w:tabs>
                <w:tab w:val="left" w:pos="510"/>
                <w:tab w:val="left" w:pos="1531"/>
                <w:tab w:val="left" w:pos="1814"/>
              </w:tabs>
              <w:suppressAutoHyphens/>
              <w:autoSpaceDE w:val="0"/>
              <w:autoSpaceDN w:val="0"/>
              <w:adjustRightInd w:val="0"/>
              <w:spacing w:before="40" w:line="260" w:lineRule="atLeast"/>
              <w:ind w:left="1418" w:hanging="1418"/>
              <w:jc w:val="right"/>
              <w:textAlignment w:val="center"/>
              <w:rPr>
                <w:rFonts w:asciiTheme="majorBidi" w:hAnsiTheme="majorBidi" w:cstheme="majorBidi"/>
                <w:color w:val="000000"/>
                <w:sz w:val="20"/>
              </w:rPr>
            </w:pPr>
            <w:r w:rsidRPr="00154B2D">
              <w:rPr>
                <w:rFonts w:asciiTheme="majorBidi" w:hAnsiTheme="majorBidi" w:cstheme="majorBidi"/>
                <w:color w:val="000000"/>
                <w:sz w:val="20"/>
              </w:rPr>
              <w:t xml:space="preserve"> 100.0</w:t>
            </w:r>
          </w:p>
        </w:tc>
        <w:tc>
          <w:tcPr>
            <w:tcW w:w="1417" w:type="dxa"/>
            <w:shd w:val="clear" w:color="auto" w:fill="auto"/>
            <w:vAlign w:val="bottom"/>
          </w:tcPr>
          <w:p w14:paraId="3281C780" w14:textId="3C9E06C4" w:rsidR="007A4AEE" w:rsidRPr="00E55352" w:rsidRDefault="007A4AEE" w:rsidP="007A4AEE">
            <w:pPr>
              <w:widowControl w:val="0"/>
              <w:tabs>
                <w:tab w:val="left" w:pos="510"/>
                <w:tab w:val="left" w:pos="1531"/>
                <w:tab w:val="left" w:pos="1814"/>
              </w:tabs>
              <w:suppressAutoHyphens/>
              <w:autoSpaceDE w:val="0"/>
              <w:autoSpaceDN w:val="0"/>
              <w:adjustRightInd w:val="0"/>
              <w:spacing w:before="40" w:line="260" w:lineRule="atLeast"/>
              <w:ind w:left="1418" w:hanging="1418"/>
              <w:jc w:val="right"/>
              <w:textAlignment w:val="center"/>
              <w:rPr>
                <w:rFonts w:asciiTheme="majorBidi" w:hAnsiTheme="majorBidi" w:cstheme="majorBidi"/>
                <w:color w:val="000000"/>
                <w:sz w:val="20"/>
              </w:rPr>
            </w:pPr>
            <w:r w:rsidRPr="00154B2D">
              <w:rPr>
                <w:rFonts w:asciiTheme="majorBidi" w:hAnsiTheme="majorBidi" w:cstheme="majorBidi"/>
                <w:color w:val="000000"/>
                <w:sz w:val="20"/>
              </w:rPr>
              <w:t xml:space="preserve"> 100.0</w:t>
            </w:r>
          </w:p>
        </w:tc>
      </w:tr>
      <w:tr w:rsidR="007A4AEE" w:rsidRPr="00E55352" w14:paraId="1E76D80D" w14:textId="77777777" w:rsidTr="005101BC">
        <w:trPr>
          <w:trHeight w:val="240"/>
        </w:trPr>
        <w:tc>
          <w:tcPr>
            <w:tcW w:w="4535" w:type="dxa"/>
            <w:shd w:val="clear" w:color="auto" w:fill="auto"/>
            <w:noWrap/>
            <w:vAlign w:val="bottom"/>
          </w:tcPr>
          <w:p w14:paraId="271649C8" w14:textId="77777777" w:rsidR="007A4AEE" w:rsidRPr="00E55352" w:rsidRDefault="007A4AEE" w:rsidP="007A4AEE">
            <w:pPr>
              <w:widowControl w:val="0"/>
              <w:tabs>
                <w:tab w:val="left" w:pos="510"/>
                <w:tab w:val="left" w:pos="1531"/>
                <w:tab w:val="left" w:pos="1814"/>
              </w:tabs>
              <w:suppressAutoHyphens/>
              <w:autoSpaceDE w:val="0"/>
              <w:autoSpaceDN w:val="0"/>
              <w:adjustRightInd w:val="0"/>
              <w:spacing w:before="40" w:line="260" w:lineRule="atLeast"/>
              <w:ind w:left="1418" w:right="113" w:hanging="1418"/>
              <w:textAlignment w:val="center"/>
              <w:rPr>
                <w:rFonts w:asciiTheme="majorBidi" w:eastAsia="Arial" w:hAnsiTheme="majorBidi" w:cstheme="majorBidi"/>
                <w:sz w:val="20"/>
              </w:rPr>
            </w:pPr>
            <w:proofErr w:type="spellStart"/>
            <w:r w:rsidRPr="00E55352">
              <w:rPr>
                <w:rFonts w:asciiTheme="majorBidi" w:eastAsia="Arial" w:hAnsiTheme="majorBidi" w:cstheme="majorBidi"/>
                <w:sz w:val="20"/>
              </w:rPr>
              <w:t>Faringer</w:t>
            </w:r>
            <w:proofErr w:type="spellEnd"/>
            <w:r w:rsidRPr="00E55352">
              <w:rPr>
                <w:rFonts w:asciiTheme="majorBidi" w:eastAsia="Arial" w:hAnsiTheme="majorBidi" w:cstheme="majorBidi"/>
                <w:sz w:val="20"/>
              </w:rPr>
              <w:t xml:space="preserve"> Enterprises Ltd.</w:t>
            </w:r>
          </w:p>
        </w:tc>
        <w:tc>
          <w:tcPr>
            <w:tcW w:w="2268" w:type="dxa"/>
            <w:shd w:val="clear" w:color="auto" w:fill="auto"/>
            <w:vAlign w:val="bottom"/>
          </w:tcPr>
          <w:p w14:paraId="1D193987" w14:textId="77777777" w:rsidR="007A4AEE" w:rsidRPr="00E55352" w:rsidRDefault="007A4AEE" w:rsidP="007A4AEE">
            <w:pPr>
              <w:widowControl w:val="0"/>
              <w:tabs>
                <w:tab w:val="left" w:pos="510"/>
                <w:tab w:val="left" w:pos="1531"/>
                <w:tab w:val="left" w:pos="1814"/>
              </w:tabs>
              <w:suppressAutoHyphens/>
              <w:autoSpaceDE w:val="0"/>
              <w:autoSpaceDN w:val="0"/>
              <w:adjustRightInd w:val="0"/>
              <w:spacing w:before="40" w:line="260" w:lineRule="atLeast"/>
              <w:ind w:right="113"/>
              <w:textAlignment w:val="center"/>
              <w:rPr>
                <w:rFonts w:asciiTheme="majorBidi" w:hAnsiTheme="majorBidi" w:cstheme="majorBidi"/>
                <w:color w:val="000000"/>
                <w:sz w:val="20"/>
              </w:rPr>
            </w:pPr>
            <w:r w:rsidRPr="00E55352">
              <w:rPr>
                <w:rFonts w:asciiTheme="majorBidi" w:hAnsiTheme="majorBidi" w:cstheme="majorBidi"/>
                <w:color w:val="000000"/>
                <w:sz w:val="20"/>
              </w:rPr>
              <w:t>Cyprus</w:t>
            </w:r>
          </w:p>
        </w:tc>
        <w:tc>
          <w:tcPr>
            <w:tcW w:w="1417" w:type="dxa"/>
            <w:shd w:val="clear" w:color="auto" w:fill="auto"/>
            <w:vAlign w:val="bottom"/>
          </w:tcPr>
          <w:p w14:paraId="6BC0A889" w14:textId="5CACA04F" w:rsidR="007A4AEE" w:rsidRPr="00154B2D" w:rsidRDefault="007A4AEE" w:rsidP="007A4AEE">
            <w:pPr>
              <w:widowControl w:val="0"/>
              <w:tabs>
                <w:tab w:val="left" w:pos="510"/>
                <w:tab w:val="left" w:pos="1531"/>
                <w:tab w:val="left" w:pos="1814"/>
              </w:tabs>
              <w:suppressAutoHyphens/>
              <w:autoSpaceDE w:val="0"/>
              <w:autoSpaceDN w:val="0"/>
              <w:adjustRightInd w:val="0"/>
              <w:spacing w:before="40" w:line="260" w:lineRule="atLeast"/>
              <w:ind w:left="1418" w:hanging="1418"/>
              <w:jc w:val="right"/>
              <w:textAlignment w:val="center"/>
              <w:rPr>
                <w:rFonts w:asciiTheme="majorBidi" w:hAnsiTheme="majorBidi" w:cstheme="majorBidi"/>
                <w:color w:val="000000"/>
                <w:sz w:val="20"/>
              </w:rPr>
            </w:pPr>
            <w:r w:rsidRPr="00154B2D">
              <w:rPr>
                <w:rFonts w:asciiTheme="majorBidi" w:hAnsiTheme="majorBidi" w:cstheme="majorBidi"/>
                <w:color w:val="000000"/>
                <w:sz w:val="20"/>
              </w:rPr>
              <w:t xml:space="preserve"> 100.0</w:t>
            </w:r>
          </w:p>
        </w:tc>
        <w:tc>
          <w:tcPr>
            <w:tcW w:w="1417" w:type="dxa"/>
            <w:shd w:val="clear" w:color="auto" w:fill="auto"/>
            <w:vAlign w:val="bottom"/>
          </w:tcPr>
          <w:p w14:paraId="590E8E52" w14:textId="78A13695" w:rsidR="007A4AEE" w:rsidRPr="00E55352" w:rsidRDefault="007A4AEE" w:rsidP="007A4AEE">
            <w:pPr>
              <w:widowControl w:val="0"/>
              <w:tabs>
                <w:tab w:val="left" w:pos="510"/>
                <w:tab w:val="left" w:pos="1531"/>
                <w:tab w:val="left" w:pos="1814"/>
              </w:tabs>
              <w:suppressAutoHyphens/>
              <w:autoSpaceDE w:val="0"/>
              <w:autoSpaceDN w:val="0"/>
              <w:adjustRightInd w:val="0"/>
              <w:spacing w:before="40" w:line="260" w:lineRule="atLeast"/>
              <w:ind w:left="1418" w:hanging="1418"/>
              <w:jc w:val="right"/>
              <w:textAlignment w:val="center"/>
              <w:rPr>
                <w:rFonts w:asciiTheme="majorBidi" w:hAnsiTheme="majorBidi" w:cstheme="majorBidi"/>
                <w:color w:val="000000"/>
                <w:sz w:val="20"/>
              </w:rPr>
            </w:pPr>
            <w:r w:rsidRPr="00154B2D">
              <w:rPr>
                <w:rFonts w:asciiTheme="majorBidi" w:hAnsiTheme="majorBidi" w:cstheme="majorBidi"/>
                <w:color w:val="000000"/>
                <w:sz w:val="20"/>
              </w:rPr>
              <w:t xml:space="preserve"> 100.0</w:t>
            </w:r>
          </w:p>
        </w:tc>
      </w:tr>
      <w:tr w:rsidR="007A4AEE" w:rsidRPr="00E55352" w14:paraId="2039E6E4" w14:textId="77777777" w:rsidTr="005101BC">
        <w:trPr>
          <w:trHeight w:val="240"/>
        </w:trPr>
        <w:tc>
          <w:tcPr>
            <w:tcW w:w="4535" w:type="dxa"/>
            <w:shd w:val="clear" w:color="auto" w:fill="auto"/>
            <w:noWrap/>
            <w:vAlign w:val="bottom"/>
          </w:tcPr>
          <w:p w14:paraId="504B32A7" w14:textId="08D85E33" w:rsidR="007A4AEE" w:rsidRPr="00E55352" w:rsidRDefault="007A4AEE" w:rsidP="007A4AEE">
            <w:pPr>
              <w:widowControl w:val="0"/>
              <w:tabs>
                <w:tab w:val="left" w:pos="510"/>
                <w:tab w:val="left" w:pos="1531"/>
                <w:tab w:val="left" w:pos="1814"/>
              </w:tabs>
              <w:suppressAutoHyphens/>
              <w:autoSpaceDE w:val="0"/>
              <w:autoSpaceDN w:val="0"/>
              <w:adjustRightInd w:val="0"/>
              <w:spacing w:before="40" w:line="260" w:lineRule="atLeast"/>
              <w:ind w:left="1418" w:right="113" w:hanging="1418"/>
              <w:textAlignment w:val="center"/>
              <w:rPr>
                <w:rFonts w:asciiTheme="majorBidi" w:eastAsia="Arial" w:hAnsiTheme="majorBidi" w:cstheme="majorBidi"/>
                <w:sz w:val="20"/>
              </w:rPr>
            </w:pPr>
            <w:r w:rsidRPr="00E55352">
              <w:rPr>
                <w:rFonts w:asciiTheme="majorBidi" w:eastAsia="Arial" w:hAnsiTheme="majorBidi" w:cstheme="majorBidi"/>
                <w:sz w:val="20"/>
              </w:rPr>
              <w:t xml:space="preserve">Classic 7 </w:t>
            </w:r>
            <w:proofErr w:type="spellStart"/>
            <w:r w:rsidRPr="00E55352">
              <w:rPr>
                <w:rFonts w:asciiTheme="majorBidi" w:eastAsia="Arial" w:hAnsiTheme="majorBidi" w:cstheme="majorBidi"/>
                <w:sz w:val="20"/>
              </w:rPr>
              <w:t>s.r.o.</w:t>
            </w:r>
            <w:proofErr w:type="spellEnd"/>
          </w:p>
        </w:tc>
        <w:tc>
          <w:tcPr>
            <w:tcW w:w="2268" w:type="dxa"/>
            <w:shd w:val="clear" w:color="auto" w:fill="auto"/>
            <w:vAlign w:val="bottom"/>
          </w:tcPr>
          <w:p w14:paraId="6FE318E4" w14:textId="77777777" w:rsidR="007A4AEE" w:rsidRPr="00E55352" w:rsidRDefault="007A4AEE" w:rsidP="007A4AEE">
            <w:pPr>
              <w:widowControl w:val="0"/>
              <w:tabs>
                <w:tab w:val="left" w:pos="510"/>
                <w:tab w:val="left" w:pos="1531"/>
                <w:tab w:val="left" w:pos="1814"/>
              </w:tabs>
              <w:suppressAutoHyphens/>
              <w:autoSpaceDE w:val="0"/>
              <w:autoSpaceDN w:val="0"/>
              <w:adjustRightInd w:val="0"/>
              <w:spacing w:before="40" w:line="260" w:lineRule="atLeast"/>
              <w:ind w:right="113"/>
              <w:textAlignment w:val="center"/>
              <w:rPr>
                <w:rFonts w:asciiTheme="majorBidi" w:hAnsiTheme="majorBidi" w:cstheme="majorBidi"/>
                <w:color w:val="000000"/>
                <w:sz w:val="20"/>
              </w:rPr>
            </w:pPr>
            <w:r w:rsidRPr="00E55352">
              <w:rPr>
                <w:rFonts w:asciiTheme="majorBidi" w:hAnsiTheme="majorBidi" w:cstheme="majorBidi"/>
                <w:color w:val="000000"/>
                <w:sz w:val="20"/>
              </w:rPr>
              <w:t>Czech Republic</w:t>
            </w:r>
          </w:p>
        </w:tc>
        <w:tc>
          <w:tcPr>
            <w:tcW w:w="1417" w:type="dxa"/>
            <w:shd w:val="clear" w:color="auto" w:fill="auto"/>
            <w:vAlign w:val="bottom"/>
          </w:tcPr>
          <w:p w14:paraId="763ED611" w14:textId="658EE3F1" w:rsidR="007A4AEE" w:rsidRPr="00154B2D" w:rsidRDefault="007A4AEE" w:rsidP="007A4AEE">
            <w:pPr>
              <w:widowControl w:val="0"/>
              <w:tabs>
                <w:tab w:val="left" w:pos="510"/>
                <w:tab w:val="left" w:pos="1531"/>
                <w:tab w:val="left" w:pos="1814"/>
              </w:tabs>
              <w:suppressAutoHyphens/>
              <w:autoSpaceDE w:val="0"/>
              <w:autoSpaceDN w:val="0"/>
              <w:adjustRightInd w:val="0"/>
              <w:spacing w:before="40" w:line="260" w:lineRule="atLeast"/>
              <w:ind w:left="1418" w:hanging="1418"/>
              <w:jc w:val="right"/>
              <w:textAlignment w:val="center"/>
              <w:rPr>
                <w:rFonts w:asciiTheme="majorBidi" w:hAnsiTheme="majorBidi" w:cstheme="majorBidi"/>
                <w:color w:val="000000"/>
                <w:sz w:val="20"/>
              </w:rPr>
            </w:pPr>
            <w:r w:rsidRPr="00154B2D">
              <w:rPr>
                <w:rFonts w:asciiTheme="majorBidi" w:hAnsiTheme="majorBidi" w:cstheme="majorBidi"/>
                <w:color w:val="000000"/>
                <w:sz w:val="20"/>
              </w:rPr>
              <w:t xml:space="preserve"> 100.0</w:t>
            </w:r>
          </w:p>
        </w:tc>
        <w:tc>
          <w:tcPr>
            <w:tcW w:w="1417" w:type="dxa"/>
            <w:shd w:val="clear" w:color="auto" w:fill="auto"/>
            <w:vAlign w:val="bottom"/>
          </w:tcPr>
          <w:p w14:paraId="63A73219" w14:textId="382697AA" w:rsidR="007A4AEE" w:rsidRPr="00E55352" w:rsidRDefault="007A4AEE" w:rsidP="007A4AEE">
            <w:pPr>
              <w:widowControl w:val="0"/>
              <w:tabs>
                <w:tab w:val="left" w:pos="510"/>
                <w:tab w:val="left" w:pos="1531"/>
                <w:tab w:val="left" w:pos="1814"/>
              </w:tabs>
              <w:suppressAutoHyphens/>
              <w:autoSpaceDE w:val="0"/>
              <w:autoSpaceDN w:val="0"/>
              <w:adjustRightInd w:val="0"/>
              <w:spacing w:before="40" w:line="260" w:lineRule="atLeast"/>
              <w:ind w:left="1418" w:hanging="1418"/>
              <w:jc w:val="right"/>
              <w:textAlignment w:val="center"/>
              <w:rPr>
                <w:rFonts w:asciiTheme="majorBidi" w:hAnsiTheme="majorBidi" w:cstheme="majorBidi"/>
                <w:color w:val="000000"/>
                <w:sz w:val="20"/>
              </w:rPr>
            </w:pPr>
            <w:r w:rsidRPr="00154B2D">
              <w:rPr>
                <w:rFonts w:asciiTheme="majorBidi" w:hAnsiTheme="majorBidi" w:cstheme="majorBidi"/>
                <w:color w:val="000000"/>
                <w:sz w:val="20"/>
              </w:rPr>
              <w:t xml:space="preserve"> 100.0</w:t>
            </w:r>
          </w:p>
        </w:tc>
      </w:tr>
      <w:tr w:rsidR="007A4AEE" w:rsidRPr="00E55352" w14:paraId="21276791" w14:textId="77777777" w:rsidTr="005101BC">
        <w:trPr>
          <w:trHeight w:val="240"/>
        </w:trPr>
        <w:tc>
          <w:tcPr>
            <w:tcW w:w="4535" w:type="dxa"/>
            <w:shd w:val="clear" w:color="auto" w:fill="auto"/>
            <w:noWrap/>
            <w:vAlign w:val="bottom"/>
          </w:tcPr>
          <w:p w14:paraId="5B5DFB4D" w14:textId="77777777" w:rsidR="007A4AEE" w:rsidRPr="00E55352" w:rsidRDefault="007A4AEE" w:rsidP="007A4AEE">
            <w:pPr>
              <w:widowControl w:val="0"/>
              <w:tabs>
                <w:tab w:val="left" w:pos="510"/>
                <w:tab w:val="left" w:pos="1531"/>
                <w:tab w:val="left" w:pos="1814"/>
              </w:tabs>
              <w:suppressAutoHyphens/>
              <w:autoSpaceDE w:val="0"/>
              <w:autoSpaceDN w:val="0"/>
              <w:adjustRightInd w:val="0"/>
              <w:spacing w:before="40" w:line="260" w:lineRule="atLeast"/>
              <w:ind w:left="1418" w:right="113" w:hanging="1418"/>
              <w:textAlignment w:val="center"/>
              <w:rPr>
                <w:rFonts w:asciiTheme="majorBidi" w:eastAsia="Arial" w:hAnsiTheme="majorBidi" w:cstheme="majorBidi"/>
                <w:sz w:val="20"/>
              </w:rPr>
            </w:pPr>
            <w:r w:rsidRPr="00E55352">
              <w:rPr>
                <w:rFonts w:asciiTheme="majorBidi" w:eastAsia="Arial" w:hAnsiTheme="majorBidi" w:cstheme="majorBidi"/>
                <w:sz w:val="20"/>
              </w:rPr>
              <w:t xml:space="preserve">Classic Park Group </w:t>
            </w:r>
            <w:proofErr w:type="spellStart"/>
            <w:r w:rsidRPr="00E55352">
              <w:rPr>
                <w:rFonts w:asciiTheme="majorBidi" w:eastAsia="Arial" w:hAnsiTheme="majorBidi" w:cstheme="majorBidi"/>
                <w:sz w:val="20"/>
              </w:rPr>
              <w:t>s.r.o.</w:t>
            </w:r>
            <w:proofErr w:type="spellEnd"/>
          </w:p>
        </w:tc>
        <w:tc>
          <w:tcPr>
            <w:tcW w:w="2268" w:type="dxa"/>
            <w:shd w:val="clear" w:color="auto" w:fill="auto"/>
            <w:vAlign w:val="bottom"/>
          </w:tcPr>
          <w:p w14:paraId="3F7EA3BF" w14:textId="77777777" w:rsidR="007A4AEE" w:rsidRPr="00E55352" w:rsidRDefault="007A4AEE" w:rsidP="007A4AEE">
            <w:pPr>
              <w:widowControl w:val="0"/>
              <w:tabs>
                <w:tab w:val="left" w:pos="510"/>
                <w:tab w:val="left" w:pos="1531"/>
                <w:tab w:val="left" w:pos="1814"/>
              </w:tabs>
              <w:suppressAutoHyphens/>
              <w:autoSpaceDE w:val="0"/>
              <w:autoSpaceDN w:val="0"/>
              <w:adjustRightInd w:val="0"/>
              <w:spacing w:before="40" w:line="260" w:lineRule="atLeast"/>
              <w:ind w:right="113"/>
              <w:textAlignment w:val="center"/>
              <w:rPr>
                <w:rFonts w:asciiTheme="majorBidi" w:hAnsiTheme="majorBidi" w:cstheme="majorBidi"/>
                <w:color w:val="000000"/>
                <w:sz w:val="20"/>
              </w:rPr>
            </w:pPr>
            <w:r w:rsidRPr="00E55352">
              <w:rPr>
                <w:rFonts w:asciiTheme="majorBidi" w:hAnsiTheme="majorBidi" w:cstheme="majorBidi"/>
                <w:color w:val="000000"/>
                <w:sz w:val="20"/>
              </w:rPr>
              <w:t>Czech Republic</w:t>
            </w:r>
          </w:p>
        </w:tc>
        <w:tc>
          <w:tcPr>
            <w:tcW w:w="1417" w:type="dxa"/>
            <w:shd w:val="clear" w:color="auto" w:fill="auto"/>
            <w:vAlign w:val="bottom"/>
          </w:tcPr>
          <w:p w14:paraId="785CAA01" w14:textId="35CB8E4F" w:rsidR="007A4AEE" w:rsidRPr="00154B2D" w:rsidRDefault="007A4AEE" w:rsidP="007A4AEE">
            <w:pPr>
              <w:widowControl w:val="0"/>
              <w:tabs>
                <w:tab w:val="left" w:pos="510"/>
                <w:tab w:val="left" w:pos="1531"/>
                <w:tab w:val="left" w:pos="1814"/>
              </w:tabs>
              <w:suppressAutoHyphens/>
              <w:autoSpaceDE w:val="0"/>
              <w:autoSpaceDN w:val="0"/>
              <w:adjustRightInd w:val="0"/>
              <w:spacing w:before="40" w:line="260" w:lineRule="atLeast"/>
              <w:ind w:left="1418" w:hanging="1418"/>
              <w:jc w:val="right"/>
              <w:textAlignment w:val="center"/>
              <w:rPr>
                <w:rFonts w:asciiTheme="majorBidi" w:hAnsiTheme="majorBidi" w:cstheme="majorBidi"/>
                <w:color w:val="000000"/>
                <w:sz w:val="20"/>
              </w:rPr>
            </w:pPr>
            <w:r w:rsidRPr="00154B2D">
              <w:rPr>
                <w:rFonts w:asciiTheme="majorBidi" w:hAnsiTheme="majorBidi" w:cstheme="majorBidi"/>
                <w:color w:val="000000"/>
                <w:sz w:val="20"/>
              </w:rPr>
              <w:t xml:space="preserve"> 100.0</w:t>
            </w:r>
          </w:p>
        </w:tc>
        <w:tc>
          <w:tcPr>
            <w:tcW w:w="1417" w:type="dxa"/>
            <w:shd w:val="clear" w:color="auto" w:fill="auto"/>
            <w:vAlign w:val="bottom"/>
          </w:tcPr>
          <w:p w14:paraId="15F2DD7B" w14:textId="64E1987C" w:rsidR="007A4AEE" w:rsidRPr="00E55352" w:rsidRDefault="007A4AEE" w:rsidP="007A4AEE">
            <w:pPr>
              <w:widowControl w:val="0"/>
              <w:tabs>
                <w:tab w:val="left" w:pos="510"/>
                <w:tab w:val="left" w:pos="1531"/>
                <w:tab w:val="left" w:pos="1814"/>
              </w:tabs>
              <w:suppressAutoHyphens/>
              <w:autoSpaceDE w:val="0"/>
              <w:autoSpaceDN w:val="0"/>
              <w:adjustRightInd w:val="0"/>
              <w:spacing w:before="40" w:line="260" w:lineRule="atLeast"/>
              <w:ind w:left="1418" w:hanging="1418"/>
              <w:jc w:val="right"/>
              <w:textAlignment w:val="center"/>
              <w:rPr>
                <w:rFonts w:asciiTheme="majorBidi" w:hAnsiTheme="majorBidi" w:cstheme="majorBidi"/>
                <w:color w:val="000000"/>
                <w:sz w:val="20"/>
              </w:rPr>
            </w:pPr>
            <w:r w:rsidRPr="00154B2D">
              <w:rPr>
                <w:rFonts w:asciiTheme="majorBidi" w:hAnsiTheme="majorBidi" w:cstheme="majorBidi"/>
                <w:color w:val="000000"/>
                <w:sz w:val="20"/>
              </w:rPr>
              <w:t xml:space="preserve"> 100.0</w:t>
            </w:r>
          </w:p>
        </w:tc>
      </w:tr>
      <w:tr w:rsidR="007A4AEE" w:rsidRPr="00E55352" w14:paraId="1B842459" w14:textId="77777777" w:rsidTr="005101BC">
        <w:trPr>
          <w:trHeight w:val="240"/>
        </w:trPr>
        <w:tc>
          <w:tcPr>
            <w:tcW w:w="4535" w:type="dxa"/>
            <w:shd w:val="clear" w:color="auto" w:fill="auto"/>
            <w:noWrap/>
            <w:vAlign w:val="bottom"/>
          </w:tcPr>
          <w:p w14:paraId="7FBCDBC5" w14:textId="251A577C" w:rsidR="007A4AEE" w:rsidRPr="005230A2" w:rsidRDefault="007A4AEE" w:rsidP="007A4AEE">
            <w:pPr>
              <w:widowControl w:val="0"/>
              <w:tabs>
                <w:tab w:val="left" w:pos="510"/>
                <w:tab w:val="left" w:pos="1531"/>
                <w:tab w:val="left" w:pos="1814"/>
              </w:tabs>
              <w:suppressAutoHyphens/>
              <w:autoSpaceDE w:val="0"/>
              <w:autoSpaceDN w:val="0"/>
              <w:adjustRightInd w:val="0"/>
              <w:spacing w:before="40" w:line="260" w:lineRule="atLeast"/>
              <w:ind w:left="1418" w:right="113" w:hanging="1418"/>
              <w:textAlignment w:val="center"/>
              <w:rPr>
                <w:rFonts w:asciiTheme="majorBidi" w:eastAsia="Arial" w:hAnsiTheme="majorBidi" w:cstheme="majorBidi"/>
                <w:sz w:val="20"/>
                <w:lang w:val="de-DE"/>
              </w:rPr>
            </w:pPr>
            <w:r w:rsidRPr="005230A2">
              <w:rPr>
                <w:rFonts w:asciiTheme="majorBidi" w:eastAsia="Arial" w:hAnsiTheme="majorBidi" w:cstheme="majorBidi"/>
                <w:sz w:val="20"/>
                <w:lang w:val="de-DE"/>
              </w:rPr>
              <w:t>Tulipa Trebesin s.r.o.</w:t>
            </w:r>
          </w:p>
        </w:tc>
        <w:tc>
          <w:tcPr>
            <w:tcW w:w="2268" w:type="dxa"/>
            <w:shd w:val="clear" w:color="auto" w:fill="auto"/>
            <w:vAlign w:val="bottom"/>
          </w:tcPr>
          <w:p w14:paraId="0B481A51" w14:textId="2C494790" w:rsidR="007A4AEE" w:rsidRPr="00E55352" w:rsidRDefault="007A4AEE" w:rsidP="007A4AEE">
            <w:pPr>
              <w:widowControl w:val="0"/>
              <w:tabs>
                <w:tab w:val="left" w:pos="510"/>
                <w:tab w:val="left" w:pos="1531"/>
                <w:tab w:val="left" w:pos="1814"/>
              </w:tabs>
              <w:suppressAutoHyphens/>
              <w:autoSpaceDE w:val="0"/>
              <w:autoSpaceDN w:val="0"/>
              <w:adjustRightInd w:val="0"/>
              <w:spacing w:before="40" w:line="260" w:lineRule="atLeast"/>
              <w:ind w:right="113"/>
              <w:textAlignment w:val="center"/>
              <w:rPr>
                <w:rFonts w:asciiTheme="majorBidi" w:hAnsiTheme="majorBidi" w:cstheme="majorBidi"/>
                <w:color w:val="000000"/>
                <w:sz w:val="20"/>
              </w:rPr>
            </w:pPr>
            <w:r w:rsidRPr="00E55352">
              <w:rPr>
                <w:rFonts w:asciiTheme="majorBidi" w:hAnsiTheme="majorBidi" w:cstheme="majorBidi"/>
                <w:color w:val="000000"/>
                <w:sz w:val="20"/>
              </w:rPr>
              <w:t>Czech Republic</w:t>
            </w:r>
          </w:p>
        </w:tc>
        <w:tc>
          <w:tcPr>
            <w:tcW w:w="1417" w:type="dxa"/>
            <w:shd w:val="clear" w:color="auto" w:fill="auto"/>
            <w:vAlign w:val="bottom"/>
          </w:tcPr>
          <w:p w14:paraId="682651BE" w14:textId="5D1F4CE8" w:rsidR="007A4AEE" w:rsidRPr="00154B2D" w:rsidRDefault="007A4AEE" w:rsidP="007A4AEE">
            <w:pPr>
              <w:widowControl w:val="0"/>
              <w:tabs>
                <w:tab w:val="left" w:pos="510"/>
                <w:tab w:val="left" w:pos="1531"/>
                <w:tab w:val="left" w:pos="1814"/>
              </w:tabs>
              <w:suppressAutoHyphens/>
              <w:autoSpaceDE w:val="0"/>
              <w:autoSpaceDN w:val="0"/>
              <w:adjustRightInd w:val="0"/>
              <w:spacing w:before="40" w:line="260" w:lineRule="atLeast"/>
              <w:ind w:left="1418" w:hanging="1418"/>
              <w:jc w:val="right"/>
              <w:textAlignment w:val="center"/>
              <w:rPr>
                <w:rFonts w:asciiTheme="majorBidi" w:hAnsiTheme="majorBidi" w:cstheme="majorBidi"/>
                <w:color w:val="000000"/>
                <w:sz w:val="20"/>
              </w:rPr>
            </w:pPr>
            <w:r w:rsidRPr="00154B2D">
              <w:rPr>
                <w:rFonts w:asciiTheme="majorBidi" w:hAnsiTheme="majorBidi" w:cstheme="majorBidi"/>
                <w:color w:val="000000"/>
                <w:sz w:val="20"/>
              </w:rPr>
              <w:t xml:space="preserve"> 100.0</w:t>
            </w:r>
          </w:p>
        </w:tc>
        <w:tc>
          <w:tcPr>
            <w:tcW w:w="1417" w:type="dxa"/>
            <w:shd w:val="clear" w:color="auto" w:fill="auto"/>
            <w:vAlign w:val="bottom"/>
          </w:tcPr>
          <w:p w14:paraId="211AC855" w14:textId="4E25D785" w:rsidR="007A4AEE" w:rsidRPr="00E55352" w:rsidRDefault="007A4AEE" w:rsidP="007A4AEE">
            <w:pPr>
              <w:widowControl w:val="0"/>
              <w:tabs>
                <w:tab w:val="left" w:pos="510"/>
                <w:tab w:val="left" w:pos="1531"/>
                <w:tab w:val="left" w:pos="1814"/>
              </w:tabs>
              <w:suppressAutoHyphens/>
              <w:autoSpaceDE w:val="0"/>
              <w:autoSpaceDN w:val="0"/>
              <w:adjustRightInd w:val="0"/>
              <w:spacing w:before="40" w:line="260" w:lineRule="atLeast"/>
              <w:ind w:left="1418" w:hanging="1418"/>
              <w:jc w:val="right"/>
              <w:textAlignment w:val="center"/>
              <w:rPr>
                <w:rFonts w:asciiTheme="majorBidi" w:hAnsiTheme="majorBidi" w:cstheme="majorBidi"/>
                <w:color w:val="000000"/>
                <w:sz w:val="20"/>
              </w:rPr>
            </w:pPr>
            <w:r w:rsidRPr="00154B2D">
              <w:rPr>
                <w:rFonts w:asciiTheme="majorBidi" w:hAnsiTheme="majorBidi" w:cstheme="majorBidi"/>
                <w:color w:val="000000"/>
                <w:sz w:val="20"/>
              </w:rPr>
              <w:t xml:space="preserve"> 100.0</w:t>
            </w:r>
          </w:p>
        </w:tc>
      </w:tr>
      <w:tr w:rsidR="007A4AEE" w:rsidRPr="00E55352" w14:paraId="414D265B" w14:textId="77777777" w:rsidTr="005101BC">
        <w:trPr>
          <w:trHeight w:val="240"/>
        </w:trPr>
        <w:tc>
          <w:tcPr>
            <w:tcW w:w="4535" w:type="dxa"/>
            <w:shd w:val="clear" w:color="auto" w:fill="auto"/>
            <w:noWrap/>
            <w:vAlign w:val="bottom"/>
          </w:tcPr>
          <w:p w14:paraId="3773180A" w14:textId="7E9AFBF2" w:rsidR="007A4AEE" w:rsidRPr="00E55352" w:rsidRDefault="007A4AEE" w:rsidP="007A4AEE">
            <w:pPr>
              <w:spacing w:before="40"/>
              <w:rPr>
                <w:rFonts w:asciiTheme="majorBidi" w:eastAsia="Arial" w:hAnsiTheme="majorBidi" w:cstheme="majorBidi"/>
                <w:sz w:val="20"/>
              </w:rPr>
            </w:pPr>
            <w:r w:rsidRPr="00E55352">
              <w:rPr>
                <w:rFonts w:asciiTheme="majorBidi" w:eastAsia="Arial" w:hAnsiTheme="majorBidi" w:cstheme="majorBidi"/>
                <w:sz w:val="20"/>
              </w:rPr>
              <w:t xml:space="preserve">Classic Park III </w:t>
            </w:r>
            <w:proofErr w:type="spellStart"/>
            <w:r w:rsidRPr="00E55352">
              <w:rPr>
                <w:rFonts w:asciiTheme="majorBidi" w:eastAsia="Arial" w:hAnsiTheme="majorBidi" w:cstheme="majorBidi"/>
                <w:sz w:val="20"/>
              </w:rPr>
              <w:t>s.r.o.</w:t>
            </w:r>
            <w:proofErr w:type="spellEnd"/>
          </w:p>
        </w:tc>
        <w:tc>
          <w:tcPr>
            <w:tcW w:w="2268" w:type="dxa"/>
            <w:shd w:val="clear" w:color="auto" w:fill="auto"/>
            <w:vAlign w:val="bottom"/>
          </w:tcPr>
          <w:p w14:paraId="556E09D4" w14:textId="6863FB4A" w:rsidR="007A4AEE" w:rsidRPr="00E55352" w:rsidRDefault="007A4AEE" w:rsidP="007A4AEE">
            <w:pPr>
              <w:spacing w:before="40"/>
              <w:rPr>
                <w:rFonts w:asciiTheme="majorBidi" w:hAnsiTheme="majorBidi" w:cstheme="majorBidi"/>
                <w:color w:val="000000"/>
                <w:sz w:val="20"/>
                <w:lang w:val="en-GB"/>
              </w:rPr>
            </w:pPr>
            <w:r w:rsidRPr="00E55352">
              <w:rPr>
                <w:color w:val="000000"/>
                <w:sz w:val="20"/>
              </w:rPr>
              <w:t>Czech Republic</w:t>
            </w:r>
          </w:p>
        </w:tc>
        <w:tc>
          <w:tcPr>
            <w:tcW w:w="1417" w:type="dxa"/>
            <w:shd w:val="clear" w:color="auto" w:fill="auto"/>
            <w:vAlign w:val="bottom"/>
          </w:tcPr>
          <w:p w14:paraId="797BEDD1" w14:textId="14D642D1" w:rsidR="007A4AEE" w:rsidRPr="00154B2D" w:rsidRDefault="007A4AEE" w:rsidP="007A4AEE">
            <w:pPr>
              <w:spacing w:before="40"/>
              <w:jc w:val="right"/>
              <w:rPr>
                <w:rFonts w:asciiTheme="majorBidi" w:hAnsiTheme="majorBidi" w:cstheme="majorBidi"/>
                <w:color w:val="000000"/>
                <w:sz w:val="20"/>
                <w:lang w:val="en-GB"/>
              </w:rPr>
            </w:pPr>
            <w:r w:rsidRPr="00154B2D">
              <w:rPr>
                <w:rFonts w:asciiTheme="majorBidi" w:hAnsiTheme="majorBidi" w:cstheme="majorBidi"/>
                <w:color w:val="000000"/>
                <w:sz w:val="20"/>
              </w:rPr>
              <w:t>100.0</w:t>
            </w:r>
          </w:p>
        </w:tc>
        <w:tc>
          <w:tcPr>
            <w:tcW w:w="1417" w:type="dxa"/>
            <w:shd w:val="clear" w:color="auto" w:fill="auto"/>
            <w:vAlign w:val="bottom"/>
          </w:tcPr>
          <w:p w14:paraId="225F6908" w14:textId="07B1EBFE" w:rsidR="007A4AEE" w:rsidRPr="00E55352" w:rsidRDefault="007A4AEE" w:rsidP="007A4AEE">
            <w:pPr>
              <w:spacing w:before="40"/>
              <w:jc w:val="right"/>
              <w:rPr>
                <w:rFonts w:asciiTheme="majorBidi" w:hAnsiTheme="majorBidi" w:cstheme="majorBidi"/>
                <w:color w:val="000000"/>
                <w:sz w:val="20"/>
                <w:lang w:val="en-GB"/>
              </w:rPr>
            </w:pPr>
            <w:r w:rsidRPr="00154B2D">
              <w:rPr>
                <w:rFonts w:asciiTheme="majorBidi" w:hAnsiTheme="majorBidi" w:cstheme="majorBidi"/>
                <w:color w:val="000000"/>
                <w:sz w:val="20"/>
              </w:rPr>
              <w:t>100.0</w:t>
            </w:r>
          </w:p>
        </w:tc>
      </w:tr>
      <w:tr w:rsidR="007A4AEE" w:rsidRPr="00E55352" w14:paraId="54758D0D" w14:textId="77777777" w:rsidTr="005101BC">
        <w:trPr>
          <w:trHeight w:val="240"/>
        </w:trPr>
        <w:tc>
          <w:tcPr>
            <w:tcW w:w="4535" w:type="dxa"/>
            <w:shd w:val="clear" w:color="auto" w:fill="auto"/>
            <w:noWrap/>
            <w:vAlign w:val="bottom"/>
          </w:tcPr>
          <w:p w14:paraId="47C551B7" w14:textId="0FDBE4C2" w:rsidR="007A4AEE" w:rsidRPr="00E55352" w:rsidRDefault="007A4AEE" w:rsidP="007A4AEE">
            <w:pPr>
              <w:spacing w:before="40"/>
              <w:rPr>
                <w:rFonts w:asciiTheme="majorBidi" w:eastAsia="Arial" w:hAnsiTheme="majorBidi" w:cstheme="majorBidi"/>
                <w:sz w:val="20"/>
              </w:rPr>
            </w:pPr>
            <w:r w:rsidRPr="00E55352">
              <w:rPr>
                <w:rFonts w:asciiTheme="majorBidi" w:eastAsia="Arial" w:hAnsiTheme="majorBidi" w:cstheme="majorBidi"/>
                <w:sz w:val="20"/>
              </w:rPr>
              <w:t xml:space="preserve">AFI </w:t>
            </w:r>
            <w:proofErr w:type="spellStart"/>
            <w:r w:rsidRPr="00E55352">
              <w:rPr>
                <w:rFonts w:asciiTheme="majorBidi" w:eastAsia="Arial" w:hAnsiTheme="majorBidi" w:cstheme="majorBidi"/>
                <w:sz w:val="20"/>
              </w:rPr>
              <w:t>CityTower</w:t>
            </w:r>
            <w:proofErr w:type="spellEnd"/>
            <w:r w:rsidRPr="00E55352">
              <w:rPr>
                <w:rFonts w:asciiTheme="majorBidi" w:eastAsia="Arial" w:hAnsiTheme="majorBidi" w:cstheme="majorBidi"/>
                <w:sz w:val="20"/>
              </w:rPr>
              <w:t xml:space="preserve"> </w:t>
            </w:r>
            <w:proofErr w:type="spellStart"/>
            <w:r w:rsidRPr="00E55352">
              <w:rPr>
                <w:rFonts w:asciiTheme="majorBidi" w:eastAsia="Arial" w:hAnsiTheme="majorBidi" w:cstheme="majorBidi"/>
                <w:sz w:val="20"/>
              </w:rPr>
              <w:t>s.r.o.</w:t>
            </w:r>
            <w:proofErr w:type="spellEnd"/>
          </w:p>
        </w:tc>
        <w:tc>
          <w:tcPr>
            <w:tcW w:w="2268" w:type="dxa"/>
            <w:shd w:val="clear" w:color="auto" w:fill="auto"/>
            <w:vAlign w:val="bottom"/>
          </w:tcPr>
          <w:p w14:paraId="77DCBF74" w14:textId="01E3935D" w:rsidR="007A4AEE" w:rsidRPr="00E55352" w:rsidRDefault="007A4AEE" w:rsidP="007A4AEE">
            <w:pPr>
              <w:spacing w:before="40"/>
              <w:rPr>
                <w:rFonts w:asciiTheme="majorBidi" w:hAnsiTheme="majorBidi" w:cstheme="majorBidi"/>
                <w:color w:val="000000"/>
                <w:sz w:val="20"/>
                <w:lang w:val="en-GB"/>
              </w:rPr>
            </w:pPr>
            <w:r w:rsidRPr="00E55352">
              <w:rPr>
                <w:color w:val="000000"/>
                <w:sz w:val="20"/>
              </w:rPr>
              <w:t>Czech Republic</w:t>
            </w:r>
          </w:p>
        </w:tc>
        <w:tc>
          <w:tcPr>
            <w:tcW w:w="1417" w:type="dxa"/>
            <w:shd w:val="clear" w:color="auto" w:fill="auto"/>
            <w:vAlign w:val="bottom"/>
          </w:tcPr>
          <w:p w14:paraId="6AA9CD82" w14:textId="7ACDF9EE" w:rsidR="007A4AEE" w:rsidRPr="00154B2D" w:rsidRDefault="007A4AEE" w:rsidP="007A4AEE">
            <w:pPr>
              <w:spacing w:before="40"/>
              <w:jc w:val="right"/>
              <w:rPr>
                <w:rFonts w:asciiTheme="majorBidi" w:hAnsiTheme="majorBidi" w:cstheme="majorBidi"/>
                <w:color w:val="000000"/>
                <w:sz w:val="20"/>
                <w:lang w:val="en-GB"/>
              </w:rPr>
            </w:pPr>
            <w:r w:rsidRPr="00440C55">
              <w:rPr>
                <w:rFonts w:asciiTheme="majorBidi" w:hAnsiTheme="majorBidi" w:cstheme="majorBidi"/>
                <w:color w:val="000000"/>
                <w:sz w:val="20"/>
              </w:rPr>
              <w:t>100.0</w:t>
            </w:r>
          </w:p>
        </w:tc>
        <w:tc>
          <w:tcPr>
            <w:tcW w:w="1417" w:type="dxa"/>
            <w:shd w:val="clear" w:color="auto" w:fill="auto"/>
            <w:vAlign w:val="bottom"/>
          </w:tcPr>
          <w:p w14:paraId="0F3DE48C" w14:textId="3F8653E1" w:rsidR="007A4AEE" w:rsidRPr="00E55352" w:rsidRDefault="007A4AEE" w:rsidP="007A4AEE">
            <w:pPr>
              <w:spacing w:before="40"/>
              <w:jc w:val="right"/>
              <w:rPr>
                <w:rFonts w:asciiTheme="majorBidi" w:hAnsiTheme="majorBidi" w:cstheme="majorBidi"/>
                <w:color w:val="000000"/>
                <w:sz w:val="20"/>
                <w:lang w:val="en-GB"/>
              </w:rPr>
            </w:pPr>
            <w:r w:rsidRPr="00440C55">
              <w:rPr>
                <w:rFonts w:asciiTheme="majorBidi" w:hAnsiTheme="majorBidi" w:cstheme="majorBidi"/>
                <w:color w:val="000000"/>
                <w:sz w:val="20"/>
              </w:rPr>
              <w:t>100.0</w:t>
            </w:r>
          </w:p>
        </w:tc>
      </w:tr>
      <w:tr w:rsidR="007A4AEE" w:rsidRPr="00E55352" w14:paraId="29CEA26C" w14:textId="77777777" w:rsidTr="005101BC">
        <w:trPr>
          <w:trHeight w:val="240"/>
        </w:trPr>
        <w:tc>
          <w:tcPr>
            <w:tcW w:w="4535" w:type="dxa"/>
            <w:shd w:val="clear" w:color="auto" w:fill="auto"/>
            <w:noWrap/>
            <w:vAlign w:val="bottom"/>
          </w:tcPr>
          <w:p w14:paraId="368BF9D9" w14:textId="492C22E2" w:rsidR="007A4AEE" w:rsidRPr="00E55352" w:rsidRDefault="007A4AEE" w:rsidP="007A4AEE">
            <w:pPr>
              <w:spacing w:before="40"/>
              <w:rPr>
                <w:rFonts w:asciiTheme="majorBidi" w:eastAsia="Arial" w:hAnsiTheme="majorBidi" w:cstheme="majorBidi"/>
                <w:sz w:val="20"/>
              </w:rPr>
            </w:pPr>
            <w:proofErr w:type="spellStart"/>
            <w:r w:rsidRPr="00E55352">
              <w:rPr>
                <w:rFonts w:asciiTheme="majorBidi" w:eastAsia="Arial" w:hAnsiTheme="majorBidi" w:cstheme="majorBidi"/>
                <w:sz w:val="20"/>
              </w:rPr>
              <w:t>Petrinski</w:t>
            </w:r>
            <w:proofErr w:type="spellEnd"/>
            <w:r w:rsidRPr="00E55352">
              <w:rPr>
                <w:rFonts w:asciiTheme="majorBidi" w:eastAsia="Arial" w:hAnsiTheme="majorBidi" w:cstheme="majorBidi"/>
                <w:sz w:val="20"/>
              </w:rPr>
              <w:t xml:space="preserve"> </w:t>
            </w:r>
            <w:proofErr w:type="spellStart"/>
            <w:r w:rsidRPr="00E55352">
              <w:rPr>
                <w:rFonts w:asciiTheme="majorBidi" w:eastAsia="Arial" w:hAnsiTheme="majorBidi" w:cstheme="majorBidi"/>
                <w:sz w:val="20"/>
              </w:rPr>
              <w:t>Dvur</w:t>
            </w:r>
            <w:proofErr w:type="spellEnd"/>
            <w:r w:rsidRPr="00E55352">
              <w:rPr>
                <w:rFonts w:asciiTheme="majorBidi" w:eastAsia="Arial" w:hAnsiTheme="majorBidi" w:cstheme="majorBidi"/>
                <w:sz w:val="20"/>
              </w:rPr>
              <w:t xml:space="preserve"> </w:t>
            </w:r>
            <w:proofErr w:type="spellStart"/>
            <w:r w:rsidRPr="00E55352">
              <w:rPr>
                <w:rFonts w:asciiTheme="majorBidi" w:eastAsia="Arial" w:hAnsiTheme="majorBidi" w:cstheme="majorBidi"/>
                <w:sz w:val="20"/>
              </w:rPr>
              <w:t>s.r.o.</w:t>
            </w:r>
            <w:proofErr w:type="spellEnd"/>
          </w:p>
        </w:tc>
        <w:tc>
          <w:tcPr>
            <w:tcW w:w="2268" w:type="dxa"/>
            <w:shd w:val="clear" w:color="auto" w:fill="auto"/>
            <w:vAlign w:val="bottom"/>
          </w:tcPr>
          <w:p w14:paraId="32FCD552" w14:textId="12BE9ABB" w:rsidR="007A4AEE" w:rsidRPr="00E55352" w:rsidRDefault="007A4AEE" w:rsidP="007A4AEE">
            <w:pPr>
              <w:spacing w:before="40"/>
              <w:rPr>
                <w:color w:val="000000"/>
                <w:sz w:val="20"/>
              </w:rPr>
            </w:pPr>
            <w:r w:rsidRPr="00E55352">
              <w:rPr>
                <w:color w:val="000000"/>
                <w:sz w:val="20"/>
              </w:rPr>
              <w:t>Czech Republic</w:t>
            </w:r>
          </w:p>
        </w:tc>
        <w:tc>
          <w:tcPr>
            <w:tcW w:w="1417" w:type="dxa"/>
            <w:shd w:val="clear" w:color="auto" w:fill="auto"/>
            <w:vAlign w:val="bottom"/>
          </w:tcPr>
          <w:p w14:paraId="28907C50" w14:textId="4AFA0D88" w:rsidR="007A4AEE" w:rsidRPr="00154B2D" w:rsidRDefault="007A4AEE" w:rsidP="007A4AEE">
            <w:pPr>
              <w:spacing w:before="40"/>
              <w:jc w:val="right"/>
              <w:rPr>
                <w:rFonts w:asciiTheme="majorBidi" w:hAnsiTheme="majorBidi" w:cstheme="majorBidi"/>
                <w:color w:val="000000"/>
                <w:sz w:val="20"/>
              </w:rPr>
            </w:pPr>
            <w:r w:rsidRPr="00154B2D">
              <w:rPr>
                <w:rFonts w:asciiTheme="majorBidi" w:hAnsiTheme="majorBidi" w:cstheme="majorBidi"/>
                <w:color w:val="000000"/>
                <w:sz w:val="20"/>
              </w:rPr>
              <w:t>100.0</w:t>
            </w:r>
          </w:p>
        </w:tc>
        <w:tc>
          <w:tcPr>
            <w:tcW w:w="1417" w:type="dxa"/>
            <w:shd w:val="clear" w:color="auto" w:fill="auto"/>
            <w:vAlign w:val="bottom"/>
          </w:tcPr>
          <w:p w14:paraId="49FDD484" w14:textId="5D7CF57F" w:rsidR="007A4AEE" w:rsidRPr="00E55352" w:rsidRDefault="007A4AEE" w:rsidP="007A4AEE">
            <w:pPr>
              <w:spacing w:before="40"/>
              <w:jc w:val="right"/>
              <w:rPr>
                <w:rFonts w:asciiTheme="majorBidi" w:hAnsiTheme="majorBidi" w:cstheme="majorBidi"/>
                <w:color w:val="000000"/>
                <w:sz w:val="20"/>
              </w:rPr>
            </w:pPr>
            <w:r w:rsidRPr="00154B2D">
              <w:rPr>
                <w:rFonts w:asciiTheme="majorBidi" w:hAnsiTheme="majorBidi" w:cstheme="majorBidi"/>
                <w:color w:val="000000"/>
                <w:sz w:val="20"/>
              </w:rPr>
              <w:t>100.0</w:t>
            </w:r>
          </w:p>
        </w:tc>
      </w:tr>
      <w:tr w:rsidR="007A4AEE" w:rsidRPr="00E55352" w14:paraId="060A58F3" w14:textId="77777777" w:rsidTr="005101BC">
        <w:trPr>
          <w:trHeight w:val="240"/>
        </w:trPr>
        <w:tc>
          <w:tcPr>
            <w:tcW w:w="4535" w:type="dxa"/>
            <w:shd w:val="clear" w:color="auto" w:fill="auto"/>
            <w:noWrap/>
            <w:vAlign w:val="bottom"/>
          </w:tcPr>
          <w:p w14:paraId="0D21E7CD" w14:textId="11BCD0F1" w:rsidR="007A4AEE" w:rsidRPr="00E55352" w:rsidRDefault="007A4AEE" w:rsidP="007A4AEE">
            <w:pPr>
              <w:spacing w:before="40"/>
              <w:rPr>
                <w:rFonts w:asciiTheme="majorBidi" w:eastAsia="Arial" w:hAnsiTheme="majorBidi" w:cstheme="majorBidi"/>
                <w:sz w:val="20"/>
              </w:rPr>
            </w:pPr>
            <w:r w:rsidRPr="00E55352">
              <w:rPr>
                <w:rFonts w:asciiTheme="majorBidi" w:eastAsia="Arial" w:hAnsiTheme="majorBidi" w:cstheme="majorBidi"/>
                <w:sz w:val="20"/>
              </w:rPr>
              <w:t xml:space="preserve">TK 4 Rent </w:t>
            </w:r>
            <w:proofErr w:type="spellStart"/>
            <w:r w:rsidRPr="00E55352">
              <w:rPr>
                <w:rFonts w:asciiTheme="majorBidi" w:eastAsia="Arial" w:hAnsiTheme="majorBidi" w:cstheme="majorBidi"/>
                <w:sz w:val="20"/>
              </w:rPr>
              <w:t>s.r.o.</w:t>
            </w:r>
            <w:proofErr w:type="spellEnd"/>
            <w:r>
              <w:rPr>
                <w:rFonts w:asciiTheme="majorBidi" w:eastAsia="Arial" w:hAnsiTheme="majorBidi" w:cstheme="majorBidi"/>
                <w:sz w:val="20"/>
              </w:rPr>
              <w:t xml:space="preserve"> </w:t>
            </w:r>
            <w:r w:rsidR="005B42AB">
              <w:rPr>
                <w:rFonts w:asciiTheme="majorBidi" w:eastAsia="Arial" w:hAnsiTheme="majorBidi" w:cstheme="majorBidi"/>
                <w:sz w:val="20"/>
              </w:rPr>
              <w:t>(4)</w:t>
            </w:r>
          </w:p>
        </w:tc>
        <w:tc>
          <w:tcPr>
            <w:tcW w:w="2268" w:type="dxa"/>
            <w:shd w:val="clear" w:color="auto" w:fill="auto"/>
            <w:vAlign w:val="bottom"/>
          </w:tcPr>
          <w:p w14:paraId="68C64C15" w14:textId="2C9BB4F3" w:rsidR="007A4AEE" w:rsidRPr="00E55352" w:rsidRDefault="007A4AEE" w:rsidP="007A4AEE">
            <w:pPr>
              <w:spacing w:before="40"/>
              <w:rPr>
                <w:color w:val="000000"/>
                <w:sz w:val="20"/>
              </w:rPr>
            </w:pPr>
            <w:r w:rsidRPr="00E55352">
              <w:rPr>
                <w:color w:val="000000"/>
                <w:sz w:val="20"/>
              </w:rPr>
              <w:t>Czech Republic</w:t>
            </w:r>
          </w:p>
        </w:tc>
        <w:tc>
          <w:tcPr>
            <w:tcW w:w="1417" w:type="dxa"/>
            <w:shd w:val="clear" w:color="auto" w:fill="auto"/>
            <w:vAlign w:val="bottom"/>
          </w:tcPr>
          <w:p w14:paraId="1A61ACB4" w14:textId="75E5EDCC" w:rsidR="007A4AEE" w:rsidRPr="00154B2D" w:rsidRDefault="007A4AEE" w:rsidP="007A4AEE">
            <w:pPr>
              <w:spacing w:before="40"/>
              <w:jc w:val="right"/>
              <w:rPr>
                <w:rFonts w:asciiTheme="majorBidi" w:hAnsiTheme="majorBidi" w:cstheme="majorBidi"/>
                <w:color w:val="000000"/>
                <w:sz w:val="20"/>
              </w:rPr>
            </w:pPr>
            <w:r w:rsidRPr="00154B2D">
              <w:rPr>
                <w:rFonts w:asciiTheme="majorBidi" w:hAnsiTheme="majorBidi" w:cstheme="majorBidi"/>
                <w:color w:val="000000"/>
                <w:sz w:val="20"/>
              </w:rPr>
              <w:t>100.0</w:t>
            </w:r>
          </w:p>
        </w:tc>
        <w:tc>
          <w:tcPr>
            <w:tcW w:w="1417" w:type="dxa"/>
            <w:shd w:val="clear" w:color="auto" w:fill="auto"/>
            <w:vAlign w:val="bottom"/>
          </w:tcPr>
          <w:p w14:paraId="302B3E86" w14:textId="26552989" w:rsidR="007A4AEE" w:rsidRPr="00E55352" w:rsidRDefault="007A4AEE" w:rsidP="007A4AEE">
            <w:pPr>
              <w:spacing w:before="40"/>
              <w:jc w:val="right"/>
              <w:rPr>
                <w:rFonts w:asciiTheme="majorBidi" w:hAnsiTheme="majorBidi" w:cstheme="majorBidi"/>
                <w:color w:val="000000"/>
                <w:sz w:val="20"/>
              </w:rPr>
            </w:pPr>
            <w:r w:rsidRPr="00154B2D">
              <w:rPr>
                <w:rFonts w:asciiTheme="majorBidi" w:hAnsiTheme="majorBidi" w:cstheme="majorBidi"/>
                <w:color w:val="000000"/>
                <w:sz w:val="20"/>
              </w:rPr>
              <w:t>100.0</w:t>
            </w:r>
          </w:p>
        </w:tc>
      </w:tr>
      <w:tr w:rsidR="007A4AEE" w:rsidRPr="00E55352" w14:paraId="750E58B8" w14:textId="77777777" w:rsidTr="005101BC">
        <w:trPr>
          <w:trHeight w:val="240"/>
        </w:trPr>
        <w:tc>
          <w:tcPr>
            <w:tcW w:w="4535" w:type="dxa"/>
            <w:shd w:val="clear" w:color="auto" w:fill="auto"/>
            <w:noWrap/>
            <w:vAlign w:val="bottom"/>
          </w:tcPr>
          <w:p w14:paraId="466370A9" w14:textId="13A8684C" w:rsidR="007A4AEE" w:rsidRPr="00E55352" w:rsidRDefault="007A4AEE" w:rsidP="007A4AEE">
            <w:pPr>
              <w:spacing w:before="40"/>
              <w:rPr>
                <w:rFonts w:asciiTheme="majorBidi" w:eastAsia="Arial" w:hAnsiTheme="majorBidi" w:cstheme="majorBidi"/>
                <w:sz w:val="20"/>
              </w:rPr>
            </w:pPr>
            <w:r w:rsidRPr="00E55352">
              <w:rPr>
                <w:rFonts w:asciiTheme="majorBidi" w:eastAsia="Arial" w:hAnsiTheme="majorBidi" w:cstheme="majorBidi"/>
                <w:sz w:val="20"/>
              </w:rPr>
              <w:t xml:space="preserve">TT 4 Rent </w:t>
            </w:r>
            <w:proofErr w:type="spellStart"/>
            <w:r w:rsidRPr="00E55352">
              <w:rPr>
                <w:rFonts w:asciiTheme="majorBidi" w:eastAsia="Arial" w:hAnsiTheme="majorBidi" w:cstheme="majorBidi"/>
                <w:sz w:val="20"/>
              </w:rPr>
              <w:t>s.r.o.</w:t>
            </w:r>
            <w:proofErr w:type="spellEnd"/>
            <w:r>
              <w:rPr>
                <w:rFonts w:asciiTheme="majorBidi" w:eastAsia="Arial" w:hAnsiTheme="majorBidi" w:cstheme="majorBidi"/>
                <w:sz w:val="20"/>
              </w:rPr>
              <w:t xml:space="preserve"> </w:t>
            </w:r>
            <w:r w:rsidR="005B42AB">
              <w:rPr>
                <w:rFonts w:asciiTheme="majorBidi" w:eastAsia="Arial" w:hAnsiTheme="majorBidi" w:cstheme="majorBidi"/>
                <w:sz w:val="20"/>
              </w:rPr>
              <w:t>(4)</w:t>
            </w:r>
          </w:p>
        </w:tc>
        <w:tc>
          <w:tcPr>
            <w:tcW w:w="2268" w:type="dxa"/>
            <w:shd w:val="clear" w:color="auto" w:fill="auto"/>
            <w:vAlign w:val="bottom"/>
          </w:tcPr>
          <w:p w14:paraId="6FE5E147" w14:textId="33185917" w:rsidR="007A4AEE" w:rsidRPr="00E55352" w:rsidRDefault="007A4AEE" w:rsidP="007A4AEE">
            <w:pPr>
              <w:spacing w:before="40"/>
              <w:rPr>
                <w:color w:val="000000"/>
                <w:sz w:val="20"/>
              </w:rPr>
            </w:pPr>
            <w:r w:rsidRPr="00E55352">
              <w:rPr>
                <w:color w:val="000000"/>
                <w:sz w:val="20"/>
              </w:rPr>
              <w:t>Czech Republic</w:t>
            </w:r>
          </w:p>
        </w:tc>
        <w:tc>
          <w:tcPr>
            <w:tcW w:w="1417" w:type="dxa"/>
            <w:shd w:val="clear" w:color="auto" w:fill="auto"/>
            <w:vAlign w:val="bottom"/>
          </w:tcPr>
          <w:p w14:paraId="6100517C" w14:textId="10E0B1AF" w:rsidR="007A4AEE" w:rsidRPr="00154B2D" w:rsidRDefault="007A4AEE" w:rsidP="007A4AEE">
            <w:pPr>
              <w:spacing w:before="40"/>
              <w:jc w:val="right"/>
              <w:rPr>
                <w:rFonts w:asciiTheme="majorBidi" w:hAnsiTheme="majorBidi" w:cstheme="majorBidi"/>
                <w:color w:val="000000"/>
                <w:sz w:val="20"/>
              </w:rPr>
            </w:pPr>
            <w:r w:rsidRPr="00154B2D">
              <w:rPr>
                <w:rFonts w:asciiTheme="majorBidi" w:hAnsiTheme="majorBidi" w:cstheme="majorBidi"/>
                <w:color w:val="000000"/>
                <w:sz w:val="20"/>
              </w:rPr>
              <w:t>100.0</w:t>
            </w:r>
          </w:p>
        </w:tc>
        <w:tc>
          <w:tcPr>
            <w:tcW w:w="1417" w:type="dxa"/>
            <w:shd w:val="clear" w:color="auto" w:fill="auto"/>
            <w:vAlign w:val="bottom"/>
          </w:tcPr>
          <w:p w14:paraId="6442E314" w14:textId="7585719D" w:rsidR="007A4AEE" w:rsidRPr="00E55352" w:rsidRDefault="007A4AEE" w:rsidP="007A4AEE">
            <w:pPr>
              <w:spacing w:before="40"/>
              <w:jc w:val="right"/>
              <w:rPr>
                <w:rFonts w:asciiTheme="majorBidi" w:hAnsiTheme="majorBidi" w:cstheme="majorBidi"/>
                <w:color w:val="000000"/>
                <w:sz w:val="20"/>
              </w:rPr>
            </w:pPr>
            <w:r w:rsidRPr="00154B2D">
              <w:rPr>
                <w:rFonts w:asciiTheme="majorBidi" w:hAnsiTheme="majorBidi" w:cstheme="majorBidi"/>
                <w:color w:val="000000"/>
                <w:sz w:val="20"/>
              </w:rPr>
              <w:t>100.0</w:t>
            </w:r>
          </w:p>
        </w:tc>
      </w:tr>
      <w:tr w:rsidR="007A4AEE" w:rsidRPr="00E55352" w14:paraId="1DEA3DAD" w14:textId="77777777" w:rsidTr="005101BC">
        <w:trPr>
          <w:trHeight w:val="240"/>
        </w:trPr>
        <w:tc>
          <w:tcPr>
            <w:tcW w:w="4535" w:type="dxa"/>
            <w:shd w:val="clear" w:color="auto" w:fill="auto"/>
            <w:noWrap/>
            <w:vAlign w:val="bottom"/>
          </w:tcPr>
          <w:p w14:paraId="0383991E" w14:textId="3EB5EEAC" w:rsidR="007A4AEE" w:rsidRPr="00E55352" w:rsidRDefault="007A4AEE" w:rsidP="007A4AEE">
            <w:pPr>
              <w:spacing w:before="40"/>
              <w:rPr>
                <w:rFonts w:asciiTheme="majorBidi" w:eastAsia="Arial" w:hAnsiTheme="majorBidi" w:cstheme="majorBidi"/>
                <w:sz w:val="20"/>
              </w:rPr>
            </w:pPr>
            <w:r w:rsidRPr="00E55352">
              <w:rPr>
                <w:rFonts w:asciiTheme="majorBidi" w:eastAsia="Arial" w:hAnsiTheme="majorBidi" w:cstheme="majorBidi"/>
                <w:sz w:val="20"/>
              </w:rPr>
              <w:t xml:space="preserve">TC 4 Rent </w:t>
            </w:r>
            <w:proofErr w:type="spellStart"/>
            <w:r w:rsidRPr="00E55352">
              <w:rPr>
                <w:rFonts w:asciiTheme="majorBidi" w:eastAsia="Arial" w:hAnsiTheme="majorBidi" w:cstheme="majorBidi"/>
                <w:sz w:val="20"/>
              </w:rPr>
              <w:t>s.r.o.</w:t>
            </w:r>
            <w:proofErr w:type="spellEnd"/>
            <w:r>
              <w:rPr>
                <w:rFonts w:asciiTheme="majorBidi" w:eastAsia="Arial" w:hAnsiTheme="majorBidi" w:cstheme="majorBidi"/>
                <w:sz w:val="20"/>
              </w:rPr>
              <w:t xml:space="preserve"> </w:t>
            </w:r>
            <w:r w:rsidR="005B42AB">
              <w:rPr>
                <w:rFonts w:asciiTheme="majorBidi" w:eastAsia="Arial" w:hAnsiTheme="majorBidi" w:cstheme="majorBidi"/>
                <w:sz w:val="20"/>
              </w:rPr>
              <w:t>(4)</w:t>
            </w:r>
          </w:p>
        </w:tc>
        <w:tc>
          <w:tcPr>
            <w:tcW w:w="2268" w:type="dxa"/>
            <w:shd w:val="clear" w:color="auto" w:fill="auto"/>
            <w:vAlign w:val="bottom"/>
          </w:tcPr>
          <w:p w14:paraId="6A95D229" w14:textId="5D2A2221" w:rsidR="007A4AEE" w:rsidRPr="00E55352" w:rsidRDefault="007A4AEE" w:rsidP="007A4AEE">
            <w:pPr>
              <w:spacing w:before="40"/>
              <w:rPr>
                <w:color w:val="000000"/>
                <w:sz w:val="20"/>
              </w:rPr>
            </w:pPr>
            <w:r w:rsidRPr="00E55352">
              <w:rPr>
                <w:color w:val="000000"/>
                <w:sz w:val="20"/>
              </w:rPr>
              <w:t>Czech Republic</w:t>
            </w:r>
          </w:p>
        </w:tc>
        <w:tc>
          <w:tcPr>
            <w:tcW w:w="1417" w:type="dxa"/>
            <w:shd w:val="clear" w:color="auto" w:fill="auto"/>
            <w:vAlign w:val="bottom"/>
          </w:tcPr>
          <w:p w14:paraId="10AC6CED" w14:textId="170D42BF" w:rsidR="007A4AEE" w:rsidRPr="00154B2D" w:rsidRDefault="007A4AEE" w:rsidP="007A4AEE">
            <w:pPr>
              <w:spacing w:before="40"/>
              <w:jc w:val="right"/>
              <w:rPr>
                <w:rFonts w:asciiTheme="majorBidi" w:hAnsiTheme="majorBidi" w:cstheme="majorBidi"/>
                <w:color w:val="000000"/>
                <w:sz w:val="20"/>
              </w:rPr>
            </w:pPr>
            <w:r w:rsidRPr="00154B2D">
              <w:rPr>
                <w:rFonts w:asciiTheme="majorBidi" w:hAnsiTheme="majorBidi" w:cstheme="majorBidi"/>
                <w:color w:val="000000"/>
                <w:sz w:val="20"/>
              </w:rPr>
              <w:t>100.0</w:t>
            </w:r>
          </w:p>
        </w:tc>
        <w:tc>
          <w:tcPr>
            <w:tcW w:w="1417" w:type="dxa"/>
            <w:shd w:val="clear" w:color="auto" w:fill="auto"/>
            <w:vAlign w:val="bottom"/>
          </w:tcPr>
          <w:p w14:paraId="41DB8781" w14:textId="7C1C1F64" w:rsidR="007A4AEE" w:rsidRPr="00E55352" w:rsidRDefault="007A4AEE" w:rsidP="007A4AEE">
            <w:pPr>
              <w:spacing w:before="40"/>
              <w:jc w:val="right"/>
              <w:rPr>
                <w:rFonts w:asciiTheme="majorBidi" w:hAnsiTheme="majorBidi" w:cstheme="majorBidi"/>
                <w:color w:val="000000"/>
                <w:sz w:val="20"/>
              </w:rPr>
            </w:pPr>
            <w:r w:rsidRPr="00154B2D">
              <w:rPr>
                <w:rFonts w:asciiTheme="majorBidi" w:hAnsiTheme="majorBidi" w:cstheme="majorBidi"/>
                <w:color w:val="000000"/>
                <w:sz w:val="20"/>
              </w:rPr>
              <w:t>100.0</w:t>
            </w:r>
          </w:p>
        </w:tc>
      </w:tr>
      <w:tr w:rsidR="007A4AEE" w:rsidRPr="00E55352" w14:paraId="3773061D" w14:textId="77777777" w:rsidTr="005101BC">
        <w:trPr>
          <w:trHeight w:val="240"/>
        </w:trPr>
        <w:tc>
          <w:tcPr>
            <w:tcW w:w="4535" w:type="dxa"/>
            <w:shd w:val="clear" w:color="auto" w:fill="auto"/>
            <w:noWrap/>
            <w:vAlign w:val="bottom"/>
          </w:tcPr>
          <w:p w14:paraId="3CB0FC6C" w14:textId="649205C3" w:rsidR="007A4AEE" w:rsidRPr="00E55352" w:rsidRDefault="007A4AEE" w:rsidP="007A4AEE">
            <w:pPr>
              <w:widowControl w:val="0"/>
              <w:tabs>
                <w:tab w:val="left" w:pos="510"/>
                <w:tab w:val="left" w:pos="1531"/>
                <w:tab w:val="left" w:pos="1814"/>
              </w:tabs>
              <w:suppressAutoHyphens/>
              <w:autoSpaceDE w:val="0"/>
              <w:autoSpaceDN w:val="0"/>
              <w:adjustRightInd w:val="0"/>
              <w:spacing w:before="40" w:line="260" w:lineRule="atLeast"/>
              <w:ind w:left="1418" w:right="113" w:hanging="1418"/>
              <w:textAlignment w:val="center"/>
              <w:rPr>
                <w:rFonts w:asciiTheme="majorBidi" w:eastAsia="Arial" w:hAnsiTheme="majorBidi" w:cstheme="majorBidi"/>
                <w:sz w:val="20"/>
              </w:rPr>
            </w:pPr>
            <w:r w:rsidRPr="00E55352">
              <w:rPr>
                <w:rFonts w:asciiTheme="majorBidi" w:eastAsia="Arial" w:hAnsiTheme="majorBidi" w:cstheme="majorBidi"/>
                <w:sz w:val="20"/>
              </w:rPr>
              <w:t xml:space="preserve">TK Management </w:t>
            </w:r>
            <w:proofErr w:type="spellStart"/>
            <w:r w:rsidRPr="00E55352">
              <w:rPr>
                <w:rFonts w:asciiTheme="majorBidi" w:eastAsia="Arial" w:hAnsiTheme="majorBidi" w:cstheme="majorBidi"/>
                <w:sz w:val="20"/>
              </w:rPr>
              <w:t>s.r.o</w:t>
            </w:r>
            <w:proofErr w:type="spellEnd"/>
            <w:r>
              <w:rPr>
                <w:rFonts w:asciiTheme="majorBidi" w:eastAsia="Arial" w:hAnsiTheme="majorBidi" w:cstheme="majorBidi"/>
                <w:sz w:val="20"/>
              </w:rPr>
              <w:t xml:space="preserve"> </w:t>
            </w:r>
            <w:r w:rsidR="005B42AB">
              <w:rPr>
                <w:rFonts w:asciiTheme="majorBidi" w:eastAsia="Arial" w:hAnsiTheme="majorBidi" w:cstheme="majorBidi"/>
                <w:sz w:val="20"/>
              </w:rPr>
              <w:t>(4)</w:t>
            </w:r>
          </w:p>
        </w:tc>
        <w:tc>
          <w:tcPr>
            <w:tcW w:w="2268" w:type="dxa"/>
            <w:shd w:val="clear" w:color="auto" w:fill="auto"/>
            <w:vAlign w:val="bottom"/>
          </w:tcPr>
          <w:p w14:paraId="6CD086C2" w14:textId="36DDC481" w:rsidR="007A4AEE" w:rsidRPr="00E55352" w:rsidRDefault="007A4AEE" w:rsidP="007A4AEE">
            <w:pPr>
              <w:widowControl w:val="0"/>
              <w:tabs>
                <w:tab w:val="left" w:pos="510"/>
                <w:tab w:val="left" w:pos="1531"/>
                <w:tab w:val="left" w:pos="1814"/>
              </w:tabs>
              <w:suppressAutoHyphens/>
              <w:autoSpaceDE w:val="0"/>
              <w:autoSpaceDN w:val="0"/>
              <w:adjustRightInd w:val="0"/>
              <w:spacing w:before="40" w:line="260" w:lineRule="atLeast"/>
              <w:ind w:right="113"/>
              <w:textAlignment w:val="center"/>
              <w:rPr>
                <w:rFonts w:asciiTheme="majorBidi" w:hAnsiTheme="majorBidi" w:cstheme="majorBidi"/>
                <w:color w:val="000000"/>
                <w:sz w:val="20"/>
              </w:rPr>
            </w:pPr>
            <w:r w:rsidRPr="00E55352">
              <w:rPr>
                <w:color w:val="000000"/>
                <w:sz w:val="20"/>
              </w:rPr>
              <w:t>Czech Republic</w:t>
            </w:r>
          </w:p>
        </w:tc>
        <w:tc>
          <w:tcPr>
            <w:tcW w:w="1417" w:type="dxa"/>
            <w:shd w:val="clear" w:color="auto" w:fill="auto"/>
            <w:vAlign w:val="bottom"/>
          </w:tcPr>
          <w:p w14:paraId="16CEC447" w14:textId="72C64764" w:rsidR="007A4AEE" w:rsidRPr="00154B2D" w:rsidRDefault="007A4AEE" w:rsidP="007A4AEE">
            <w:pPr>
              <w:spacing w:before="40"/>
              <w:jc w:val="right"/>
              <w:rPr>
                <w:rFonts w:asciiTheme="majorBidi" w:hAnsiTheme="majorBidi" w:cstheme="majorBidi"/>
                <w:color w:val="000000"/>
                <w:sz w:val="20"/>
              </w:rPr>
            </w:pPr>
            <w:r w:rsidRPr="00154B2D">
              <w:rPr>
                <w:rFonts w:asciiTheme="majorBidi" w:hAnsiTheme="majorBidi" w:cstheme="majorBidi"/>
                <w:color w:val="000000"/>
                <w:sz w:val="20"/>
              </w:rPr>
              <w:t>100.0</w:t>
            </w:r>
          </w:p>
        </w:tc>
        <w:tc>
          <w:tcPr>
            <w:tcW w:w="1417" w:type="dxa"/>
            <w:shd w:val="clear" w:color="auto" w:fill="auto"/>
            <w:vAlign w:val="bottom"/>
          </w:tcPr>
          <w:p w14:paraId="154C9EC1" w14:textId="6F695038" w:rsidR="007A4AEE" w:rsidRPr="00E55352" w:rsidRDefault="007A4AEE" w:rsidP="007A4AEE">
            <w:pPr>
              <w:spacing w:before="40"/>
              <w:jc w:val="right"/>
              <w:rPr>
                <w:rFonts w:asciiTheme="majorBidi" w:hAnsiTheme="majorBidi" w:cstheme="majorBidi"/>
                <w:color w:val="000000"/>
                <w:sz w:val="20"/>
              </w:rPr>
            </w:pPr>
            <w:r w:rsidRPr="00154B2D">
              <w:rPr>
                <w:rFonts w:asciiTheme="majorBidi" w:hAnsiTheme="majorBidi" w:cstheme="majorBidi"/>
                <w:color w:val="000000"/>
                <w:sz w:val="20"/>
              </w:rPr>
              <w:t>100.0</w:t>
            </w:r>
          </w:p>
        </w:tc>
      </w:tr>
      <w:tr w:rsidR="007A4AEE" w:rsidRPr="00E55352" w14:paraId="4963BA03" w14:textId="77777777" w:rsidTr="005101BC">
        <w:trPr>
          <w:trHeight w:val="240"/>
        </w:trPr>
        <w:tc>
          <w:tcPr>
            <w:tcW w:w="4535" w:type="dxa"/>
            <w:shd w:val="clear" w:color="auto" w:fill="auto"/>
            <w:noWrap/>
            <w:vAlign w:val="bottom"/>
          </w:tcPr>
          <w:p w14:paraId="52BE629F" w14:textId="50F3FC68" w:rsidR="007A4AEE" w:rsidRPr="00E55352" w:rsidRDefault="007A4AEE" w:rsidP="007A4AEE">
            <w:pPr>
              <w:widowControl w:val="0"/>
              <w:tabs>
                <w:tab w:val="left" w:pos="510"/>
                <w:tab w:val="left" w:pos="1531"/>
                <w:tab w:val="left" w:pos="1814"/>
              </w:tabs>
              <w:suppressAutoHyphens/>
              <w:autoSpaceDE w:val="0"/>
              <w:autoSpaceDN w:val="0"/>
              <w:adjustRightInd w:val="0"/>
              <w:spacing w:before="40" w:line="260" w:lineRule="atLeast"/>
              <w:ind w:left="1418" w:right="113" w:hanging="1418"/>
              <w:textAlignment w:val="center"/>
              <w:rPr>
                <w:rFonts w:asciiTheme="majorBidi" w:eastAsia="Arial" w:hAnsiTheme="majorBidi" w:cstheme="majorBidi"/>
                <w:sz w:val="20"/>
              </w:rPr>
            </w:pPr>
            <w:r w:rsidRPr="00E55352">
              <w:rPr>
                <w:rFonts w:asciiTheme="majorBidi" w:eastAsia="Arial" w:hAnsiTheme="majorBidi" w:cstheme="majorBidi"/>
                <w:sz w:val="20"/>
              </w:rPr>
              <w:t>T</w:t>
            </w:r>
            <w:r>
              <w:rPr>
                <w:rFonts w:asciiTheme="majorBidi" w:eastAsia="Arial" w:hAnsiTheme="majorBidi" w:cstheme="majorBidi"/>
                <w:sz w:val="20"/>
              </w:rPr>
              <w:t>C</w:t>
            </w:r>
            <w:r w:rsidRPr="00E55352">
              <w:rPr>
                <w:rFonts w:asciiTheme="majorBidi" w:eastAsia="Arial" w:hAnsiTheme="majorBidi" w:cstheme="majorBidi"/>
                <w:sz w:val="20"/>
              </w:rPr>
              <w:t xml:space="preserve"> Management </w:t>
            </w:r>
            <w:proofErr w:type="spellStart"/>
            <w:r w:rsidRPr="00E55352">
              <w:rPr>
                <w:rFonts w:asciiTheme="majorBidi" w:eastAsia="Arial" w:hAnsiTheme="majorBidi" w:cstheme="majorBidi"/>
                <w:sz w:val="20"/>
              </w:rPr>
              <w:t>s.r.o</w:t>
            </w:r>
            <w:proofErr w:type="spellEnd"/>
            <w:r>
              <w:rPr>
                <w:rFonts w:asciiTheme="majorBidi" w:eastAsia="Arial" w:hAnsiTheme="majorBidi" w:cstheme="majorBidi"/>
                <w:sz w:val="20"/>
              </w:rPr>
              <w:t xml:space="preserve"> </w:t>
            </w:r>
            <w:r w:rsidR="005B42AB">
              <w:rPr>
                <w:rFonts w:asciiTheme="majorBidi" w:eastAsia="Arial" w:hAnsiTheme="majorBidi" w:cstheme="majorBidi"/>
                <w:sz w:val="20"/>
              </w:rPr>
              <w:t>(4)</w:t>
            </w:r>
          </w:p>
        </w:tc>
        <w:tc>
          <w:tcPr>
            <w:tcW w:w="2268" w:type="dxa"/>
            <w:shd w:val="clear" w:color="auto" w:fill="auto"/>
            <w:vAlign w:val="bottom"/>
          </w:tcPr>
          <w:p w14:paraId="6CDA50AA" w14:textId="5776F2C5" w:rsidR="007A4AEE" w:rsidRPr="00E55352" w:rsidRDefault="007A4AEE" w:rsidP="007A4AEE">
            <w:pPr>
              <w:widowControl w:val="0"/>
              <w:tabs>
                <w:tab w:val="left" w:pos="510"/>
                <w:tab w:val="left" w:pos="1531"/>
                <w:tab w:val="left" w:pos="1814"/>
              </w:tabs>
              <w:suppressAutoHyphens/>
              <w:autoSpaceDE w:val="0"/>
              <w:autoSpaceDN w:val="0"/>
              <w:adjustRightInd w:val="0"/>
              <w:spacing w:before="40" w:line="260" w:lineRule="atLeast"/>
              <w:ind w:right="113"/>
              <w:textAlignment w:val="center"/>
              <w:rPr>
                <w:rFonts w:asciiTheme="majorBidi" w:hAnsiTheme="majorBidi" w:cstheme="majorBidi"/>
                <w:color w:val="000000"/>
                <w:sz w:val="20"/>
              </w:rPr>
            </w:pPr>
            <w:r w:rsidRPr="00E55352">
              <w:rPr>
                <w:color w:val="000000"/>
                <w:sz w:val="20"/>
              </w:rPr>
              <w:t>Czech Republic</w:t>
            </w:r>
          </w:p>
        </w:tc>
        <w:tc>
          <w:tcPr>
            <w:tcW w:w="1417" w:type="dxa"/>
            <w:shd w:val="clear" w:color="auto" w:fill="auto"/>
            <w:vAlign w:val="bottom"/>
          </w:tcPr>
          <w:p w14:paraId="0E5580F9" w14:textId="3BADB566" w:rsidR="007A4AEE" w:rsidRPr="00154B2D" w:rsidRDefault="007A4AEE" w:rsidP="007A4AEE">
            <w:pPr>
              <w:spacing w:before="40"/>
              <w:jc w:val="right"/>
              <w:rPr>
                <w:rFonts w:asciiTheme="majorBidi" w:hAnsiTheme="majorBidi" w:cstheme="majorBidi"/>
                <w:color w:val="000000"/>
                <w:sz w:val="20"/>
              </w:rPr>
            </w:pPr>
            <w:r w:rsidRPr="00154B2D">
              <w:rPr>
                <w:rFonts w:asciiTheme="majorBidi" w:hAnsiTheme="majorBidi" w:cstheme="majorBidi"/>
                <w:color w:val="000000"/>
                <w:sz w:val="20"/>
              </w:rPr>
              <w:t>100.0</w:t>
            </w:r>
          </w:p>
        </w:tc>
        <w:tc>
          <w:tcPr>
            <w:tcW w:w="1417" w:type="dxa"/>
            <w:shd w:val="clear" w:color="auto" w:fill="auto"/>
            <w:vAlign w:val="bottom"/>
          </w:tcPr>
          <w:p w14:paraId="014183A3" w14:textId="082B946F" w:rsidR="007A4AEE" w:rsidRPr="00E55352" w:rsidRDefault="007A4AEE" w:rsidP="007A4AEE">
            <w:pPr>
              <w:spacing w:before="40"/>
              <w:jc w:val="right"/>
              <w:rPr>
                <w:rFonts w:asciiTheme="majorBidi" w:hAnsiTheme="majorBidi" w:cstheme="majorBidi"/>
                <w:color w:val="000000"/>
                <w:sz w:val="20"/>
              </w:rPr>
            </w:pPr>
            <w:r w:rsidRPr="00154B2D">
              <w:rPr>
                <w:rFonts w:asciiTheme="majorBidi" w:hAnsiTheme="majorBidi" w:cstheme="majorBidi"/>
                <w:color w:val="000000"/>
                <w:sz w:val="20"/>
              </w:rPr>
              <w:t>100.0</w:t>
            </w:r>
          </w:p>
        </w:tc>
      </w:tr>
      <w:tr w:rsidR="007A4AEE" w:rsidRPr="00E55352" w14:paraId="04BBC3B2" w14:textId="77777777" w:rsidTr="005101BC">
        <w:trPr>
          <w:trHeight w:val="240"/>
        </w:trPr>
        <w:tc>
          <w:tcPr>
            <w:tcW w:w="4535" w:type="dxa"/>
            <w:shd w:val="clear" w:color="auto" w:fill="auto"/>
            <w:noWrap/>
            <w:vAlign w:val="bottom"/>
          </w:tcPr>
          <w:p w14:paraId="3468C4C7" w14:textId="504B00C4" w:rsidR="007A4AEE" w:rsidRPr="00E55352" w:rsidRDefault="007A4AEE" w:rsidP="007A4AEE">
            <w:pPr>
              <w:spacing w:before="40"/>
              <w:rPr>
                <w:rFonts w:asciiTheme="majorBidi" w:eastAsia="Arial" w:hAnsiTheme="majorBidi" w:cstheme="majorBidi"/>
                <w:sz w:val="20"/>
              </w:rPr>
            </w:pPr>
            <w:r>
              <w:rPr>
                <w:rFonts w:asciiTheme="majorBidi" w:eastAsia="Arial" w:hAnsiTheme="majorBidi" w:cstheme="majorBidi"/>
                <w:sz w:val="20"/>
              </w:rPr>
              <w:t xml:space="preserve">AFI Avenir Park </w:t>
            </w:r>
            <w:proofErr w:type="spellStart"/>
            <w:r>
              <w:rPr>
                <w:rFonts w:asciiTheme="majorBidi" w:eastAsia="Arial" w:hAnsiTheme="majorBidi" w:cstheme="majorBidi"/>
                <w:sz w:val="20"/>
              </w:rPr>
              <w:t>s.</w:t>
            </w:r>
            <w:proofErr w:type="gramStart"/>
            <w:r>
              <w:rPr>
                <w:rFonts w:asciiTheme="majorBidi" w:eastAsia="Arial" w:hAnsiTheme="majorBidi" w:cstheme="majorBidi"/>
                <w:sz w:val="20"/>
              </w:rPr>
              <w:t>r.o</w:t>
            </w:r>
            <w:proofErr w:type="spellEnd"/>
            <w:proofErr w:type="gramEnd"/>
          </w:p>
        </w:tc>
        <w:tc>
          <w:tcPr>
            <w:tcW w:w="2268" w:type="dxa"/>
            <w:shd w:val="clear" w:color="auto" w:fill="auto"/>
            <w:vAlign w:val="bottom"/>
          </w:tcPr>
          <w:p w14:paraId="3251CB3A" w14:textId="68693525" w:rsidR="007A4AEE" w:rsidRPr="00E55352" w:rsidRDefault="007A4AEE" w:rsidP="007A4AEE">
            <w:pPr>
              <w:spacing w:before="40"/>
              <w:rPr>
                <w:rFonts w:asciiTheme="majorBidi" w:hAnsiTheme="majorBidi" w:cstheme="majorBidi"/>
                <w:color w:val="000000"/>
                <w:sz w:val="20"/>
                <w:lang w:val="en-GB"/>
              </w:rPr>
            </w:pPr>
            <w:r w:rsidRPr="00E55352">
              <w:rPr>
                <w:color w:val="000000"/>
                <w:sz w:val="20"/>
              </w:rPr>
              <w:t>Czech Republic</w:t>
            </w:r>
          </w:p>
        </w:tc>
        <w:tc>
          <w:tcPr>
            <w:tcW w:w="1417" w:type="dxa"/>
            <w:shd w:val="clear" w:color="auto" w:fill="auto"/>
            <w:vAlign w:val="bottom"/>
          </w:tcPr>
          <w:p w14:paraId="06EE4E1C" w14:textId="1214DD74" w:rsidR="007A4AEE" w:rsidRPr="00154B2D" w:rsidRDefault="007A4AEE" w:rsidP="007A4AEE">
            <w:pPr>
              <w:spacing w:before="40"/>
              <w:jc w:val="right"/>
              <w:rPr>
                <w:rFonts w:asciiTheme="majorBidi" w:hAnsiTheme="majorBidi" w:cstheme="majorBidi"/>
                <w:color w:val="000000"/>
                <w:sz w:val="20"/>
              </w:rPr>
            </w:pPr>
            <w:r w:rsidRPr="00440C55">
              <w:rPr>
                <w:rFonts w:asciiTheme="majorBidi" w:hAnsiTheme="majorBidi" w:cstheme="majorBidi"/>
                <w:color w:val="000000"/>
                <w:sz w:val="20"/>
              </w:rPr>
              <w:t>100.0</w:t>
            </w:r>
          </w:p>
        </w:tc>
        <w:tc>
          <w:tcPr>
            <w:tcW w:w="1417" w:type="dxa"/>
            <w:shd w:val="clear" w:color="auto" w:fill="auto"/>
            <w:vAlign w:val="bottom"/>
          </w:tcPr>
          <w:p w14:paraId="7F373A12" w14:textId="549BA03C" w:rsidR="007A4AEE" w:rsidRPr="00E55352" w:rsidRDefault="007A4AEE" w:rsidP="007A4AEE">
            <w:pPr>
              <w:spacing w:before="40"/>
              <w:jc w:val="right"/>
              <w:rPr>
                <w:rFonts w:asciiTheme="majorBidi" w:hAnsiTheme="majorBidi" w:cstheme="majorBidi"/>
                <w:color w:val="000000"/>
                <w:sz w:val="20"/>
              </w:rPr>
            </w:pPr>
            <w:r w:rsidRPr="00440C55">
              <w:rPr>
                <w:rFonts w:asciiTheme="majorBidi" w:hAnsiTheme="majorBidi" w:cstheme="majorBidi"/>
                <w:color w:val="000000"/>
                <w:sz w:val="20"/>
              </w:rPr>
              <w:t>100.0</w:t>
            </w:r>
          </w:p>
        </w:tc>
      </w:tr>
      <w:tr w:rsidR="007A4AEE" w:rsidRPr="00E55352" w14:paraId="4993C435" w14:textId="77777777" w:rsidTr="005101BC">
        <w:trPr>
          <w:trHeight w:val="240"/>
        </w:trPr>
        <w:tc>
          <w:tcPr>
            <w:tcW w:w="4535" w:type="dxa"/>
            <w:shd w:val="clear" w:color="auto" w:fill="auto"/>
            <w:noWrap/>
            <w:vAlign w:val="bottom"/>
          </w:tcPr>
          <w:p w14:paraId="3F76A20B" w14:textId="7EBAAA50" w:rsidR="007A4AEE" w:rsidRPr="00E55352" w:rsidRDefault="007A4AEE" w:rsidP="007A4AEE">
            <w:pPr>
              <w:widowControl w:val="0"/>
              <w:tabs>
                <w:tab w:val="left" w:pos="510"/>
                <w:tab w:val="left" w:pos="1531"/>
                <w:tab w:val="left" w:pos="1814"/>
              </w:tabs>
              <w:suppressAutoHyphens/>
              <w:autoSpaceDE w:val="0"/>
              <w:autoSpaceDN w:val="0"/>
              <w:adjustRightInd w:val="0"/>
              <w:spacing w:before="40" w:line="260" w:lineRule="atLeast"/>
              <w:ind w:left="1418" w:right="113" w:hanging="1418"/>
              <w:textAlignment w:val="center"/>
              <w:rPr>
                <w:rFonts w:asciiTheme="majorBidi" w:eastAsia="Arial" w:hAnsiTheme="majorBidi" w:cstheme="majorBidi"/>
                <w:sz w:val="20"/>
              </w:rPr>
            </w:pPr>
            <w:proofErr w:type="spellStart"/>
            <w:r w:rsidRPr="007A4AEE">
              <w:rPr>
                <w:rFonts w:asciiTheme="majorBidi" w:eastAsia="Arial" w:hAnsiTheme="majorBidi" w:cstheme="majorBidi"/>
                <w:sz w:val="20"/>
              </w:rPr>
              <w:t>Kolbenova</w:t>
            </w:r>
            <w:proofErr w:type="spellEnd"/>
            <w:r w:rsidRPr="007A4AEE">
              <w:rPr>
                <w:rFonts w:asciiTheme="majorBidi" w:eastAsia="Arial" w:hAnsiTheme="majorBidi" w:cstheme="majorBidi"/>
                <w:sz w:val="20"/>
              </w:rPr>
              <w:t xml:space="preserve"> 2 </w:t>
            </w:r>
            <w:proofErr w:type="spellStart"/>
            <w:r w:rsidRPr="007A4AEE">
              <w:rPr>
                <w:rFonts w:asciiTheme="majorBidi" w:eastAsia="Arial" w:hAnsiTheme="majorBidi" w:cstheme="majorBidi"/>
                <w:sz w:val="20"/>
              </w:rPr>
              <w:t>s.r.o.</w:t>
            </w:r>
            <w:proofErr w:type="spellEnd"/>
            <w:r>
              <w:rPr>
                <w:rFonts w:asciiTheme="majorBidi" w:eastAsia="Arial" w:hAnsiTheme="majorBidi" w:cstheme="majorBidi"/>
                <w:sz w:val="20"/>
              </w:rPr>
              <w:t xml:space="preserve"> </w:t>
            </w:r>
            <w:r w:rsidR="005B42AB">
              <w:rPr>
                <w:rFonts w:asciiTheme="majorBidi" w:eastAsia="Arial" w:hAnsiTheme="majorBidi" w:cstheme="majorBidi"/>
                <w:sz w:val="20"/>
              </w:rPr>
              <w:t>(4)</w:t>
            </w:r>
          </w:p>
        </w:tc>
        <w:tc>
          <w:tcPr>
            <w:tcW w:w="2268" w:type="dxa"/>
            <w:shd w:val="clear" w:color="auto" w:fill="auto"/>
            <w:vAlign w:val="bottom"/>
          </w:tcPr>
          <w:p w14:paraId="453344EE" w14:textId="4B01CE6C" w:rsidR="007A4AEE" w:rsidRPr="00E55352" w:rsidRDefault="007A4AEE" w:rsidP="007A4AEE">
            <w:pPr>
              <w:widowControl w:val="0"/>
              <w:tabs>
                <w:tab w:val="left" w:pos="510"/>
                <w:tab w:val="left" w:pos="1531"/>
                <w:tab w:val="left" w:pos="1814"/>
              </w:tabs>
              <w:suppressAutoHyphens/>
              <w:autoSpaceDE w:val="0"/>
              <w:autoSpaceDN w:val="0"/>
              <w:adjustRightInd w:val="0"/>
              <w:spacing w:before="40" w:line="260" w:lineRule="atLeast"/>
              <w:ind w:right="113"/>
              <w:textAlignment w:val="center"/>
              <w:rPr>
                <w:rFonts w:asciiTheme="majorBidi" w:hAnsiTheme="majorBidi" w:cstheme="majorBidi"/>
                <w:color w:val="000000"/>
                <w:sz w:val="20"/>
              </w:rPr>
            </w:pPr>
            <w:r w:rsidRPr="00E55352">
              <w:rPr>
                <w:color w:val="000000"/>
                <w:sz w:val="20"/>
              </w:rPr>
              <w:t>Czech Republic</w:t>
            </w:r>
          </w:p>
        </w:tc>
        <w:tc>
          <w:tcPr>
            <w:tcW w:w="1417" w:type="dxa"/>
            <w:shd w:val="clear" w:color="auto" w:fill="auto"/>
            <w:vAlign w:val="bottom"/>
          </w:tcPr>
          <w:p w14:paraId="5AE83C7F" w14:textId="1F58EFC9" w:rsidR="007A4AEE" w:rsidRPr="00440C55" w:rsidRDefault="007A4AEE" w:rsidP="007A4AEE">
            <w:pPr>
              <w:widowControl w:val="0"/>
              <w:tabs>
                <w:tab w:val="left" w:pos="510"/>
                <w:tab w:val="left" w:pos="1531"/>
                <w:tab w:val="left" w:pos="1814"/>
              </w:tabs>
              <w:suppressAutoHyphens/>
              <w:autoSpaceDE w:val="0"/>
              <w:autoSpaceDN w:val="0"/>
              <w:adjustRightInd w:val="0"/>
              <w:spacing w:before="40" w:line="260" w:lineRule="atLeast"/>
              <w:ind w:hanging="1418"/>
              <w:jc w:val="right"/>
              <w:textAlignment w:val="center"/>
              <w:rPr>
                <w:rFonts w:asciiTheme="majorBidi" w:hAnsiTheme="majorBidi" w:cstheme="majorBidi"/>
                <w:color w:val="000000"/>
                <w:sz w:val="20"/>
              </w:rPr>
            </w:pPr>
            <w:r w:rsidRPr="00440C55">
              <w:rPr>
                <w:rFonts w:asciiTheme="majorBidi" w:hAnsiTheme="majorBidi" w:cstheme="majorBidi"/>
                <w:color w:val="000000"/>
                <w:sz w:val="20"/>
              </w:rPr>
              <w:t>100.0</w:t>
            </w:r>
          </w:p>
        </w:tc>
        <w:tc>
          <w:tcPr>
            <w:tcW w:w="1417" w:type="dxa"/>
            <w:shd w:val="clear" w:color="auto" w:fill="auto"/>
            <w:vAlign w:val="bottom"/>
          </w:tcPr>
          <w:p w14:paraId="1A65AC68" w14:textId="4936C798" w:rsidR="007A4AEE" w:rsidRPr="00440C55" w:rsidRDefault="00181941" w:rsidP="007A4AEE">
            <w:pPr>
              <w:widowControl w:val="0"/>
              <w:tabs>
                <w:tab w:val="left" w:pos="510"/>
                <w:tab w:val="left" w:pos="1531"/>
                <w:tab w:val="left" w:pos="1814"/>
              </w:tabs>
              <w:suppressAutoHyphens/>
              <w:autoSpaceDE w:val="0"/>
              <w:autoSpaceDN w:val="0"/>
              <w:adjustRightInd w:val="0"/>
              <w:spacing w:before="40" w:line="260" w:lineRule="atLeast"/>
              <w:ind w:hanging="1418"/>
              <w:jc w:val="right"/>
              <w:textAlignment w:val="center"/>
              <w:rPr>
                <w:rFonts w:asciiTheme="majorBidi" w:hAnsiTheme="majorBidi" w:cstheme="majorBidi"/>
                <w:color w:val="000000"/>
                <w:sz w:val="20"/>
                <w:lang w:bidi="he-IL"/>
              </w:rPr>
            </w:pPr>
            <w:r>
              <w:rPr>
                <w:rFonts w:asciiTheme="majorBidi" w:hAnsiTheme="majorBidi" w:cstheme="majorBidi" w:hint="cs"/>
                <w:color w:val="000000"/>
                <w:sz w:val="20"/>
                <w:rtl/>
                <w:lang w:bidi="he-IL"/>
              </w:rPr>
              <w:t>100.0</w:t>
            </w:r>
          </w:p>
        </w:tc>
      </w:tr>
      <w:tr w:rsidR="007A4AEE" w:rsidRPr="00E55352" w14:paraId="505E5B22" w14:textId="77777777" w:rsidTr="005101BC">
        <w:trPr>
          <w:trHeight w:val="240"/>
        </w:trPr>
        <w:tc>
          <w:tcPr>
            <w:tcW w:w="4535" w:type="dxa"/>
            <w:shd w:val="clear" w:color="auto" w:fill="auto"/>
            <w:noWrap/>
            <w:vAlign w:val="bottom"/>
          </w:tcPr>
          <w:p w14:paraId="7F90040C" w14:textId="4DADD22D" w:rsidR="007A4AEE" w:rsidRPr="00E55352" w:rsidRDefault="007A4AEE" w:rsidP="007A4AEE">
            <w:pPr>
              <w:widowControl w:val="0"/>
              <w:tabs>
                <w:tab w:val="left" w:pos="510"/>
                <w:tab w:val="left" w:pos="1531"/>
                <w:tab w:val="left" w:pos="1814"/>
              </w:tabs>
              <w:suppressAutoHyphens/>
              <w:autoSpaceDE w:val="0"/>
              <w:autoSpaceDN w:val="0"/>
              <w:adjustRightInd w:val="0"/>
              <w:spacing w:before="40" w:line="260" w:lineRule="atLeast"/>
              <w:ind w:left="1418" w:right="113" w:hanging="1418"/>
              <w:textAlignment w:val="center"/>
              <w:rPr>
                <w:rFonts w:asciiTheme="majorBidi" w:eastAsia="Arial" w:hAnsiTheme="majorBidi" w:cstheme="majorBidi"/>
                <w:sz w:val="20"/>
              </w:rPr>
            </w:pPr>
            <w:proofErr w:type="spellStart"/>
            <w:r w:rsidRPr="007A4AEE">
              <w:rPr>
                <w:rFonts w:asciiTheme="majorBidi" w:eastAsia="Arial" w:hAnsiTheme="majorBidi" w:cstheme="majorBidi"/>
                <w:sz w:val="20"/>
              </w:rPr>
              <w:t>Kolbenova</w:t>
            </w:r>
            <w:proofErr w:type="spellEnd"/>
            <w:r w:rsidRPr="007A4AEE">
              <w:rPr>
                <w:rFonts w:asciiTheme="majorBidi" w:eastAsia="Arial" w:hAnsiTheme="majorBidi" w:cstheme="majorBidi"/>
                <w:sz w:val="20"/>
              </w:rPr>
              <w:t xml:space="preserve"> 2 Management </w:t>
            </w:r>
            <w:proofErr w:type="spellStart"/>
            <w:r w:rsidRPr="007A4AEE">
              <w:rPr>
                <w:rFonts w:asciiTheme="majorBidi" w:eastAsia="Arial" w:hAnsiTheme="majorBidi" w:cstheme="majorBidi"/>
                <w:sz w:val="20"/>
              </w:rPr>
              <w:t>s.r.o.</w:t>
            </w:r>
            <w:proofErr w:type="spellEnd"/>
            <w:r>
              <w:rPr>
                <w:rFonts w:asciiTheme="majorBidi" w:eastAsia="Arial" w:hAnsiTheme="majorBidi" w:cstheme="majorBidi"/>
                <w:sz w:val="20"/>
              </w:rPr>
              <w:t xml:space="preserve"> </w:t>
            </w:r>
            <w:r w:rsidR="005B42AB">
              <w:rPr>
                <w:rFonts w:asciiTheme="majorBidi" w:eastAsia="Arial" w:hAnsiTheme="majorBidi" w:cstheme="majorBidi"/>
                <w:sz w:val="20"/>
              </w:rPr>
              <w:t>(4)</w:t>
            </w:r>
          </w:p>
        </w:tc>
        <w:tc>
          <w:tcPr>
            <w:tcW w:w="2268" w:type="dxa"/>
            <w:shd w:val="clear" w:color="auto" w:fill="auto"/>
            <w:vAlign w:val="bottom"/>
          </w:tcPr>
          <w:p w14:paraId="52F849C7" w14:textId="6CCFF768" w:rsidR="007A4AEE" w:rsidRPr="00E55352" w:rsidRDefault="007A4AEE" w:rsidP="007A4AEE">
            <w:pPr>
              <w:widowControl w:val="0"/>
              <w:tabs>
                <w:tab w:val="left" w:pos="510"/>
                <w:tab w:val="left" w:pos="1531"/>
                <w:tab w:val="left" w:pos="1814"/>
              </w:tabs>
              <w:suppressAutoHyphens/>
              <w:autoSpaceDE w:val="0"/>
              <w:autoSpaceDN w:val="0"/>
              <w:adjustRightInd w:val="0"/>
              <w:spacing w:before="40" w:line="260" w:lineRule="atLeast"/>
              <w:ind w:right="113"/>
              <w:textAlignment w:val="center"/>
              <w:rPr>
                <w:rFonts w:asciiTheme="majorBidi" w:hAnsiTheme="majorBidi" w:cstheme="majorBidi"/>
                <w:color w:val="000000"/>
                <w:sz w:val="20"/>
              </w:rPr>
            </w:pPr>
            <w:r w:rsidRPr="00E55352">
              <w:rPr>
                <w:color w:val="000000"/>
                <w:sz w:val="20"/>
              </w:rPr>
              <w:t>Czech Republic</w:t>
            </w:r>
          </w:p>
        </w:tc>
        <w:tc>
          <w:tcPr>
            <w:tcW w:w="1417" w:type="dxa"/>
            <w:shd w:val="clear" w:color="auto" w:fill="auto"/>
            <w:vAlign w:val="bottom"/>
          </w:tcPr>
          <w:p w14:paraId="1A33363B" w14:textId="01534C31" w:rsidR="007A4AEE" w:rsidRPr="00440C55" w:rsidRDefault="007A4AEE" w:rsidP="007A4AEE">
            <w:pPr>
              <w:widowControl w:val="0"/>
              <w:tabs>
                <w:tab w:val="left" w:pos="510"/>
                <w:tab w:val="left" w:pos="1531"/>
                <w:tab w:val="left" w:pos="1814"/>
              </w:tabs>
              <w:suppressAutoHyphens/>
              <w:autoSpaceDE w:val="0"/>
              <w:autoSpaceDN w:val="0"/>
              <w:adjustRightInd w:val="0"/>
              <w:spacing w:before="40" w:line="260" w:lineRule="atLeast"/>
              <w:ind w:hanging="1418"/>
              <w:jc w:val="right"/>
              <w:textAlignment w:val="center"/>
              <w:rPr>
                <w:rFonts w:asciiTheme="majorBidi" w:hAnsiTheme="majorBidi" w:cstheme="majorBidi"/>
                <w:color w:val="000000"/>
                <w:sz w:val="20"/>
              </w:rPr>
            </w:pPr>
            <w:r w:rsidRPr="00440C55">
              <w:rPr>
                <w:rFonts w:asciiTheme="majorBidi" w:hAnsiTheme="majorBidi" w:cstheme="majorBidi"/>
                <w:color w:val="000000"/>
                <w:sz w:val="20"/>
              </w:rPr>
              <w:t>100.0</w:t>
            </w:r>
          </w:p>
        </w:tc>
        <w:tc>
          <w:tcPr>
            <w:tcW w:w="1417" w:type="dxa"/>
            <w:shd w:val="clear" w:color="auto" w:fill="auto"/>
            <w:vAlign w:val="bottom"/>
          </w:tcPr>
          <w:p w14:paraId="39B42E3B" w14:textId="50AD45EA" w:rsidR="007A4AEE" w:rsidRPr="00440C55" w:rsidRDefault="00181941" w:rsidP="007A4AEE">
            <w:pPr>
              <w:widowControl w:val="0"/>
              <w:tabs>
                <w:tab w:val="left" w:pos="510"/>
                <w:tab w:val="left" w:pos="1531"/>
                <w:tab w:val="left" w:pos="1814"/>
              </w:tabs>
              <w:suppressAutoHyphens/>
              <w:autoSpaceDE w:val="0"/>
              <w:autoSpaceDN w:val="0"/>
              <w:adjustRightInd w:val="0"/>
              <w:spacing w:before="40" w:line="260" w:lineRule="atLeast"/>
              <w:ind w:hanging="1418"/>
              <w:jc w:val="right"/>
              <w:textAlignment w:val="center"/>
              <w:rPr>
                <w:rFonts w:asciiTheme="majorBidi" w:hAnsiTheme="majorBidi" w:cstheme="majorBidi"/>
                <w:color w:val="000000"/>
                <w:sz w:val="20"/>
                <w:lang w:bidi="he-IL"/>
              </w:rPr>
            </w:pPr>
            <w:r>
              <w:rPr>
                <w:rFonts w:asciiTheme="majorBidi" w:hAnsiTheme="majorBidi" w:cstheme="majorBidi" w:hint="cs"/>
                <w:color w:val="000000"/>
                <w:sz w:val="20"/>
                <w:rtl/>
                <w:lang w:bidi="he-IL"/>
              </w:rPr>
              <w:t>100.0</w:t>
            </w:r>
          </w:p>
        </w:tc>
      </w:tr>
      <w:tr w:rsidR="00181941" w:rsidRPr="00E55352" w14:paraId="613E03C6" w14:textId="77777777" w:rsidTr="005101BC">
        <w:trPr>
          <w:trHeight w:val="240"/>
        </w:trPr>
        <w:tc>
          <w:tcPr>
            <w:tcW w:w="4535" w:type="dxa"/>
            <w:shd w:val="clear" w:color="auto" w:fill="auto"/>
            <w:noWrap/>
            <w:vAlign w:val="bottom"/>
          </w:tcPr>
          <w:p w14:paraId="2BEBDF8E" w14:textId="7B1AE8DB" w:rsidR="00181941" w:rsidRPr="00E55352" w:rsidRDefault="00181941" w:rsidP="00181941">
            <w:pPr>
              <w:widowControl w:val="0"/>
              <w:tabs>
                <w:tab w:val="left" w:pos="510"/>
                <w:tab w:val="left" w:pos="1531"/>
                <w:tab w:val="left" w:pos="1814"/>
              </w:tabs>
              <w:suppressAutoHyphens/>
              <w:autoSpaceDE w:val="0"/>
              <w:autoSpaceDN w:val="0"/>
              <w:adjustRightInd w:val="0"/>
              <w:spacing w:before="40" w:line="260" w:lineRule="atLeast"/>
              <w:ind w:left="1418" w:right="113" w:hanging="1418"/>
              <w:textAlignment w:val="center"/>
              <w:rPr>
                <w:rFonts w:asciiTheme="majorBidi" w:eastAsia="Arial" w:hAnsiTheme="majorBidi" w:cstheme="majorBidi"/>
                <w:sz w:val="20"/>
              </w:rPr>
            </w:pPr>
            <w:r w:rsidRPr="00E55352">
              <w:rPr>
                <w:rFonts w:asciiTheme="majorBidi" w:eastAsia="Arial" w:hAnsiTheme="majorBidi" w:cstheme="majorBidi"/>
                <w:sz w:val="20"/>
              </w:rPr>
              <w:t>T</w:t>
            </w:r>
            <w:r>
              <w:rPr>
                <w:rFonts w:asciiTheme="majorBidi" w:eastAsia="Arial" w:hAnsiTheme="majorBidi" w:cstheme="majorBidi"/>
                <w:sz w:val="20"/>
              </w:rPr>
              <w:t>S</w:t>
            </w:r>
            <w:r w:rsidRPr="00E55352">
              <w:rPr>
                <w:rFonts w:asciiTheme="majorBidi" w:eastAsia="Arial" w:hAnsiTheme="majorBidi" w:cstheme="majorBidi"/>
                <w:sz w:val="20"/>
              </w:rPr>
              <w:t xml:space="preserve"> 4 Rent </w:t>
            </w:r>
            <w:proofErr w:type="spellStart"/>
            <w:r w:rsidRPr="00E55352">
              <w:rPr>
                <w:rFonts w:asciiTheme="majorBidi" w:eastAsia="Arial" w:hAnsiTheme="majorBidi" w:cstheme="majorBidi"/>
                <w:sz w:val="20"/>
              </w:rPr>
              <w:t>s.r.o.</w:t>
            </w:r>
            <w:proofErr w:type="spellEnd"/>
            <w:r>
              <w:rPr>
                <w:rFonts w:asciiTheme="majorBidi" w:eastAsia="Arial" w:hAnsiTheme="majorBidi" w:cstheme="majorBidi"/>
                <w:sz w:val="20"/>
              </w:rPr>
              <w:t xml:space="preserve"> (4)</w:t>
            </w:r>
          </w:p>
        </w:tc>
        <w:tc>
          <w:tcPr>
            <w:tcW w:w="2268" w:type="dxa"/>
            <w:shd w:val="clear" w:color="auto" w:fill="auto"/>
            <w:vAlign w:val="bottom"/>
          </w:tcPr>
          <w:p w14:paraId="12EC0A94" w14:textId="13323BD3" w:rsidR="00181941" w:rsidRPr="00E55352" w:rsidRDefault="00181941" w:rsidP="00181941">
            <w:pPr>
              <w:widowControl w:val="0"/>
              <w:tabs>
                <w:tab w:val="left" w:pos="510"/>
                <w:tab w:val="left" w:pos="1531"/>
                <w:tab w:val="left" w:pos="1814"/>
              </w:tabs>
              <w:suppressAutoHyphens/>
              <w:autoSpaceDE w:val="0"/>
              <w:autoSpaceDN w:val="0"/>
              <w:adjustRightInd w:val="0"/>
              <w:spacing w:before="40" w:line="260" w:lineRule="atLeast"/>
              <w:ind w:right="113"/>
              <w:textAlignment w:val="center"/>
              <w:rPr>
                <w:rFonts w:asciiTheme="majorBidi" w:hAnsiTheme="majorBidi" w:cstheme="majorBidi"/>
                <w:color w:val="000000"/>
                <w:sz w:val="20"/>
              </w:rPr>
            </w:pPr>
            <w:r w:rsidRPr="00E55352">
              <w:rPr>
                <w:color w:val="000000"/>
                <w:sz w:val="20"/>
              </w:rPr>
              <w:t>Czech Republic</w:t>
            </w:r>
          </w:p>
        </w:tc>
        <w:tc>
          <w:tcPr>
            <w:tcW w:w="1417" w:type="dxa"/>
            <w:shd w:val="clear" w:color="auto" w:fill="auto"/>
            <w:vAlign w:val="bottom"/>
          </w:tcPr>
          <w:p w14:paraId="045E87E4" w14:textId="092DC6E7" w:rsidR="00181941" w:rsidRPr="00440C55" w:rsidRDefault="00181941" w:rsidP="00181941">
            <w:pPr>
              <w:widowControl w:val="0"/>
              <w:tabs>
                <w:tab w:val="left" w:pos="510"/>
                <w:tab w:val="left" w:pos="1531"/>
                <w:tab w:val="left" w:pos="1814"/>
              </w:tabs>
              <w:suppressAutoHyphens/>
              <w:autoSpaceDE w:val="0"/>
              <w:autoSpaceDN w:val="0"/>
              <w:adjustRightInd w:val="0"/>
              <w:spacing w:before="40" w:line="260" w:lineRule="atLeast"/>
              <w:ind w:hanging="1418"/>
              <w:jc w:val="right"/>
              <w:textAlignment w:val="center"/>
              <w:rPr>
                <w:rFonts w:asciiTheme="majorBidi" w:hAnsiTheme="majorBidi" w:cstheme="majorBidi"/>
                <w:color w:val="000000"/>
                <w:sz w:val="20"/>
              </w:rPr>
            </w:pPr>
            <w:r w:rsidRPr="00154B2D">
              <w:rPr>
                <w:rFonts w:asciiTheme="majorBidi" w:hAnsiTheme="majorBidi" w:cstheme="majorBidi"/>
                <w:color w:val="000000"/>
                <w:sz w:val="20"/>
              </w:rPr>
              <w:t>100.0</w:t>
            </w:r>
          </w:p>
        </w:tc>
        <w:tc>
          <w:tcPr>
            <w:tcW w:w="1417" w:type="dxa"/>
            <w:shd w:val="clear" w:color="auto" w:fill="auto"/>
            <w:vAlign w:val="bottom"/>
          </w:tcPr>
          <w:p w14:paraId="398FEB2E" w14:textId="6F29E490" w:rsidR="00181941" w:rsidRPr="00440C55" w:rsidRDefault="00901835" w:rsidP="00181941">
            <w:pPr>
              <w:widowControl w:val="0"/>
              <w:tabs>
                <w:tab w:val="left" w:pos="510"/>
                <w:tab w:val="left" w:pos="1531"/>
                <w:tab w:val="left" w:pos="1814"/>
              </w:tabs>
              <w:suppressAutoHyphens/>
              <w:autoSpaceDE w:val="0"/>
              <w:autoSpaceDN w:val="0"/>
              <w:adjustRightInd w:val="0"/>
              <w:spacing w:before="40" w:line="260" w:lineRule="atLeast"/>
              <w:ind w:hanging="1418"/>
              <w:jc w:val="right"/>
              <w:textAlignment w:val="center"/>
              <w:rPr>
                <w:rFonts w:asciiTheme="majorBidi" w:hAnsiTheme="majorBidi" w:cstheme="majorBidi"/>
                <w:color w:val="000000"/>
                <w:sz w:val="20"/>
              </w:rPr>
            </w:pPr>
            <w:r>
              <w:rPr>
                <w:rFonts w:asciiTheme="majorBidi" w:hAnsiTheme="majorBidi" w:cstheme="majorBidi"/>
                <w:color w:val="000000"/>
                <w:sz w:val="20"/>
              </w:rPr>
              <w:t>-</w:t>
            </w:r>
          </w:p>
        </w:tc>
      </w:tr>
      <w:tr w:rsidR="00181941" w:rsidRPr="00E55352" w14:paraId="75A8F212" w14:textId="77777777" w:rsidTr="005101BC">
        <w:trPr>
          <w:trHeight w:val="240"/>
        </w:trPr>
        <w:tc>
          <w:tcPr>
            <w:tcW w:w="4535" w:type="dxa"/>
            <w:shd w:val="clear" w:color="auto" w:fill="auto"/>
            <w:noWrap/>
            <w:vAlign w:val="bottom"/>
          </w:tcPr>
          <w:p w14:paraId="1391BC98" w14:textId="101205B3" w:rsidR="00181941" w:rsidRPr="00E55352" w:rsidRDefault="00181941" w:rsidP="00181941">
            <w:pPr>
              <w:widowControl w:val="0"/>
              <w:tabs>
                <w:tab w:val="left" w:pos="510"/>
                <w:tab w:val="left" w:pos="1531"/>
                <w:tab w:val="left" w:pos="1814"/>
              </w:tabs>
              <w:suppressAutoHyphens/>
              <w:autoSpaceDE w:val="0"/>
              <w:autoSpaceDN w:val="0"/>
              <w:adjustRightInd w:val="0"/>
              <w:spacing w:before="40" w:line="260" w:lineRule="atLeast"/>
              <w:ind w:left="1418" w:right="113" w:hanging="1418"/>
              <w:textAlignment w:val="center"/>
              <w:rPr>
                <w:rFonts w:asciiTheme="majorBidi" w:eastAsia="Arial" w:hAnsiTheme="majorBidi" w:cstheme="majorBidi"/>
                <w:sz w:val="20"/>
              </w:rPr>
            </w:pPr>
            <w:proofErr w:type="spellStart"/>
            <w:r w:rsidRPr="00E55352">
              <w:rPr>
                <w:rFonts w:asciiTheme="majorBidi" w:eastAsia="Arial" w:hAnsiTheme="majorBidi" w:cstheme="majorBidi"/>
                <w:sz w:val="20"/>
              </w:rPr>
              <w:t>Intrastar</w:t>
            </w:r>
            <w:proofErr w:type="spellEnd"/>
            <w:r w:rsidRPr="00E55352">
              <w:rPr>
                <w:rFonts w:asciiTheme="majorBidi" w:eastAsia="Arial" w:hAnsiTheme="majorBidi" w:cstheme="majorBidi"/>
                <w:sz w:val="20"/>
              </w:rPr>
              <w:t xml:space="preserve"> International Ltd. (</w:t>
            </w:r>
            <w:r w:rsidRPr="00E55352">
              <w:rPr>
                <w:rFonts w:asciiTheme="majorBidi" w:eastAsia="Arial" w:hAnsiTheme="majorBidi" w:cstheme="majorBidi" w:hint="cs"/>
                <w:sz w:val="20"/>
                <w:rtl/>
                <w:lang w:bidi="he-IL"/>
              </w:rPr>
              <w:t>1</w:t>
            </w:r>
            <w:r w:rsidRPr="00E55352">
              <w:rPr>
                <w:rFonts w:asciiTheme="majorBidi" w:eastAsia="Arial" w:hAnsiTheme="majorBidi" w:cstheme="majorBidi"/>
                <w:sz w:val="20"/>
              </w:rPr>
              <w:t>)</w:t>
            </w:r>
          </w:p>
        </w:tc>
        <w:tc>
          <w:tcPr>
            <w:tcW w:w="2268" w:type="dxa"/>
            <w:shd w:val="clear" w:color="auto" w:fill="auto"/>
            <w:vAlign w:val="bottom"/>
          </w:tcPr>
          <w:p w14:paraId="58FCC292" w14:textId="1E714FF0" w:rsidR="00181941" w:rsidRPr="00E55352" w:rsidRDefault="00181941" w:rsidP="00181941">
            <w:pPr>
              <w:widowControl w:val="0"/>
              <w:tabs>
                <w:tab w:val="left" w:pos="510"/>
                <w:tab w:val="left" w:pos="1531"/>
                <w:tab w:val="left" w:pos="1814"/>
              </w:tabs>
              <w:suppressAutoHyphens/>
              <w:autoSpaceDE w:val="0"/>
              <w:autoSpaceDN w:val="0"/>
              <w:adjustRightInd w:val="0"/>
              <w:spacing w:before="40" w:line="260" w:lineRule="atLeast"/>
              <w:ind w:right="113"/>
              <w:textAlignment w:val="center"/>
              <w:rPr>
                <w:rFonts w:asciiTheme="majorBidi" w:hAnsiTheme="majorBidi" w:cstheme="majorBidi"/>
                <w:color w:val="000000"/>
                <w:sz w:val="20"/>
              </w:rPr>
            </w:pPr>
            <w:r w:rsidRPr="00E55352">
              <w:rPr>
                <w:rFonts w:asciiTheme="majorBidi" w:hAnsiTheme="majorBidi" w:cstheme="majorBidi"/>
                <w:color w:val="000000"/>
                <w:sz w:val="20"/>
              </w:rPr>
              <w:t>British Virgin Islands</w:t>
            </w:r>
          </w:p>
        </w:tc>
        <w:tc>
          <w:tcPr>
            <w:tcW w:w="1417" w:type="dxa"/>
            <w:shd w:val="clear" w:color="auto" w:fill="auto"/>
            <w:vAlign w:val="bottom"/>
          </w:tcPr>
          <w:p w14:paraId="73C15372" w14:textId="458064FC" w:rsidR="00181941" w:rsidRPr="00154B2D" w:rsidRDefault="00181941" w:rsidP="00181941">
            <w:pPr>
              <w:widowControl w:val="0"/>
              <w:tabs>
                <w:tab w:val="left" w:pos="510"/>
                <w:tab w:val="left" w:pos="1531"/>
                <w:tab w:val="left" w:pos="1814"/>
              </w:tabs>
              <w:suppressAutoHyphens/>
              <w:autoSpaceDE w:val="0"/>
              <w:autoSpaceDN w:val="0"/>
              <w:adjustRightInd w:val="0"/>
              <w:spacing w:before="40" w:line="260" w:lineRule="atLeast"/>
              <w:ind w:hanging="1418"/>
              <w:jc w:val="right"/>
              <w:textAlignment w:val="center"/>
              <w:rPr>
                <w:rFonts w:asciiTheme="majorBidi" w:hAnsiTheme="majorBidi" w:cstheme="majorBidi"/>
                <w:color w:val="000000"/>
                <w:sz w:val="20"/>
              </w:rPr>
            </w:pPr>
            <w:r w:rsidRPr="00440C55">
              <w:rPr>
                <w:rFonts w:asciiTheme="majorBidi" w:hAnsiTheme="majorBidi" w:cstheme="majorBidi"/>
                <w:color w:val="000000"/>
                <w:sz w:val="20"/>
              </w:rPr>
              <w:t>100.0</w:t>
            </w:r>
          </w:p>
        </w:tc>
        <w:tc>
          <w:tcPr>
            <w:tcW w:w="1417" w:type="dxa"/>
            <w:shd w:val="clear" w:color="auto" w:fill="auto"/>
            <w:vAlign w:val="bottom"/>
          </w:tcPr>
          <w:p w14:paraId="5AAB38A5" w14:textId="10D9BA4E" w:rsidR="00181941" w:rsidRPr="00E55352" w:rsidRDefault="00181941" w:rsidP="00181941">
            <w:pPr>
              <w:widowControl w:val="0"/>
              <w:tabs>
                <w:tab w:val="left" w:pos="510"/>
                <w:tab w:val="left" w:pos="1531"/>
                <w:tab w:val="left" w:pos="1814"/>
              </w:tabs>
              <w:suppressAutoHyphens/>
              <w:autoSpaceDE w:val="0"/>
              <w:autoSpaceDN w:val="0"/>
              <w:adjustRightInd w:val="0"/>
              <w:spacing w:before="40" w:line="260" w:lineRule="atLeast"/>
              <w:ind w:hanging="1418"/>
              <w:jc w:val="right"/>
              <w:textAlignment w:val="center"/>
              <w:rPr>
                <w:rFonts w:asciiTheme="majorBidi" w:hAnsiTheme="majorBidi" w:cstheme="majorBidi"/>
                <w:color w:val="000000"/>
                <w:sz w:val="20"/>
              </w:rPr>
            </w:pPr>
            <w:r w:rsidRPr="00440C55">
              <w:rPr>
                <w:rFonts w:asciiTheme="majorBidi" w:hAnsiTheme="majorBidi" w:cstheme="majorBidi"/>
                <w:color w:val="000000"/>
                <w:sz w:val="20"/>
              </w:rPr>
              <w:t>100.0</w:t>
            </w:r>
          </w:p>
        </w:tc>
      </w:tr>
      <w:tr w:rsidR="00181941" w:rsidRPr="00E55352" w14:paraId="42B1A256" w14:textId="77777777" w:rsidTr="005101BC">
        <w:trPr>
          <w:trHeight w:val="230"/>
        </w:trPr>
        <w:tc>
          <w:tcPr>
            <w:tcW w:w="4535" w:type="dxa"/>
            <w:shd w:val="clear" w:color="auto" w:fill="auto"/>
            <w:noWrap/>
            <w:vAlign w:val="bottom"/>
          </w:tcPr>
          <w:p w14:paraId="5E031F5C" w14:textId="58F814A4" w:rsidR="00181941" w:rsidRPr="00E55352" w:rsidRDefault="00181941" w:rsidP="00181941">
            <w:pPr>
              <w:widowControl w:val="0"/>
              <w:tabs>
                <w:tab w:val="left" w:pos="510"/>
                <w:tab w:val="left" w:pos="1531"/>
                <w:tab w:val="left" w:pos="1814"/>
              </w:tabs>
              <w:suppressAutoHyphens/>
              <w:autoSpaceDE w:val="0"/>
              <w:autoSpaceDN w:val="0"/>
              <w:adjustRightInd w:val="0"/>
              <w:spacing w:before="40" w:line="260" w:lineRule="atLeast"/>
              <w:ind w:left="1418" w:right="113" w:hanging="1418"/>
              <w:textAlignment w:val="center"/>
              <w:rPr>
                <w:rFonts w:asciiTheme="majorBidi" w:eastAsia="Arial" w:hAnsiTheme="majorBidi" w:cstheme="majorBidi"/>
                <w:sz w:val="20"/>
              </w:rPr>
            </w:pPr>
            <w:r w:rsidRPr="00E55352">
              <w:rPr>
                <w:rFonts w:asciiTheme="majorBidi" w:eastAsia="Arial" w:hAnsiTheme="majorBidi" w:cstheme="majorBidi"/>
                <w:sz w:val="20"/>
              </w:rPr>
              <w:t>Galway Consolidated Ltd. (</w:t>
            </w:r>
            <w:r w:rsidRPr="00E55352">
              <w:rPr>
                <w:rFonts w:asciiTheme="majorBidi" w:eastAsia="Arial" w:hAnsiTheme="majorBidi" w:cstheme="majorBidi" w:hint="cs"/>
                <w:sz w:val="20"/>
                <w:rtl/>
                <w:lang w:bidi="he-IL"/>
              </w:rPr>
              <w:t>1</w:t>
            </w:r>
            <w:r w:rsidRPr="00E55352">
              <w:rPr>
                <w:rFonts w:asciiTheme="majorBidi" w:eastAsia="Arial" w:hAnsiTheme="majorBidi" w:cstheme="majorBidi"/>
                <w:sz w:val="20"/>
              </w:rPr>
              <w:t>)</w:t>
            </w:r>
          </w:p>
        </w:tc>
        <w:tc>
          <w:tcPr>
            <w:tcW w:w="2268" w:type="dxa"/>
            <w:shd w:val="clear" w:color="auto" w:fill="auto"/>
            <w:vAlign w:val="bottom"/>
          </w:tcPr>
          <w:p w14:paraId="38D6F1E0" w14:textId="0EAB93DE" w:rsidR="00181941" w:rsidRPr="00E55352" w:rsidRDefault="00181941" w:rsidP="00181941">
            <w:pPr>
              <w:widowControl w:val="0"/>
              <w:tabs>
                <w:tab w:val="left" w:pos="510"/>
                <w:tab w:val="left" w:pos="1531"/>
                <w:tab w:val="left" w:pos="1814"/>
              </w:tabs>
              <w:suppressAutoHyphens/>
              <w:autoSpaceDE w:val="0"/>
              <w:autoSpaceDN w:val="0"/>
              <w:adjustRightInd w:val="0"/>
              <w:spacing w:before="40" w:line="260" w:lineRule="atLeast"/>
              <w:ind w:right="113"/>
              <w:textAlignment w:val="center"/>
              <w:rPr>
                <w:rFonts w:asciiTheme="majorBidi" w:hAnsiTheme="majorBidi" w:cstheme="majorBidi"/>
                <w:color w:val="000000"/>
                <w:sz w:val="20"/>
              </w:rPr>
            </w:pPr>
            <w:r w:rsidRPr="00E55352">
              <w:rPr>
                <w:rFonts w:asciiTheme="majorBidi" w:hAnsiTheme="majorBidi" w:cstheme="majorBidi"/>
                <w:color w:val="000000"/>
                <w:sz w:val="20"/>
              </w:rPr>
              <w:t>British Virgin</w:t>
            </w:r>
            <w:r>
              <w:rPr>
                <w:rFonts w:asciiTheme="majorBidi" w:hAnsiTheme="majorBidi" w:cstheme="majorBidi"/>
                <w:color w:val="000000"/>
                <w:sz w:val="20"/>
              </w:rPr>
              <w:t xml:space="preserve"> </w:t>
            </w:r>
            <w:r w:rsidRPr="00E55352">
              <w:rPr>
                <w:rFonts w:asciiTheme="majorBidi" w:hAnsiTheme="majorBidi" w:cstheme="majorBidi"/>
                <w:color w:val="000000"/>
                <w:sz w:val="20"/>
              </w:rPr>
              <w:t>Islands</w:t>
            </w:r>
          </w:p>
        </w:tc>
        <w:tc>
          <w:tcPr>
            <w:tcW w:w="1417" w:type="dxa"/>
            <w:shd w:val="clear" w:color="auto" w:fill="auto"/>
            <w:vAlign w:val="bottom"/>
          </w:tcPr>
          <w:p w14:paraId="2909F5F8" w14:textId="69AEFA13" w:rsidR="00181941" w:rsidRPr="00154B2D" w:rsidRDefault="00181941" w:rsidP="00181941">
            <w:pPr>
              <w:widowControl w:val="0"/>
              <w:tabs>
                <w:tab w:val="left" w:pos="510"/>
                <w:tab w:val="left" w:pos="1531"/>
                <w:tab w:val="left" w:pos="1814"/>
              </w:tabs>
              <w:suppressAutoHyphens/>
              <w:autoSpaceDE w:val="0"/>
              <w:autoSpaceDN w:val="0"/>
              <w:adjustRightInd w:val="0"/>
              <w:spacing w:before="40" w:line="260" w:lineRule="atLeast"/>
              <w:ind w:hanging="1418"/>
              <w:jc w:val="right"/>
              <w:textAlignment w:val="center"/>
              <w:rPr>
                <w:rFonts w:asciiTheme="majorBidi" w:hAnsiTheme="majorBidi" w:cstheme="majorBidi"/>
                <w:color w:val="000000"/>
                <w:sz w:val="20"/>
              </w:rPr>
            </w:pPr>
            <w:r w:rsidRPr="00440C55">
              <w:rPr>
                <w:rFonts w:asciiTheme="majorBidi" w:hAnsiTheme="majorBidi" w:cstheme="majorBidi"/>
                <w:color w:val="000000"/>
                <w:sz w:val="20"/>
              </w:rPr>
              <w:t>100.0</w:t>
            </w:r>
          </w:p>
        </w:tc>
        <w:tc>
          <w:tcPr>
            <w:tcW w:w="1417" w:type="dxa"/>
            <w:shd w:val="clear" w:color="auto" w:fill="auto"/>
            <w:vAlign w:val="bottom"/>
          </w:tcPr>
          <w:p w14:paraId="7E2DEB87" w14:textId="4F894F0C" w:rsidR="00181941" w:rsidRPr="00E55352" w:rsidRDefault="00181941" w:rsidP="00181941">
            <w:pPr>
              <w:widowControl w:val="0"/>
              <w:tabs>
                <w:tab w:val="left" w:pos="510"/>
                <w:tab w:val="left" w:pos="1531"/>
                <w:tab w:val="left" w:pos="1814"/>
              </w:tabs>
              <w:suppressAutoHyphens/>
              <w:autoSpaceDE w:val="0"/>
              <w:autoSpaceDN w:val="0"/>
              <w:adjustRightInd w:val="0"/>
              <w:spacing w:before="40" w:line="260" w:lineRule="atLeast"/>
              <w:ind w:hanging="1418"/>
              <w:jc w:val="right"/>
              <w:textAlignment w:val="center"/>
              <w:rPr>
                <w:rFonts w:asciiTheme="majorBidi" w:hAnsiTheme="majorBidi" w:cstheme="majorBidi"/>
                <w:color w:val="000000"/>
                <w:sz w:val="20"/>
              </w:rPr>
            </w:pPr>
            <w:r w:rsidRPr="00440C55">
              <w:rPr>
                <w:rFonts w:asciiTheme="majorBidi" w:hAnsiTheme="majorBidi" w:cstheme="majorBidi"/>
                <w:color w:val="000000"/>
                <w:sz w:val="20"/>
              </w:rPr>
              <w:t>100.0</w:t>
            </w:r>
          </w:p>
        </w:tc>
      </w:tr>
      <w:tr w:rsidR="00181941" w:rsidRPr="00E55352" w14:paraId="70A51697" w14:textId="77777777" w:rsidTr="005101BC">
        <w:trPr>
          <w:trHeight w:val="240"/>
        </w:trPr>
        <w:tc>
          <w:tcPr>
            <w:tcW w:w="4535" w:type="dxa"/>
            <w:shd w:val="clear" w:color="auto" w:fill="auto"/>
            <w:noWrap/>
            <w:vAlign w:val="bottom"/>
          </w:tcPr>
          <w:p w14:paraId="33ADA6AB" w14:textId="1F8DF0C2" w:rsidR="00181941" w:rsidRPr="00E55352" w:rsidRDefault="00181941" w:rsidP="00181941">
            <w:pPr>
              <w:widowControl w:val="0"/>
              <w:tabs>
                <w:tab w:val="left" w:pos="510"/>
                <w:tab w:val="left" w:pos="1531"/>
                <w:tab w:val="left" w:pos="1814"/>
              </w:tabs>
              <w:suppressAutoHyphens/>
              <w:autoSpaceDE w:val="0"/>
              <w:autoSpaceDN w:val="0"/>
              <w:adjustRightInd w:val="0"/>
              <w:spacing w:before="40" w:line="260" w:lineRule="atLeast"/>
              <w:ind w:left="1418" w:right="113" w:hanging="1418"/>
              <w:textAlignment w:val="center"/>
              <w:rPr>
                <w:rFonts w:asciiTheme="majorBidi" w:eastAsia="Arial" w:hAnsiTheme="majorBidi" w:cstheme="majorBidi"/>
                <w:sz w:val="20"/>
              </w:rPr>
            </w:pPr>
            <w:r w:rsidRPr="00711826">
              <w:rPr>
                <w:rFonts w:asciiTheme="majorBidi" w:eastAsia="Arial" w:hAnsiTheme="majorBidi" w:cstheme="majorBidi"/>
                <w:sz w:val="20"/>
              </w:rPr>
              <w:t>Airport City d.o.o. (1)</w:t>
            </w:r>
          </w:p>
        </w:tc>
        <w:tc>
          <w:tcPr>
            <w:tcW w:w="2268" w:type="dxa"/>
            <w:shd w:val="clear" w:color="auto" w:fill="auto"/>
            <w:vAlign w:val="bottom"/>
          </w:tcPr>
          <w:p w14:paraId="27DFB767" w14:textId="2359FB0D" w:rsidR="00181941" w:rsidRPr="00E55352" w:rsidRDefault="00181941" w:rsidP="00181941">
            <w:pPr>
              <w:widowControl w:val="0"/>
              <w:tabs>
                <w:tab w:val="left" w:pos="510"/>
                <w:tab w:val="left" w:pos="1531"/>
                <w:tab w:val="left" w:pos="1814"/>
              </w:tabs>
              <w:suppressAutoHyphens/>
              <w:autoSpaceDE w:val="0"/>
              <w:autoSpaceDN w:val="0"/>
              <w:adjustRightInd w:val="0"/>
              <w:spacing w:before="40" w:line="260" w:lineRule="atLeast"/>
              <w:ind w:right="113"/>
              <w:textAlignment w:val="center"/>
              <w:rPr>
                <w:rFonts w:asciiTheme="majorBidi" w:hAnsiTheme="majorBidi" w:cstheme="majorBidi"/>
                <w:color w:val="000000"/>
                <w:sz w:val="20"/>
              </w:rPr>
            </w:pPr>
            <w:r w:rsidRPr="00E55352">
              <w:rPr>
                <w:rFonts w:asciiTheme="majorBidi" w:hAnsiTheme="majorBidi" w:cstheme="majorBidi"/>
                <w:color w:val="000000"/>
                <w:sz w:val="20"/>
              </w:rPr>
              <w:t>Serbia</w:t>
            </w:r>
          </w:p>
        </w:tc>
        <w:tc>
          <w:tcPr>
            <w:tcW w:w="1417" w:type="dxa"/>
            <w:shd w:val="clear" w:color="auto" w:fill="auto"/>
            <w:vAlign w:val="bottom"/>
          </w:tcPr>
          <w:p w14:paraId="4C8BB69F" w14:textId="78BCA5A2" w:rsidR="00181941" w:rsidRPr="00154B2D" w:rsidRDefault="00181941" w:rsidP="00181941">
            <w:pPr>
              <w:widowControl w:val="0"/>
              <w:tabs>
                <w:tab w:val="left" w:pos="510"/>
                <w:tab w:val="left" w:pos="1531"/>
                <w:tab w:val="left" w:pos="1814"/>
              </w:tabs>
              <w:suppressAutoHyphens/>
              <w:autoSpaceDE w:val="0"/>
              <w:autoSpaceDN w:val="0"/>
              <w:adjustRightInd w:val="0"/>
              <w:spacing w:before="40" w:line="260" w:lineRule="atLeast"/>
              <w:ind w:hanging="1418"/>
              <w:jc w:val="right"/>
              <w:textAlignment w:val="center"/>
              <w:rPr>
                <w:rFonts w:asciiTheme="majorBidi" w:hAnsiTheme="majorBidi" w:cstheme="majorBidi"/>
                <w:color w:val="000000"/>
                <w:sz w:val="20"/>
              </w:rPr>
            </w:pPr>
            <w:r w:rsidRPr="00440C55">
              <w:rPr>
                <w:rFonts w:asciiTheme="majorBidi" w:hAnsiTheme="majorBidi" w:cstheme="majorBidi"/>
                <w:color w:val="000000"/>
                <w:sz w:val="20"/>
              </w:rPr>
              <w:t>100.0</w:t>
            </w:r>
          </w:p>
        </w:tc>
        <w:tc>
          <w:tcPr>
            <w:tcW w:w="1417" w:type="dxa"/>
            <w:shd w:val="clear" w:color="auto" w:fill="auto"/>
            <w:vAlign w:val="bottom"/>
          </w:tcPr>
          <w:p w14:paraId="26E9C130" w14:textId="5EE7CE4D" w:rsidR="00181941" w:rsidRPr="00E55352" w:rsidRDefault="00181941" w:rsidP="00181941">
            <w:pPr>
              <w:widowControl w:val="0"/>
              <w:tabs>
                <w:tab w:val="left" w:pos="510"/>
                <w:tab w:val="left" w:pos="1531"/>
                <w:tab w:val="left" w:pos="1814"/>
              </w:tabs>
              <w:suppressAutoHyphens/>
              <w:autoSpaceDE w:val="0"/>
              <w:autoSpaceDN w:val="0"/>
              <w:adjustRightInd w:val="0"/>
              <w:spacing w:before="40" w:line="260" w:lineRule="atLeast"/>
              <w:ind w:hanging="1418"/>
              <w:jc w:val="right"/>
              <w:textAlignment w:val="center"/>
              <w:rPr>
                <w:rFonts w:asciiTheme="majorBidi" w:hAnsiTheme="majorBidi" w:cstheme="majorBidi"/>
                <w:color w:val="000000"/>
                <w:sz w:val="20"/>
              </w:rPr>
            </w:pPr>
            <w:r w:rsidRPr="00440C55">
              <w:rPr>
                <w:rFonts w:asciiTheme="majorBidi" w:hAnsiTheme="majorBidi" w:cstheme="majorBidi"/>
                <w:color w:val="000000"/>
                <w:sz w:val="20"/>
              </w:rPr>
              <w:t>100.0</w:t>
            </w:r>
          </w:p>
        </w:tc>
      </w:tr>
      <w:tr w:rsidR="00181941" w:rsidRPr="00E55352" w14:paraId="1F7114F7" w14:textId="77777777" w:rsidTr="005101BC">
        <w:trPr>
          <w:trHeight w:val="240"/>
        </w:trPr>
        <w:tc>
          <w:tcPr>
            <w:tcW w:w="4535" w:type="dxa"/>
            <w:shd w:val="clear" w:color="auto" w:fill="auto"/>
            <w:noWrap/>
            <w:vAlign w:val="bottom"/>
          </w:tcPr>
          <w:p w14:paraId="08609BFD" w14:textId="7064DB53" w:rsidR="00181941" w:rsidRPr="00E55352" w:rsidRDefault="00181941" w:rsidP="00181941">
            <w:pPr>
              <w:widowControl w:val="0"/>
              <w:tabs>
                <w:tab w:val="left" w:pos="510"/>
                <w:tab w:val="left" w:pos="1531"/>
                <w:tab w:val="left" w:pos="1814"/>
              </w:tabs>
              <w:suppressAutoHyphens/>
              <w:autoSpaceDE w:val="0"/>
              <w:autoSpaceDN w:val="0"/>
              <w:adjustRightInd w:val="0"/>
              <w:spacing w:before="40" w:line="260" w:lineRule="atLeast"/>
              <w:ind w:left="1418" w:right="113" w:hanging="1418"/>
              <w:textAlignment w:val="center"/>
              <w:rPr>
                <w:rFonts w:asciiTheme="majorBidi" w:eastAsia="Arial" w:hAnsiTheme="majorBidi" w:cstheme="majorBidi"/>
                <w:sz w:val="20"/>
              </w:rPr>
            </w:pPr>
            <w:r w:rsidRPr="00E55352">
              <w:rPr>
                <w:rFonts w:eastAsia="Arial"/>
                <w:sz w:val="20"/>
              </w:rPr>
              <w:t>A</w:t>
            </w:r>
            <w:r>
              <w:rPr>
                <w:rFonts w:eastAsia="Arial"/>
                <w:sz w:val="20"/>
              </w:rPr>
              <w:t>FI</w:t>
            </w:r>
            <w:r w:rsidRPr="00E55352">
              <w:rPr>
                <w:rFonts w:asciiTheme="majorBidi" w:eastAsia="Arial" w:hAnsiTheme="majorBidi" w:cstheme="majorBidi"/>
                <w:sz w:val="20"/>
              </w:rPr>
              <w:t xml:space="preserve"> Property Management </w:t>
            </w:r>
            <w:proofErr w:type="spellStart"/>
            <w:r w:rsidRPr="00E55352">
              <w:rPr>
                <w:rFonts w:asciiTheme="majorBidi" w:eastAsia="Arial" w:hAnsiTheme="majorBidi" w:cstheme="majorBidi"/>
                <w:sz w:val="20"/>
              </w:rPr>
              <w:t>d.</w:t>
            </w:r>
            <w:proofErr w:type="gramStart"/>
            <w:r w:rsidRPr="00E55352">
              <w:rPr>
                <w:rFonts w:asciiTheme="majorBidi" w:eastAsia="Arial" w:hAnsiTheme="majorBidi" w:cstheme="majorBidi"/>
                <w:sz w:val="20"/>
              </w:rPr>
              <w:t>o.o</w:t>
            </w:r>
            <w:proofErr w:type="spellEnd"/>
            <w:proofErr w:type="gramEnd"/>
          </w:p>
        </w:tc>
        <w:tc>
          <w:tcPr>
            <w:tcW w:w="2268" w:type="dxa"/>
            <w:shd w:val="clear" w:color="auto" w:fill="auto"/>
            <w:vAlign w:val="bottom"/>
          </w:tcPr>
          <w:p w14:paraId="7D4CF992" w14:textId="09F47BFF" w:rsidR="00181941" w:rsidRPr="00E55352" w:rsidRDefault="00181941" w:rsidP="00181941">
            <w:pPr>
              <w:widowControl w:val="0"/>
              <w:tabs>
                <w:tab w:val="left" w:pos="510"/>
                <w:tab w:val="left" w:pos="1531"/>
                <w:tab w:val="left" w:pos="1814"/>
              </w:tabs>
              <w:suppressAutoHyphens/>
              <w:autoSpaceDE w:val="0"/>
              <w:autoSpaceDN w:val="0"/>
              <w:adjustRightInd w:val="0"/>
              <w:spacing w:before="40" w:line="260" w:lineRule="atLeast"/>
              <w:ind w:right="113"/>
              <w:textAlignment w:val="center"/>
              <w:rPr>
                <w:rFonts w:asciiTheme="majorBidi" w:hAnsiTheme="majorBidi" w:cstheme="majorBidi"/>
                <w:color w:val="000000"/>
                <w:sz w:val="20"/>
              </w:rPr>
            </w:pPr>
            <w:r w:rsidRPr="00E55352">
              <w:rPr>
                <w:color w:val="000000"/>
                <w:sz w:val="20"/>
              </w:rPr>
              <w:t>Serbia</w:t>
            </w:r>
          </w:p>
        </w:tc>
        <w:tc>
          <w:tcPr>
            <w:tcW w:w="1417" w:type="dxa"/>
            <w:shd w:val="clear" w:color="auto" w:fill="auto"/>
            <w:vAlign w:val="bottom"/>
          </w:tcPr>
          <w:p w14:paraId="0D0F4CE1" w14:textId="782B25EB" w:rsidR="00181941" w:rsidRPr="00154B2D" w:rsidRDefault="00181941" w:rsidP="00181941">
            <w:pPr>
              <w:widowControl w:val="0"/>
              <w:tabs>
                <w:tab w:val="left" w:pos="510"/>
                <w:tab w:val="left" w:pos="1531"/>
                <w:tab w:val="left" w:pos="1814"/>
              </w:tabs>
              <w:suppressAutoHyphens/>
              <w:autoSpaceDE w:val="0"/>
              <w:autoSpaceDN w:val="0"/>
              <w:adjustRightInd w:val="0"/>
              <w:spacing w:before="40" w:line="260" w:lineRule="atLeast"/>
              <w:ind w:hanging="1418"/>
              <w:jc w:val="right"/>
              <w:textAlignment w:val="center"/>
              <w:rPr>
                <w:rFonts w:asciiTheme="majorBidi" w:hAnsiTheme="majorBidi" w:cstheme="majorBidi"/>
                <w:color w:val="000000"/>
                <w:sz w:val="20"/>
              </w:rPr>
            </w:pPr>
            <w:r w:rsidRPr="00440C55">
              <w:rPr>
                <w:rFonts w:asciiTheme="majorBidi" w:hAnsiTheme="majorBidi" w:cstheme="majorBidi"/>
                <w:color w:val="000000"/>
                <w:sz w:val="20"/>
              </w:rPr>
              <w:t>100.0</w:t>
            </w:r>
          </w:p>
        </w:tc>
        <w:tc>
          <w:tcPr>
            <w:tcW w:w="1417" w:type="dxa"/>
            <w:shd w:val="clear" w:color="auto" w:fill="auto"/>
            <w:vAlign w:val="bottom"/>
          </w:tcPr>
          <w:p w14:paraId="1F050A83" w14:textId="6E124CBA" w:rsidR="00181941" w:rsidRPr="00E55352" w:rsidRDefault="00181941" w:rsidP="00181941">
            <w:pPr>
              <w:widowControl w:val="0"/>
              <w:tabs>
                <w:tab w:val="left" w:pos="510"/>
                <w:tab w:val="left" w:pos="1531"/>
                <w:tab w:val="left" w:pos="1814"/>
              </w:tabs>
              <w:suppressAutoHyphens/>
              <w:autoSpaceDE w:val="0"/>
              <w:autoSpaceDN w:val="0"/>
              <w:adjustRightInd w:val="0"/>
              <w:spacing w:before="40" w:line="260" w:lineRule="atLeast"/>
              <w:ind w:hanging="1418"/>
              <w:jc w:val="right"/>
              <w:textAlignment w:val="center"/>
              <w:rPr>
                <w:rFonts w:asciiTheme="majorBidi" w:hAnsiTheme="majorBidi" w:cstheme="majorBidi"/>
                <w:color w:val="000000"/>
                <w:sz w:val="20"/>
              </w:rPr>
            </w:pPr>
            <w:r w:rsidRPr="00440C55">
              <w:rPr>
                <w:rFonts w:asciiTheme="majorBidi" w:hAnsiTheme="majorBidi" w:cstheme="majorBidi"/>
                <w:color w:val="000000"/>
                <w:sz w:val="20"/>
              </w:rPr>
              <w:t>100.0</w:t>
            </w:r>
          </w:p>
        </w:tc>
      </w:tr>
      <w:tr w:rsidR="00181941" w:rsidRPr="00E55352" w14:paraId="0454534A" w14:textId="77777777" w:rsidTr="005101BC">
        <w:trPr>
          <w:trHeight w:val="240"/>
        </w:trPr>
        <w:tc>
          <w:tcPr>
            <w:tcW w:w="4535" w:type="dxa"/>
            <w:shd w:val="clear" w:color="auto" w:fill="auto"/>
            <w:noWrap/>
            <w:vAlign w:val="bottom"/>
          </w:tcPr>
          <w:p w14:paraId="503E053F" w14:textId="01619533" w:rsidR="00181941" w:rsidRPr="00E55352" w:rsidRDefault="00181941" w:rsidP="00181941">
            <w:pPr>
              <w:widowControl w:val="0"/>
              <w:tabs>
                <w:tab w:val="left" w:pos="510"/>
                <w:tab w:val="left" w:pos="1531"/>
                <w:tab w:val="left" w:pos="1814"/>
              </w:tabs>
              <w:suppressAutoHyphens/>
              <w:autoSpaceDE w:val="0"/>
              <w:autoSpaceDN w:val="0"/>
              <w:adjustRightInd w:val="0"/>
              <w:spacing w:before="40" w:line="260" w:lineRule="atLeast"/>
              <w:ind w:left="1418" w:right="113" w:hanging="1418"/>
              <w:textAlignment w:val="center"/>
              <w:rPr>
                <w:rFonts w:asciiTheme="majorBidi" w:eastAsia="Arial" w:hAnsiTheme="majorBidi" w:cstheme="majorBidi"/>
                <w:sz w:val="20"/>
              </w:rPr>
            </w:pPr>
            <w:r>
              <w:rPr>
                <w:rFonts w:asciiTheme="majorBidi" w:eastAsia="Arial" w:hAnsiTheme="majorBidi" w:cstheme="majorBidi"/>
                <w:sz w:val="20"/>
              </w:rPr>
              <w:t>Airport City West Gate LLC</w:t>
            </w:r>
          </w:p>
        </w:tc>
        <w:tc>
          <w:tcPr>
            <w:tcW w:w="2268" w:type="dxa"/>
            <w:shd w:val="clear" w:color="auto" w:fill="auto"/>
            <w:vAlign w:val="bottom"/>
          </w:tcPr>
          <w:p w14:paraId="765C2098" w14:textId="17A57423" w:rsidR="00181941" w:rsidRPr="00E55352" w:rsidRDefault="00181941" w:rsidP="00181941">
            <w:pPr>
              <w:widowControl w:val="0"/>
              <w:tabs>
                <w:tab w:val="left" w:pos="510"/>
                <w:tab w:val="left" w:pos="1531"/>
                <w:tab w:val="left" w:pos="1814"/>
              </w:tabs>
              <w:suppressAutoHyphens/>
              <w:autoSpaceDE w:val="0"/>
              <w:autoSpaceDN w:val="0"/>
              <w:adjustRightInd w:val="0"/>
              <w:spacing w:before="40" w:line="260" w:lineRule="atLeast"/>
              <w:ind w:right="113"/>
              <w:textAlignment w:val="center"/>
              <w:rPr>
                <w:rFonts w:asciiTheme="majorBidi" w:hAnsiTheme="majorBidi" w:cstheme="majorBidi"/>
                <w:color w:val="000000"/>
                <w:sz w:val="20"/>
              </w:rPr>
            </w:pPr>
            <w:r w:rsidRPr="00E55352">
              <w:rPr>
                <w:color w:val="000000"/>
                <w:sz w:val="20"/>
              </w:rPr>
              <w:t>Serbia</w:t>
            </w:r>
          </w:p>
        </w:tc>
        <w:tc>
          <w:tcPr>
            <w:tcW w:w="1417" w:type="dxa"/>
            <w:shd w:val="clear" w:color="auto" w:fill="auto"/>
            <w:vAlign w:val="bottom"/>
          </w:tcPr>
          <w:p w14:paraId="475B57D6" w14:textId="2A5AA222" w:rsidR="00181941" w:rsidRPr="00154B2D" w:rsidRDefault="00181941" w:rsidP="00181941">
            <w:pPr>
              <w:widowControl w:val="0"/>
              <w:tabs>
                <w:tab w:val="left" w:pos="510"/>
                <w:tab w:val="left" w:pos="1531"/>
                <w:tab w:val="left" w:pos="1814"/>
              </w:tabs>
              <w:suppressAutoHyphens/>
              <w:autoSpaceDE w:val="0"/>
              <w:autoSpaceDN w:val="0"/>
              <w:adjustRightInd w:val="0"/>
              <w:spacing w:before="40" w:line="260" w:lineRule="atLeast"/>
              <w:ind w:hanging="1418"/>
              <w:jc w:val="right"/>
              <w:textAlignment w:val="center"/>
              <w:rPr>
                <w:rFonts w:asciiTheme="majorBidi" w:hAnsiTheme="majorBidi" w:cstheme="majorBidi"/>
                <w:color w:val="000000"/>
                <w:sz w:val="20"/>
              </w:rPr>
            </w:pPr>
            <w:r w:rsidRPr="00440C55">
              <w:rPr>
                <w:rFonts w:asciiTheme="majorBidi" w:hAnsiTheme="majorBidi" w:cstheme="majorBidi"/>
                <w:color w:val="000000"/>
                <w:sz w:val="20"/>
              </w:rPr>
              <w:t>100.0</w:t>
            </w:r>
          </w:p>
        </w:tc>
        <w:tc>
          <w:tcPr>
            <w:tcW w:w="1417" w:type="dxa"/>
            <w:shd w:val="clear" w:color="auto" w:fill="auto"/>
            <w:vAlign w:val="bottom"/>
          </w:tcPr>
          <w:p w14:paraId="164586E2" w14:textId="2BA5B78B" w:rsidR="00181941" w:rsidRPr="00E55352" w:rsidRDefault="00181941" w:rsidP="00181941">
            <w:pPr>
              <w:widowControl w:val="0"/>
              <w:tabs>
                <w:tab w:val="left" w:pos="510"/>
                <w:tab w:val="left" w:pos="1531"/>
                <w:tab w:val="left" w:pos="1814"/>
              </w:tabs>
              <w:suppressAutoHyphens/>
              <w:autoSpaceDE w:val="0"/>
              <w:autoSpaceDN w:val="0"/>
              <w:adjustRightInd w:val="0"/>
              <w:spacing w:before="40" w:line="260" w:lineRule="atLeast"/>
              <w:ind w:hanging="1418"/>
              <w:jc w:val="right"/>
              <w:textAlignment w:val="center"/>
              <w:rPr>
                <w:rFonts w:asciiTheme="majorBidi" w:hAnsiTheme="majorBidi" w:cstheme="majorBidi"/>
                <w:color w:val="000000"/>
                <w:sz w:val="20"/>
              </w:rPr>
            </w:pPr>
            <w:r w:rsidRPr="00440C55">
              <w:rPr>
                <w:rFonts w:asciiTheme="majorBidi" w:hAnsiTheme="majorBidi" w:cstheme="majorBidi"/>
                <w:color w:val="000000"/>
                <w:sz w:val="20"/>
              </w:rPr>
              <w:t>100.0</w:t>
            </w:r>
          </w:p>
        </w:tc>
      </w:tr>
      <w:tr w:rsidR="00181941" w:rsidRPr="00E55352" w14:paraId="69B23D90" w14:textId="77777777" w:rsidTr="005101BC">
        <w:trPr>
          <w:trHeight w:val="240"/>
        </w:trPr>
        <w:tc>
          <w:tcPr>
            <w:tcW w:w="4535" w:type="dxa"/>
            <w:shd w:val="clear" w:color="auto" w:fill="auto"/>
            <w:noWrap/>
            <w:vAlign w:val="bottom"/>
          </w:tcPr>
          <w:p w14:paraId="320BE06D" w14:textId="061D3F8E" w:rsidR="00181941" w:rsidRPr="00E55352" w:rsidRDefault="00181941" w:rsidP="00181941">
            <w:pPr>
              <w:widowControl w:val="0"/>
              <w:tabs>
                <w:tab w:val="left" w:pos="510"/>
                <w:tab w:val="left" w:pos="1531"/>
                <w:tab w:val="left" w:pos="1814"/>
              </w:tabs>
              <w:suppressAutoHyphens/>
              <w:autoSpaceDE w:val="0"/>
              <w:autoSpaceDN w:val="0"/>
              <w:adjustRightInd w:val="0"/>
              <w:spacing w:before="40" w:line="260" w:lineRule="atLeast"/>
              <w:ind w:left="1418" w:right="113" w:hanging="1418"/>
              <w:textAlignment w:val="center"/>
              <w:rPr>
                <w:rFonts w:asciiTheme="majorBidi" w:eastAsia="Arial" w:hAnsiTheme="majorBidi" w:cstheme="majorBidi"/>
                <w:sz w:val="20"/>
              </w:rPr>
            </w:pPr>
            <w:r>
              <w:rPr>
                <w:rFonts w:asciiTheme="majorBidi" w:eastAsia="Arial" w:hAnsiTheme="majorBidi" w:cstheme="majorBidi"/>
                <w:sz w:val="20"/>
              </w:rPr>
              <w:t>Airport City East Gate LLC</w:t>
            </w:r>
          </w:p>
        </w:tc>
        <w:tc>
          <w:tcPr>
            <w:tcW w:w="2268" w:type="dxa"/>
            <w:shd w:val="clear" w:color="auto" w:fill="auto"/>
            <w:vAlign w:val="bottom"/>
          </w:tcPr>
          <w:p w14:paraId="0CAD8553" w14:textId="2B1BDED0" w:rsidR="00181941" w:rsidRPr="00E55352" w:rsidRDefault="00181941" w:rsidP="00181941">
            <w:pPr>
              <w:widowControl w:val="0"/>
              <w:tabs>
                <w:tab w:val="left" w:pos="510"/>
                <w:tab w:val="left" w:pos="1531"/>
                <w:tab w:val="left" w:pos="1814"/>
              </w:tabs>
              <w:suppressAutoHyphens/>
              <w:autoSpaceDE w:val="0"/>
              <w:autoSpaceDN w:val="0"/>
              <w:adjustRightInd w:val="0"/>
              <w:spacing w:before="40" w:line="260" w:lineRule="atLeast"/>
              <w:ind w:right="113"/>
              <w:textAlignment w:val="center"/>
              <w:rPr>
                <w:rFonts w:asciiTheme="majorBidi" w:hAnsiTheme="majorBidi" w:cstheme="majorBidi"/>
                <w:color w:val="000000"/>
                <w:sz w:val="20"/>
              </w:rPr>
            </w:pPr>
            <w:r w:rsidRPr="00E55352">
              <w:rPr>
                <w:color w:val="000000"/>
                <w:sz w:val="20"/>
              </w:rPr>
              <w:t>Serbia</w:t>
            </w:r>
          </w:p>
        </w:tc>
        <w:tc>
          <w:tcPr>
            <w:tcW w:w="1417" w:type="dxa"/>
            <w:shd w:val="clear" w:color="auto" w:fill="auto"/>
            <w:vAlign w:val="bottom"/>
          </w:tcPr>
          <w:p w14:paraId="77E07ED1" w14:textId="720AAC45" w:rsidR="00181941" w:rsidRPr="00154B2D" w:rsidRDefault="00181941" w:rsidP="00181941">
            <w:pPr>
              <w:widowControl w:val="0"/>
              <w:tabs>
                <w:tab w:val="left" w:pos="510"/>
                <w:tab w:val="left" w:pos="1531"/>
                <w:tab w:val="left" w:pos="1814"/>
              </w:tabs>
              <w:suppressAutoHyphens/>
              <w:autoSpaceDE w:val="0"/>
              <w:autoSpaceDN w:val="0"/>
              <w:adjustRightInd w:val="0"/>
              <w:spacing w:before="40" w:line="260" w:lineRule="atLeast"/>
              <w:ind w:hanging="1418"/>
              <w:jc w:val="right"/>
              <w:textAlignment w:val="center"/>
              <w:rPr>
                <w:rFonts w:asciiTheme="majorBidi" w:hAnsiTheme="majorBidi" w:cstheme="majorBidi"/>
                <w:color w:val="000000"/>
                <w:sz w:val="20"/>
              </w:rPr>
            </w:pPr>
            <w:r w:rsidRPr="00440C55">
              <w:rPr>
                <w:rFonts w:asciiTheme="majorBidi" w:hAnsiTheme="majorBidi" w:cstheme="majorBidi"/>
                <w:color w:val="000000"/>
                <w:sz w:val="20"/>
              </w:rPr>
              <w:t>100.0</w:t>
            </w:r>
          </w:p>
        </w:tc>
        <w:tc>
          <w:tcPr>
            <w:tcW w:w="1417" w:type="dxa"/>
            <w:shd w:val="clear" w:color="auto" w:fill="auto"/>
            <w:vAlign w:val="bottom"/>
          </w:tcPr>
          <w:p w14:paraId="7A6E0492" w14:textId="17BE6F54" w:rsidR="00181941" w:rsidRPr="00E55352" w:rsidRDefault="00181941" w:rsidP="00181941">
            <w:pPr>
              <w:widowControl w:val="0"/>
              <w:tabs>
                <w:tab w:val="left" w:pos="510"/>
                <w:tab w:val="left" w:pos="1531"/>
                <w:tab w:val="left" w:pos="1814"/>
              </w:tabs>
              <w:suppressAutoHyphens/>
              <w:autoSpaceDE w:val="0"/>
              <w:autoSpaceDN w:val="0"/>
              <w:adjustRightInd w:val="0"/>
              <w:spacing w:before="40" w:line="260" w:lineRule="atLeast"/>
              <w:ind w:hanging="1418"/>
              <w:jc w:val="right"/>
              <w:textAlignment w:val="center"/>
              <w:rPr>
                <w:rFonts w:asciiTheme="majorBidi" w:hAnsiTheme="majorBidi" w:cstheme="majorBidi"/>
                <w:color w:val="000000"/>
                <w:sz w:val="20"/>
              </w:rPr>
            </w:pPr>
            <w:r w:rsidRPr="00440C55">
              <w:rPr>
                <w:rFonts w:asciiTheme="majorBidi" w:hAnsiTheme="majorBidi" w:cstheme="majorBidi"/>
                <w:color w:val="000000"/>
                <w:sz w:val="20"/>
              </w:rPr>
              <w:t>100.0</w:t>
            </w:r>
          </w:p>
        </w:tc>
      </w:tr>
      <w:tr w:rsidR="00181941" w:rsidRPr="00E55352" w14:paraId="21CCFFED" w14:textId="77777777" w:rsidTr="005101BC">
        <w:trPr>
          <w:trHeight w:val="240"/>
        </w:trPr>
        <w:tc>
          <w:tcPr>
            <w:tcW w:w="4535" w:type="dxa"/>
            <w:shd w:val="clear" w:color="auto" w:fill="auto"/>
            <w:noWrap/>
            <w:vAlign w:val="bottom"/>
          </w:tcPr>
          <w:p w14:paraId="120BED06" w14:textId="5FA09F0B" w:rsidR="00181941" w:rsidRDefault="00181941" w:rsidP="00181941">
            <w:pPr>
              <w:widowControl w:val="0"/>
              <w:tabs>
                <w:tab w:val="left" w:pos="510"/>
                <w:tab w:val="left" w:pos="1531"/>
                <w:tab w:val="left" w:pos="1814"/>
              </w:tabs>
              <w:suppressAutoHyphens/>
              <w:autoSpaceDE w:val="0"/>
              <w:autoSpaceDN w:val="0"/>
              <w:adjustRightInd w:val="0"/>
              <w:spacing w:before="40" w:line="260" w:lineRule="atLeast"/>
              <w:ind w:left="1418" w:right="113" w:hanging="1418"/>
              <w:textAlignment w:val="center"/>
              <w:rPr>
                <w:rFonts w:asciiTheme="majorBidi" w:eastAsia="Arial" w:hAnsiTheme="majorBidi" w:cstheme="majorBidi"/>
                <w:sz w:val="20"/>
              </w:rPr>
            </w:pPr>
            <w:r w:rsidRPr="00DB5161">
              <w:rPr>
                <w:rFonts w:asciiTheme="majorBidi" w:eastAsia="Arial" w:hAnsiTheme="majorBidi" w:cstheme="majorBidi"/>
                <w:sz w:val="20"/>
              </w:rPr>
              <w:t xml:space="preserve">Direct Capital S </w:t>
            </w:r>
            <w:proofErr w:type="spellStart"/>
            <w:r w:rsidRPr="00DB5161">
              <w:rPr>
                <w:rFonts w:asciiTheme="majorBidi" w:eastAsia="Arial" w:hAnsiTheme="majorBidi" w:cstheme="majorBidi"/>
                <w:sz w:val="20"/>
              </w:rPr>
              <w:t>d.o.o</w:t>
            </w:r>
            <w:proofErr w:type="spellEnd"/>
            <w:r>
              <w:rPr>
                <w:rFonts w:asciiTheme="majorBidi" w:eastAsia="Arial" w:hAnsiTheme="majorBidi" w:cstheme="majorBidi"/>
                <w:sz w:val="20"/>
              </w:rPr>
              <w:t xml:space="preserve"> (3)</w:t>
            </w:r>
          </w:p>
        </w:tc>
        <w:tc>
          <w:tcPr>
            <w:tcW w:w="2268" w:type="dxa"/>
            <w:shd w:val="clear" w:color="auto" w:fill="auto"/>
            <w:vAlign w:val="bottom"/>
          </w:tcPr>
          <w:p w14:paraId="6E90B55A" w14:textId="7BEC1DCB" w:rsidR="00181941" w:rsidRPr="00E55352" w:rsidRDefault="00181941" w:rsidP="00181941">
            <w:pPr>
              <w:widowControl w:val="0"/>
              <w:tabs>
                <w:tab w:val="left" w:pos="510"/>
                <w:tab w:val="left" w:pos="1531"/>
                <w:tab w:val="left" w:pos="1814"/>
              </w:tabs>
              <w:suppressAutoHyphens/>
              <w:autoSpaceDE w:val="0"/>
              <w:autoSpaceDN w:val="0"/>
              <w:adjustRightInd w:val="0"/>
              <w:spacing w:before="40" w:line="260" w:lineRule="atLeast"/>
              <w:ind w:right="113"/>
              <w:textAlignment w:val="center"/>
              <w:rPr>
                <w:color w:val="000000"/>
                <w:sz w:val="20"/>
              </w:rPr>
            </w:pPr>
            <w:r w:rsidRPr="00E55352">
              <w:rPr>
                <w:color w:val="000000"/>
                <w:sz w:val="20"/>
              </w:rPr>
              <w:t>Serbia</w:t>
            </w:r>
          </w:p>
        </w:tc>
        <w:tc>
          <w:tcPr>
            <w:tcW w:w="1417" w:type="dxa"/>
            <w:shd w:val="clear" w:color="auto" w:fill="auto"/>
            <w:vAlign w:val="bottom"/>
          </w:tcPr>
          <w:p w14:paraId="408A240C" w14:textId="1E7FBC91" w:rsidR="00181941" w:rsidRPr="00440C55" w:rsidRDefault="00181941" w:rsidP="00181941">
            <w:pPr>
              <w:widowControl w:val="0"/>
              <w:tabs>
                <w:tab w:val="left" w:pos="510"/>
                <w:tab w:val="left" w:pos="1531"/>
                <w:tab w:val="left" w:pos="1814"/>
              </w:tabs>
              <w:suppressAutoHyphens/>
              <w:autoSpaceDE w:val="0"/>
              <w:autoSpaceDN w:val="0"/>
              <w:adjustRightInd w:val="0"/>
              <w:spacing w:before="40" w:line="260" w:lineRule="atLeast"/>
              <w:ind w:hanging="1418"/>
              <w:jc w:val="right"/>
              <w:textAlignment w:val="center"/>
              <w:rPr>
                <w:rFonts w:asciiTheme="majorBidi" w:hAnsiTheme="majorBidi" w:cstheme="majorBidi"/>
                <w:color w:val="000000"/>
                <w:sz w:val="20"/>
              </w:rPr>
            </w:pPr>
            <w:r w:rsidRPr="00440C55">
              <w:rPr>
                <w:rFonts w:asciiTheme="majorBidi" w:hAnsiTheme="majorBidi" w:cstheme="majorBidi"/>
                <w:color w:val="000000"/>
                <w:sz w:val="20"/>
              </w:rPr>
              <w:t>100.0</w:t>
            </w:r>
          </w:p>
        </w:tc>
        <w:tc>
          <w:tcPr>
            <w:tcW w:w="1417" w:type="dxa"/>
            <w:shd w:val="clear" w:color="auto" w:fill="auto"/>
            <w:vAlign w:val="bottom"/>
          </w:tcPr>
          <w:p w14:paraId="0E95BEFF" w14:textId="43B8D68A" w:rsidR="00181941" w:rsidRPr="00440C55" w:rsidRDefault="00181941" w:rsidP="00181941">
            <w:pPr>
              <w:widowControl w:val="0"/>
              <w:tabs>
                <w:tab w:val="left" w:pos="510"/>
                <w:tab w:val="left" w:pos="1531"/>
                <w:tab w:val="left" w:pos="1814"/>
              </w:tabs>
              <w:suppressAutoHyphens/>
              <w:autoSpaceDE w:val="0"/>
              <w:autoSpaceDN w:val="0"/>
              <w:adjustRightInd w:val="0"/>
              <w:spacing w:before="40" w:line="260" w:lineRule="atLeast"/>
              <w:ind w:hanging="1418"/>
              <w:jc w:val="right"/>
              <w:textAlignment w:val="center"/>
              <w:rPr>
                <w:rFonts w:asciiTheme="majorBidi" w:hAnsiTheme="majorBidi" w:cstheme="majorBidi"/>
                <w:color w:val="000000"/>
                <w:sz w:val="20"/>
              </w:rPr>
            </w:pPr>
            <w:r w:rsidRPr="00440C55">
              <w:rPr>
                <w:rFonts w:asciiTheme="majorBidi" w:hAnsiTheme="majorBidi" w:cstheme="majorBidi"/>
                <w:color w:val="000000"/>
                <w:sz w:val="20"/>
              </w:rPr>
              <w:t>100.0</w:t>
            </w:r>
          </w:p>
        </w:tc>
      </w:tr>
      <w:tr w:rsidR="00181941" w:rsidRPr="00E55352" w14:paraId="61257C1E" w14:textId="77777777" w:rsidTr="005101BC">
        <w:trPr>
          <w:trHeight w:val="240"/>
        </w:trPr>
        <w:tc>
          <w:tcPr>
            <w:tcW w:w="4535" w:type="dxa"/>
            <w:shd w:val="clear" w:color="auto" w:fill="auto"/>
            <w:noWrap/>
            <w:vAlign w:val="bottom"/>
          </w:tcPr>
          <w:p w14:paraId="75F0A622" w14:textId="5B6033F0" w:rsidR="00181941" w:rsidRPr="00E55352" w:rsidRDefault="00181941" w:rsidP="00181941">
            <w:pPr>
              <w:widowControl w:val="0"/>
              <w:tabs>
                <w:tab w:val="left" w:pos="510"/>
                <w:tab w:val="left" w:pos="1531"/>
                <w:tab w:val="left" w:pos="1814"/>
              </w:tabs>
              <w:suppressAutoHyphens/>
              <w:autoSpaceDE w:val="0"/>
              <w:autoSpaceDN w:val="0"/>
              <w:adjustRightInd w:val="0"/>
              <w:spacing w:before="40" w:line="260" w:lineRule="atLeast"/>
              <w:ind w:left="1418" w:right="113" w:hanging="1418"/>
              <w:textAlignment w:val="center"/>
              <w:rPr>
                <w:rFonts w:asciiTheme="majorBidi" w:eastAsia="Arial" w:hAnsiTheme="majorBidi" w:cstheme="majorBidi"/>
                <w:sz w:val="20"/>
              </w:rPr>
            </w:pPr>
            <w:r w:rsidRPr="00E55352">
              <w:rPr>
                <w:rFonts w:asciiTheme="majorBidi" w:eastAsia="Arial" w:hAnsiTheme="majorBidi" w:cstheme="majorBidi"/>
                <w:sz w:val="20"/>
              </w:rPr>
              <w:t xml:space="preserve">Orchid Group </w:t>
            </w:r>
            <w:proofErr w:type="spellStart"/>
            <w:r w:rsidRPr="00E55352">
              <w:rPr>
                <w:rFonts w:asciiTheme="majorBidi" w:eastAsia="Arial" w:hAnsiTheme="majorBidi" w:cstheme="majorBidi"/>
                <w:sz w:val="20"/>
              </w:rPr>
              <w:t>d.</w:t>
            </w:r>
            <w:proofErr w:type="gramStart"/>
            <w:r w:rsidRPr="00E55352">
              <w:rPr>
                <w:rFonts w:asciiTheme="majorBidi" w:eastAsia="Arial" w:hAnsiTheme="majorBidi" w:cstheme="majorBidi"/>
                <w:sz w:val="20"/>
              </w:rPr>
              <w:t>o.o</w:t>
            </w:r>
            <w:proofErr w:type="spellEnd"/>
            <w:proofErr w:type="gramEnd"/>
          </w:p>
        </w:tc>
        <w:tc>
          <w:tcPr>
            <w:tcW w:w="2268" w:type="dxa"/>
            <w:shd w:val="clear" w:color="auto" w:fill="auto"/>
            <w:vAlign w:val="bottom"/>
          </w:tcPr>
          <w:p w14:paraId="2C226AFA" w14:textId="14B57374" w:rsidR="00181941" w:rsidRPr="00E55352" w:rsidRDefault="00181941" w:rsidP="00181941">
            <w:pPr>
              <w:widowControl w:val="0"/>
              <w:tabs>
                <w:tab w:val="left" w:pos="510"/>
                <w:tab w:val="left" w:pos="1531"/>
                <w:tab w:val="left" w:pos="1814"/>
              </w:tabs>
              <w:suppressAutoHyphens/>
              <w:autoSpaceDE w:val="0"/>
              <w:autoSpaceDN w:val="0"/>
              <w:adjustRightInd w:val="0"/>
              <w:spacing w:before="40" w:line="260" w:lineRule="atLeast"/>
              <w:ind w:right="113"/>
              <w:textAlignment w:val="center"/>
              <w:rPr>
                <w:rFonts w:asciiTheme="majorBidi" w:hAnsiTheme="majorBidi" w:cstheme="majorBidi"/>
                <w:color w:val="000000"/>
                <w:sz w:val="20"/>
              </w:rPr>
            </w:pPr>
            <w:r w:rsidRPr="00E55352">
              <w:rPr>
                <w:color w:val="000000"/>
                <w:sz w:val="20"/>
              </w:rPr>
              <w:t>Serbia</w:t>
            </w:r>
          </w:p>
        </w:tc>
        <w:tc>
          <w:tcPr>
            <w:tcW w:w="1417" w:type="dxa"/>
            <w:shd w:val="clear" w:color="auto" w:fill="auto"/>
            <w:vAlign w:val="bottom"/>
          </w:tcPr>
          <w:p w14:paraId="3F6EBFC7" w14:textId="2571D6ED" w:rsidR="00181941" w:rsidRPr="00154B2D" w:rsidRDefault="00181941" w:rsidP="00181941">
            <w:pPr>
              <w:widowControl w:val="0"/>
              <w:tabs>
                <w:tab w:val="left" w:pos="510"/>
                <w:tab w:val="left" w:pos="1531"/>
                <w:tab w:val="left" w:pos="1814"/>
              </w:tabs>
              <w:suppressAutoHyphens/>
              <w:autoSpaceDE w:val="0"/>
              <w:autoSpaceDN w:val="0"/>
              <w:adjustRightInd w:val="0"/>
              <w:spacing w:before="40" w:line="260" w:lineRule="atLeast"/>
              <w:ind w:hanging="1418"/>
              <w:jc w:val="right"/>
              <w:textAlignment w:val="center"/>
              <w:rPr>
                <w:rFonts w:asciiTheme="majorBidi" w:hAnsiTheme="majorBidi" w:cstheme="majorBidi"/>
                <w:color w:val="000000"/>
                <w:sz w:val="20"/>
              </w:rPr>
            </w:pPr>
            <w:r w:rsidRPr="00440C55">
              <w:rPr>
                <w:rFonts w:asciiTheme="majorBidi" w:hAnsiTheme="majorBidi" w:cstheme="majorBidi"/>
                <w:color w:val="000000"/>
                <w:sz w:val="20"/>
              </w:rPr>
              <w:t>96.0</w:t>
            </w:r>
          </w:p>
        </w:tc>
        <w:tc>
          <w:tcPr>
            <w:tcW w:w="1417" w:type="dxa"/>
            <w:shd w:val="clear" w:color="auto" w:fill="auto"/>
            <w:vAlign w:val="bottom"/>
          </w:tcPr>
          <w:p w14:paraId="16C00FA9" w14:textId="39ED5122" w:rsidR="00181941" w:rsidRPr="00E55352" w:rsidRDefault="00181941" w:rsidP="00181941">
            <w:pPr>
              <w:widowControl w:val="0"/>
              <w:tabs>
                <w:tab w:val="left" w:pos="510"/>
                <w:tab w:val="left" w:pos="1531"/>
                <w:tab w:val="left" w:pos="1814"/>
              </w:tabs>
              <w:suppressAutoHyphens/>
              <w:autoSpaceDE w:val="0"/>
              <w:autoSpaceDN w:val="0"/>
              <w:adjustRightInd w:val="0"/>
              <w:spacing w:before="40" w:line="260" w:lineRule="atLeast"/>
              <w:ind w:hanging="1418"/>
              <w:jc w:val="right"/>
              <w:textAlignment w:val="center"/>
              <w:rPr>
                <w:rFonts w:asciiTheme="majorBidi" w:hAnsiTheme="majorBidi" w:cstheme="majorBidi"/>
                <w:color w:val="000000"/>
                <w:sz w:val="20"/>
              </w:rPr>
            </w:pPr>
            <w:r w:rsidRPr="00440C55">
              <w:rPr>
                <w:rFonts w:asciiTheme="majorBidi" w:hAnsiTheme="majorBidi" w:cstheme="majorBidi"/>
                <w:color w:val="000000"/>
                <w:sz w:val="20"/>
              </w:rPr>
              <w:t>96.0</w:t>
            </w:r>
          </w:p>
        </w:tc>
      </w:tr>
      <w:tr w:rsidR="00181941" w:rsidRPr="00E55352" w14:paraId="3164AD69" w14:textId="77777777" w:rsidTr="005101BC">
        <w:trPr>
          <w:trHeight w:val="240"/>
        </w:trPr>
        <w:tc>
          <w:tcPr>
            <w:tcW w:w="4535" w:type="dxa"/>
            <w:shd w:val="clear" w:color="auto" w:fill="auto"/>
            <w:noWrap/>
            <w:vAlign w:val="bottom"/>
          </w:tcPr>
          <w:p w14:paraId="76176DCD" w14:textId="035D15F4" w:rsidR="00181941" w:rsidRPr="00E55352" w:rsidRDefault="00181941" w:rsidP="00181941">
            <w:pPr>
              <w:widowControl w:val="0"/>
              <w:tabs>
                <w:tab w:val="left" w:pos="510"/>
                <w:tab w:val="left" w:pos="1531"/>
                <w:tab w:val="left" w:pos="1814"/>
              </w:tabs>
              <w:suppressAutoHyphens/>
              <w:autoSpaceDE w:val="0"/>
              <w:autoSpaceDN w:val="0"/>
              <w:adjustRightInd w:val="0"/>
              <w:spacing w:before="40" w:line="260" w:lineRule="atLeast"/>
              <w:ind w:left="1418" w:right="113" w:hanging="1418"/>
              <w:textAlignment w:val="center"/>
              <w:rPr>
                <w:rFonts w:asciiTheme="majorBidi" w:eastAsia="Arial" w:hAnsiTheme="majorBidi" w:cstheme="majorBidi"/>
                <w:sz w:val="20"/>
              </w:rPr>
            </w:pPr>
            <w:r w:rsidRPr="00E55352">
              <w:rPr>
                <w:rFonts w:asciiTheme="majorBidi" w:eastAsia="Arial" w:hAnsiTheme="majorBidi" w:cstheme="majorBidi"/>
                <w:sz w:val="20"/>
              </w:rPr>
              <w:t xml:space="preserve">West Port </w:t>
            </w:r>
            <w:proofErr w:type="spellStart"/>
            <w:r w:rsidRPr="00E55352">
              <w:rPr>
                <w:rFonts w:asciiTheme="majorBidi" w:eastAsia="Arial" w:hAnsiTheme="majorBidi" w:cstheme="majorBidi"/>
                <w:sz w:val="20"/>
              </w:rPr>
              <w:t>d.o.o</w:t>
            </w:r>
            <w:proofErr w:type="spellEnd"/>
            <w:r w:rsidRPr="00E55352">
              <w:rPr>
                <w:rFonts w:asciiTheme="majorBidi" w:eastAsia="Arial" w:hAnsiTheme="majorBidi" w:cstheme="majorBidi"/>
                <w:sz w:val="20"/>
              </w:rPr>
              <w:t xml:space="preserve"> </w:t>
            </w:r>
          </w:p>
        </w:tc>
        <w:tc>
          <w:tcPr>
            <w:tcW w:w="2268" w:type="dxa"/>
            <w:shd w:val="clear" w:color="auto" w:fill="auto"/>
            <w:vAlign w:val="bottom"/>
          </w:tcPr>
          <w:p w14:paraId="7BDC48AE" w14:textId="251FE69E" w:rsidR="00181941" w:rsidRPr="00E55352" w:rsidRDefault="00181941" w:rsidP="00181941">
            <w:pPr>
              <w:widowControl w:val="0"/>
              <w:tabs>
                <w:tab w:val="left" w:pos="510"/>
                <w:tab w:val="left" w:pos="1531"/>
                <w:tab w:val="left" w:pos="1814"/>
              </w:tabs>
              <w:suppressAutoHyphens/>
              <w:autoSpaceDE w:val="0"/>
              <w:autoSpaceDN w:val="0"/>
              <w:adjustRightInd w:val="0"/>
              <w:spacing w:before="40" w:line="260" w:lineRule="atLeast"/>
              <w:ind w:right="113"/>
              <w:textAlignment w:val="center"/>
              <w:rPr>
                <w:rFonts w:asciiTheme="majorBidi" w:hAnsiTheme="majorBidi" w:cstheme="majorBidi"/>
                <w:color w:val="000000"/>
                <w:sz w:val="20"/>
              </w:rPr>
            </w:pPr>
            <w:r w:rsidRPr="00E55352">
              <w:rPr>
                <w:color w:val="000000"/>
                <w:sz w:val="20"/>
              </w:rPr>
              <w:t>Serbia</w:t>
            </w:r>
          </w:p>
        </w:tc>
        <w:tc>
          <w:tcPr>
            <w:tcW w:w="1417" w:type="dxa"/>
            <w:shd w:val="clear" w:color="auto" w:fill="auto"/>
            <w:vAlign w:val="bottom"/>
          </w:tcPr>
          <w:p w14:paraId="4CDD3B1D" w14:textId="1B4F0A2E" w:rsidR="00181941" w:rsidRPr="00154B2D" w:rsidRDefault="00181941" w:rsidP="00181941">
            <w:pPr>
              <w:widowControl w:val="0"/>
              <w:tabs>
                <w:tab w:val="left" w:pos="510"/>
                <w:tab w:val="left" w:pos="1531"/>
                <w:tab w:val="left" w:pos="1814"/>
              </w:tabs>
              <w:suppressAutoHyphens/>
              <w:autoSpaceDE w:val="0"/>
              <w:autoSpaceDN w:val="0"/>
              <w:adjustRightInd w:val="0"/>
              <w:spacing w:before="40" w:line="260" w:lineRule="atLeast"/>
              <w:ind w:hanging="1418"/>
              <w:jc w:val="right"/>
              <w:textAlignment w:val="center"/>
              <w:rPr>
                <w:rFonts w:asciiTheme="majorBidi" w:hAnsiTheme="majorBidi" w:cstheme="majorBidi"/>
                <w:color w:val="000000"/>
                <w:sz w:val="20"/>
              </w:rPr>
            </w:pPr>
            <w:r w:rsidRPr="00440C55">
              <w:rPr>
                <w:rFonts w:asciiTheme="majorBidi" w:hAnsiTheme="majorBidi" w:cstheme="majorBidi"/>
                <w:color w:val="000000"/>
                <w:sz w:val="20"/>
              </w:rPr>
              <w:t>100.0</w:t>
            </w:r>
          </w:p>
        </w:tc>
        <w:tc>
          <w:tcPr>
            <w:tcW w:w="1417" w:type="dxa"/>
            <w:shd w:val="clear" w:color="auto" w:fill="auto"/>
            <w:vAlign w:val="bottom"/>
          </w:tcPr>
          <w:p w14:paraId="5E31A3C5" w14:textId="3922726C" w:rsidR="00181941" w:rsidRPr="00E55352" w:rsidRDefault="00181941" w:rsidP="00181941">
            <w:pPr>
              <w:widowControl w:val="0"/>
              <w:tabs>
                <w:tab w:val="left" w:pos="510"/>
                <w:tab w:val="left" w:pos="1531"/>
                <w:tab w:val="left" w:pos="1814"/>
              </w:tabs>
              <w:suppressAutoHyphens/>
              <w:autoSpaceDE w:val="0"/>
              <w:autoSpaceDN w:val="0"/>
              <w:adjustRightInd w:val="0"/>
              <w:spacing w:before="40" w:line="260" w:lineRule="atLeast"/>
              <w:ind w:hanging="1418"/>
              <w:jc w:val="right"/>
              <w:textAlignment w:val="center"/>
              <w:rPr>
                <w:rFonts w:asciiTheme="majorBidi" w:hAnsiTheme="majorBidi" w:cstheme="majorBidi"/>
                <w:color w:val="000000"/>
                <w:sz w:val="20"/>
              </w:rPr>
            </w:pPr>
            <w:r w:rsidRPr="00440C55">
              <w:rPr>
                <w:rFonts w:asciiTheme="majorBidi" w:hAnsiTheme="majorBidi" w:cstheme="majorBidi"/>
                <w:color w:val="000000"/>
                <w:sz w:val="20"/>
              </w:rPr>
              <w:t>100.0</w:t>
            </w:r>
          </w:p>
        </w:tc>
      </w:tr>
      <w:tr w:rsidR="00181941" w:rsidRPr="00E55352" w14:paraId="6B41CF90" w14:textId="77777777" w:rsidTr="005101BC">
        <w:trPr>
          <w:trHeight w:val="240"/>
        </w:trPr>
        <w:tc>
          <w:tcPr>
            <w:tcW w:w="4535" w:type="dxa"/>
            <w:shd w:val="clear" w:color="auto" w:fill="auto"/>
            <w:noWrap/>
            <w:vAlign w:val="bottom"/>
          </w:tcPr>
          <w:p w14:paraId="7E5D5DBF" w14:textId="7C7C693D" w:rsidR="00181941" w:rsidRPr="00E55352" w:rsidRDefault="00181941" w:rsidP="00181941">
            <w:pPr>
              <w:widowControl w:val="0"/>
              <w:tabs>
                <w:tab w:val="left" w:pos="510"/>
                <w:tab w:val="left" w:pos="1531"/>
                <w:tab w:val="left" w:pos="1814"/>
              </w:tabs>
              <w:suppressAutoHyphens/>
              <w:autoSpaceDE w:val="0"/>
              <w:autoSpaceDN w:val="0"/>
              <w:adjustRightInd w:val="0"/>
              <w:spacing w:before="40" w:line="260" w:lineRule="atLeast"/>
              <w:ind w:left="1418" w:right="113" w:hanging="1418"/>
              <w:textAlignment w:val="center"/>
              <w:rPr>
                <w:rFonts w:asciiTheme="majorBidi" w:eastAsia="Arial" w:hAnsiTheme="majorBidi" w:cstheme="majorBidi"/>
                <w:sz w:val="20"/>
              </w:rPr>
            </w:pPr>
            <w:r w:rsidRPr="00E55352">
              <w:rPr>
                <w:rFonts w:asciiTheme="majorBidi" w:eastAsia="Arial" w:hAnsiTheme="majorBidi" w:cstheme="majorBidi"/>
                <w:sz w:val="20"/>
              </w:rPr>
              <w:t>AFI Management LLC</w:t>
            </w:r>
          </w:p>
        </w:tc>
        <w:tc>
          <w:tcPr>
            <w:tcW w:w="2268" w:type="dxa"/>
            <w:shd w:val="clear" w:color="auto" w:fill="auto"/>
            <w:vAlign w:val="bottom"/>
          </w:tcPr>
          <w:p w14:paraId="5EE268F6" w14:textId="4BDE4192" w:rsidR="00181941" w:rsidRPr="00E55352" w:rsidRDefault="00181941" w:rsidP="00181941">
            <w:pPr>
              <w:widowControl w:val="0"/>
              <w:tabs>
                <w:tab w:val="left" w:pos="510"/>
                <w:tab w:val="left" w:pos="1531"/>
                <w:tab w:val="left" w:pos="1814"/>
              </w:tabs>
              <w:suppressAutoHyphens/>
              <w:autoSpaceDE w:val="0"/>
              <w:autoSpaceDN w:val="0"/>
              <w:adjustRightInd w:val="0"/>
              <w:spacing w:before="40" w:line="260" w:lineRule="atLeast"/>
              <w:ind w:right="113"/>
              <w:textAlignment w:val="center"/>
              <w:rPr>
                <w:rFonts w:asciiTheme="majorBidi" w:hAnsiTheme="majorBidi" w:cstheme="majorBidi"/>
                <w:color w:val="000000"/>
                <w:sz w:val="20"/>
              </w:rPr>
            </w:pPr>
            <w:r w:rsidRPr="00E55352">
              <w:rPr>
                <w:color w:val="000000"/>
                <w:sz w:val="20"/>
              </w:rPr>
              <w:t>Serbia</w:t>
            </w:r>
          </w:p>
        </w:tc>
        <w:tc>
          <w:tcPr>
            <w:tcW w:w="1417" w:type="dxa"/>
            <w:shd w:val="clear" w:color="auto" w:fill="auto"/>
            <w:vAlign w:val="bottom"/>
          </w:tcPr>
          <w:p w14:paraId="2EE199E2" w14:textId="42465682" w:rsidR="00181941" w:rsidRPr="00154B2D" w:rsidRDefault="00181941" w:rsidP="00181941">
            <w:pPr>
              <w:widowControl w:val="0"/>
              <w:tabs>
                <w:tab w:val="left" w:pos="510"/>
                <w:tab w:val="left" w:pos="1531"/>
                <w:tab w:val="left" w:pos="1814"/>
              </w:tabs>
              <w:suppressAutoHyphens/>
              <w:autoSpaceDE w:val="0"/>
              <w:autoSpaceDN w:val="0"/>
              <w:adjustRightInd w:val="0"/>
              <w:spacing w:before="40" w:line="260" w:lineRule="atLeast"/>
              <w:ind w:hanging="1418"/>
              <w:jc w:val="right"/>
              <w:textAlignment w:val="center"/>
              <w:rPr>
                <w:rFonts w:asciiTheme="majorBidi" w:hAnsiTheme="majorBidi" w:cstheme="majorBidi"/>
                <w:color w:val="000000"/>
                <w:sz w:val="20"/>
              </w:rPr>
            </w:pPr>
            <w:r w:rsidRPr="00440C55">
              <w:rPr>
                <w:rFonts w:asciiTheme="majorBidi" w:hAnsiTheme="majorBidi" w:cstheme="majorBidi"/>
                <w:color w:val="000000"/>
                <w:sz w:val="20"/>
              </w:rPr>
              <w:t>100.0</w:t>
            </w:r>
          </w:p>
        </w:tc>
        <w:tc>
          <w:tcPr>
            <w:tcW w:w="1417" w:type="dxa"/>
            <w:shd w:val="clear" w:color="auto" w:fill="auto"/>
            <w:vAlign w:val="bottom"/>
          </w:tcPr>
          <w:p w14:paraId="1FD937E3" w14:textId="1BBFF63C" w:rsidR="00181941" w:rsidRPr="00E55352" w:rsidRDefault="00181941" w:rsidP="00181941">
            <w:pPr>
              <w:widowControl w:val="0"/>
              <w:tabs>
                <w:tab w:val="left" w:pos="510"/>
                <w:tab w:val="left" w:pos="1531"/>
                <w:tab w:val="left" w:pos="1814"/>
              </w:tabs>
              <w:suppressAutoHyphens/>
              <w:autoSpaceDE w:val="0"/>
              <w:autoSpaceDN w:val="0"/>
              <w:adjustRightInd w:val="0"/>
              <w:spacing w:before="40" w:line="260" w:lineRule="atLeast"/>
              <w:ind w:hanging="1418"/>
              <w:jc w:val="right"/>
              <w:textAlignment w:val="center"/>
              <w:rPr>
                <w:rFonts w:asciiTheme="majorBidi" w:hAnsiTheme="majorBidi" w:cstheme="majorBidi"/>
                <w:color w:val="000000"/>
                <w:sz w:val="20"/>
              </w:rPr>
            </w:pPr>
            <w:r w:rsidRPr="00440C55">
              <w:rPr>
                <w:rFonts w:asciiTheme="majorBidi" w:hAnsiTheme="majorBidi" w:cstheme="majorBidi"/>
                <w:color w:val="000000"/>
                <w:sz w:val="20"/>
              </w:rPr>
              <w:t>100.0</w:t>
            </w:r>
          </w:p>
        </w:tc>
      </w:tr>
      <w:tr w:rsidR="00181941" w:rsidRPr="00E55352" w14:paraId="41FD7074" w14:textId="77777777" w:rsidTr="005101BC">
        <w:trPr>
          <w:trHeight w:val="240"/>
        </w:trPr>
        <w:tc>
          <w:tcPr>
            <w:tcW w:w="4535" w:type="dxa"/>
            <w:shd w:val="clear" w:color="auto" w:fill="auto"/>
            <w:noWrap/>
            <w:vAlign w:val="bottom"/>
          </w:tcPr>
          <w:p w14:paraId="56C4A7D2" w14:textId="65C22738" w:rsidR="00181941" w:rsidRPr="00E55352" w:rsidRDefault="00181941" w:rsidP="00181941">
            <w:pPr>
              <w:widowControl w:val="0"/>
              <w:tabs>
                <w:tab w:val="left" w:pos="510"/>
                <w:tab w:val="left" w:pos="1531"/>
                <w:tab w:val="left" w:pos="1814"/>
              </w:tabs>
              <w:suppressAutoHyphens/>
              <w:autoSpaceDE w:val="0"/>
              <w:autoSpaceDN w:val="0"/>
              <w:adjustRightInd w:val="0"/>
              <w:spacing w:before="40" w:line="260" w:lineRule="atLeast"/>
              <w:ind w:left="1418" w:right="113" w:hanging="1418"/>
              <w:textAlignment w:val="center"/>
              <w:rPr>
                <w:rFonts w:asciiTheme="majorBidi" w:eastAsia="Arial" w:hAnsiTheme="majorBidi" w:cstheme="majorBidi"/>
                <w:sz w:val="20"/>
              </w:rPr>
            </w:pPr>
            <w:r w:rsidRPr="00E55352">
              <w:rPr>
                <w:rFonts w:asciiTheme="majorBidi" w:eastAsia="Arial" w:hAnsiTheme="majorBidi" w:cstheme="majorBidi"/>
                <w:sz w:val="20"/>
              </w:rPr>
              <w:t>AFI Zmaj West LLC</w:t>
            </w:r>
          </w:p>
        </w:tc>
        <w:tc>
          <w:tcPr>
            <w:tcW w:w="2268" w:type="dxa"/>
            <w:shd w:val="clear" w:color="auto" w:fill="auto"/>
            <w:vAlign w:val="bottom"/>
          </w:tcPr>
          <w:p w14:paraId="5166FB54" w14:textId="64677073" w:rsidR="00181941" w:rsidRPr="00E55352" w:rsidRDefault="00181941" w:rsidP="00181941">
            <w:pPr>
              <w:widowControl w:val="0"/>
              <w:tabs>
                <w:tab w:val="left" w:pos="510"/>
                <w:tab w:val="left" w:pos="1531"/>
                <w:tab w:val="left" w:pos="1814"/>
              </w:tabs>
              <w:suppressAutoHyphens/>
              <w:autoSpaceDE w:val="0"/>
              <w:autoSpaceDN w:val="0"/>
              <w:adjustRightInd w:val="0"/>
              <w:spacing w:before="40" w:line="260" w:lineRule="atLeast"/>
              <w:ind w:right="113"/>
              <w:textAlignment w:val="center"/>
              <w:rPr>
                <w:rFonts w:asciiTheme="majorBidi" w:hAnsiTheme="majorBidi" w:cstheme="majorBidi"/>
                <w:color w:val="000000"/>
                <w:sz w:val="20"/>
              </w:rPr>
            </w:pPr>
            <w:r w:rsidRPr="00E55352">
              <w:rPr>
                <w:color w:val="000000"/>
                <w:sz w:val="20"/>
              </w:rPr>
              <w:t>Serbia</w:t>
            </w:r>
          </w:p>
        </w:tc>
        <w:tc>
          <w:tcPr>
            <w:tcW w:w="1417" w:type="dxa"/>
            <w:shd w:val="clear" w:color="auto" w:fill="auto"/>
            <w:vAlign w:val="bottom"/>
          </w:tcPr>
          <w:p w14:paraId="76C4AFC3" w14:textId="5F3E00FA" w:rsidR="00181941" w:rsidRPr="00154B2D" w:rsidRDefault="00181941" w:rsidP="00181941">
            <w:pPr>
              <w:widowControl w:val="0"/>
              <w:tabs>
                <w:tab w:val="left" w:pos="510"/>
                <w:tab w:val="left" w:pos="1531"/>
                <w:tab w:val="left" w:pos="1814"/>
              </w:tabs>
              <w:suppressAutoHyphens/>
              <w:autoSpaceDE w:val="0"/>
              <w:autoSpaceDN w:val="0"/>
              <w:adjustRightInd w:val="0"/>
              <w:spacing w:before="40" w:line="260" w:lineRule="atLeast"/>
              <w:ind w:hanging="1418"/>
              <w:jc w:val="right"/>
              <w:textAlignment w:val="center"/>
              <w:rPr>
                <w:rFonts w:asciiTheme="majorBidi" w:hAnsiTheme="majorBidi" w:cstheme="majorBidi"/>
                <w:color w:val="000000"/>
                <w:sz w:val="20"/>
              </w:rPr>
            </w:pPr>
            <w:r>
              <w:rPr>
                <w:rFonts w:asciiTheme="majorBidi" w:hAnsiTheme="majorBidi" w:cstheme="majorBidi" w:hint="cs"/>
                <w:color w:val="000000"/>
                <w:sz w:val="20"/>
                <w:rtl/>
                <w:lang w:bidi="he-IL"/>
              </w:rPr>
              <w:t>96</w:t>
            </w:r>
            <w:r w:rsidRPr="00440C55">
              <w:rPr>
                <w:rFonts w:asciiTheme="majorBidi" w:hAnsiTheme="majorBidi" w:cstheme="majorBidi"/>
                <w:color w:val="000000"/>
                <w:sz w:val="20"/>
              </w:rPr>
              <w:t>.0</w:t>
            </w:r>
          </w:p>
        </w:tc>
        <w:tc>
          <w:tcPr>
            <w:tcW w:w="1417" w:type="dxa"/>
            <w:shd w:val="clear" w:color="auto" w:fill="auto"/>
            <w:vAlign w:val="bottom"/>
          </w:tcPr>
          <w:p w14:paraId="7297BB68" w14:textId="30025545" w:rsidR="00181941" w:rsidRPr="00E55352" w:rsidRDefault="00181941" w:rsidP="00181941">
            <w:pPr>
              <w:widowControl w:val="0"/>
              <w:tabs>
                <w:tab w:val="left" w:pos="510"/>
                <w:tab w:val="left" w:pos="1531"/>
                <w:tab w:val="left" w:pos="1814"/>
              </w:tabs>
              <w:suppressAutoHyphens/>
              <w:autoSpaceDE w:val="0"/>
              <w:autoSpaceDN w:val="0"/>
              <w:adjustRightInd w:val="0"/>
              <w:spacing w:before="40" w:line="260" w:lineRule="atLeast"/>
              <w:ind w:hanging="1418"/>
              <w:jc w:val="right"/>
              <w:textAlignment w:val="center"/>
              <w:rPr>
                <w:rFonts w:asciiTheme="majorBidi" w:hAnsiTheme="majorBidi" w:cstheme="majorBidi"/>
                <w:color w:val="000000"/>
                <w:sz w:val="20"/>
              </w:rPr>
            </w:pPr>
            <w:r>
              <w:rPr>
                <w:rFonts w:asciiTheme="majorBidi" w:hAnsiTheme="majorBidi" w:cstheme="majorBidi" w:hint="cs"/>
                <w:color w:val="000000"/>
                <w:sz w:val="20"/>
                <w:rtl/>
                <w:lang w:bidi="he-IL"/>
              </w:rPr>
              <w:t>96</w:t>
            </w:r>
            <w:r w:rsidRPr="00440C55">
              <w:rPr>
                <w:rFonts w:asciiTheme="majorBidi" w:hAnsiTheme="majorBidi" w:cstheme="majorBidi"/>
                <w:color w:val="000000"/>
                <w:sz w:val="20"/>
              </w:rPr>
              <w:t>.0</w:t>
            </w:r>
          </w:p>
        </w:tc>
      </w:tr>
      <w:tr w:rsidR="00181941" w:rsidRPr="00E55352" w14:paraId="0B313D2F" w14:textId="77777777" w:rsidTr="005101BC">
        <w:trPr>
          <w:trHeight w:val="240"/>
        </w:trPr>
        <w:tc>
          <w:tcPr>
            <w:tcW w:w="4535" w:type="dxa"/>
            <w:shd w:val="clear" w:color="auto" w:fill="auto"/>
            <w:noWrap/>
            <w:vAlign w:val="bottom"/>
          </w:tcPr>
          <w:p w14:paraId="32CFECBB" w14:textId="3C066556" w:rsidR="00181941" w:rsidRPr="00E55352" w:rsidRDefault="00181941" w:rsidP="00181941">
            <w:pPr>
              <w:widowControl w:val="0"/>
              <w:tabs>
                <w:tab w:val="left" w:pos="510"/>
                <w:tab w:val="left" w:pos="1531"/>
                <w:tab w:val="left" w:pos="1814"/>
              </w:tabs>
              <w:suppressAutoHyphens/>
              <w:autoSpaceDE w:val="0"/>
              <w:autoSpaceDN w:val="0"/>
              <w:adjustRightInd w:val="0"/>
              <w:spacing w:before="40" w:line="260" w:lineRule="atLeast"/>
              <w:ind w:left="1418" w:right="113" w:hanging="1418"/>
              <w:textAlignment w:val="center"/>
              <w:rPr>
                <w:rFonts w:asciiTheme="majorBidi" w:eastAsia="Arial" w:hAnsiTheme="majorBidi" w:cstheme="majorBidi"/>
                <w:sz w:val="20"/>
              </w:rPr>
            </w:pPr>
            <w:r w:rsidRPr="00E55352">
              <w:rPr>
                <w:rFonts w:asciiTheme="majorBidi" w:eastAsia="Arial" w:hAnsiTheme="majorBidi" w:cstheme="majorBidi"/>
                <w:sz w:val="20"/>
              </w:rPr>
              <w:t>AFI Zmaj East LLC</w:t>
            </w:r>
          </w:p>
        </w:tc>
        <w:tc>
          <w:tcPr>
            <w:tcW w:w="2268" w:type="dxa"/>
            <w:shd w:val="clear" w:color="auto" w:fill="auto"/>
            <w:vAlign w:val="bottom"/>
          </w:tcPr>
          <w:p w14:paraId="6DB98C8F" w14:textId="5C6A719A" w:rsidR="00181941" w:rsidRPr="00E55352" w:rsidRDefault="00181941" w:rsidP="00181941">
            <w:pPr>
              <w:widowControl w:val="0"/>
              <w:tabs>
                <w:tab w:val="left" w:pos="510"/>
                <w:tab w:val="left" w:pos="1531"/>
                <w:tab w:val="left" w:pos="1814"/>
              </w:tabs>
              <w:suppressAutoHyphens/>
              <w:autoSpaceDE w:val="0"/>
              <w:autoSpaceDN w:val="0"/>
              <w:adjustRightInd w:val="0"/>
              <w:spacing w:before="40" w:line="260" w:lineRule="atLeast"/>
              <w:ind w:right="113"/>
              <w:textAlignment w:val="center"/>
              <w:rPr>
                <w:rFonts w:asciiTheme="majorBidi" w:hAnsiTheme="majorBidi" w:cstheme="majorBidi"/>
                <w:color w:val="000000"/>
                <w:sz w:val="20"/>
              </w:rPr>
            </w:pPr>
            <w:r w:rsidRPr="00E55352">
              <w:rPr>
                <w:color w:val="000000"/>
                <w:sz w:val="20"/>
              </w:rPr>
              <w:t>Serbia</w:t>
            </w:r>
          </w:p>
        </w:tc>
        <w:tc>
          <w:tcPr>
            <w:tcW w:w="1417" w:type="dxa"/>
            <w:shd w:val="clear" w:color="auto" w:fill="auto"/>
            <w:vAlign w:val="bottom"/>
          </w:tcPr>
          <w:p w14:paraId="025246DC" w14:textId="67A58CEA" w:rsidR="00181941" w:rsidRPr="00154B2D" w:rsidRDefault="00181941" w:rsidP="00181941">
            <w:pPr>
              <w:widowControl w:val="0"/>
              <w:tabs>
                <w:tab w:val="left" w:pos="510"/>
                <w:tab w:val="left" w:pos="1531"/>
                <w:tab w:val="left" w:pos="1814"/>
              </w:tabs>
              <w:suppressAutoHyphens/>
              <w:autoSpaceDE w:val="0"/>
              <w:autoSpaceDN w:val="0"/>
              <w:adjustRightInd w:val="0"/>
              <w:spacing w:before="40" w:line="260" w:lineRule="atLeast"/>
              <w:ind w:hanging="1418"/>
              <w:jc w:val="right"/>
              <w:textAlignment w:val="center"/>
              <w:rPr>
                <w:rFonts w:asciiTheme="majorBidi" w:hAnsiTheme="majorBidi" w:cstheme="majorBidi"/>
                <w:color w:val="000000"/>
                <w:sz w:val="20"/>
              </w:rPr>
            </w:pPr>
            <w:r>
              <w:rPr>
                <w:rFonts w:asciiTheme="majorBidi" w:hAnsiTheme="majorBidi" w:cstheme="majorBidi" w:hint="cs"/>
                <w:color w:val="000000"/>
                <w:sz w:val="20"/>
                <w:rtl/>
                <w:lang w:bidi="he-IL"/>
              </w:rPr>
              <w:t>96</w:t>
            </w:r>
            <w:r w:rsidRPr="00440C55">
              <w:rPr>
                <w:rFonts w:asciiTheme="majorBidi" w:hAnsiTheme="majorBidi" w:cstheme="majorBidi"/>
                <w:color w:val="000000"/>
                <w:sz w:val="20"/>
              </w:rPr>
              <w:t>.0</w:t>
            </w:r>
          </w:p>
        </w:tc>
        <w:tc>
          <w:tcPr>
            <w:tcW w:w="1417" w:type="dxa"/>
            <w:shd w:val="clear" w:color="auto" w:fill="auto"/>
            <w:vAlign w:val="bottom"/>
          </w:tcPr>
          <w:p w14:paraId="2975119B" w14:textId="648DFD99" w:rsidR="00181941" w:rsidRPr="00E55352" w:rsidRDefault="00181941" w:rsidP="00181941">
            <w:pPr>
              <w:widowControl w:val="0"/>
              <w:tabs>
                <w:tab w:val="left" w:pos="510"/>
                <w:tab w:val="left" w:pos="1531"/>
                <w:tab w:val="left" w:pos="1814"/>
              </w:tabs>
              <w:suppressAutoHyphens/>
              <w:autoSpaceDE w:val="0"/>
              <w:autoSpaceDN w:val="0"/>
              <w:adjustRightInd w:val="0"/>
              <w:spacing w:before="40" w:line="260" w:lineRule="atLeast"/>
              <w:ind w:hanging="1418"/>
              <w:jc w:val="right"/>
              <w:textAlignment w:val="center"/>
              <w:rPr>
                <w:rFonts w:asciiTheme="majorBidi" w:hAnsiTheme="majorBidi" w:cstheme="majorBidi"/>
                <w:color w:val="000000"/>
                <w:sz w:val="20"/>
              </w:rPr>
            </w:pPr>
            <w:r>
              <w:rPr>
                <w:rFonts w:asciiTheme="majorBidi" w:hAnsiTheme="majorBidi" w:cstheme="majorBidi" w:hint="cs"/>
                <w:color w:val="000000"/>
                <w:sz w:val="20"/>
                <w:rtl/>
                <w:lang w:bidi="he-IL"/>
              </w:rPr>
              <w:t>96</w:t>
            </w:r>
            <w:r w:rsidRPr="00440C55">
              <w:rPr>
                <w:rFonts w:asciiTheme="majorBidi" w:hAnsiTheme="majorBidi" w:cstheme="majorBidi"/>
                <w:color w:val="000000"/>
                <w:sz w:val="20"/>
              </w:rPr>
              <w:t>.0</w:t>
            </w:r>
          </w:p>
        </w:tc>
      </w:tr>
      <w:tr w:rsidR="00181941" w:rsidRPr="00E55352" w14:paraId="5A6DFB69" w14:textId="77777777" w:rsidTr="005101BC">
        <w:trPr>
          <w:trHeight w:val="240"/>
        </w:trPr>
        <w:tc>
          <w:tcPr>
            <w:tcW w:w="4535" w:type="dxa"/>
            <w:shd w:val="clear" w:color="auto" w:fill="auto"/>
            <w:noWrap/>
            <w:vAlign w:val="bottom"/>
          </w:tcPr>
          <w:p w14:paraId="25A19362" w14:textId="4FC0BAF4" w:rsidR="00181941" w:rsidRPr="00E55352" w:rsidRDefault="00181941" w:rsidP="00181941">
            <w:pPr>
              <w:widowControl w:val="0"/>
              <w:tabs>
                <w:tab w:val="left" w:pos="510"/>
                <w:tab w:val="left" w:pos="1531"/>
                <w:tab w:val="left" w:pos="1814"/>
              </w:tabs>
              <w:suppressAutoHyphens/>
              <w:autoSpaceDE w:val="0"/>
              <w:autoSpaceDN w:val="0"/>
              <w:adjustRightInd w:val="0"/>
              <w:spacing w:before="40" w:line="260" w:lineRule="atLeast"/>
              <w:ind w:left="1418" w:right="113" w:hanging="1418"/>
              <w:textAlignment w:val="center"/>
              <w:rPr>
                <w:rFonts w:asciiTheme="majorBidi" w:eastAsia="Arial" w:hAnsiTheme="majorBidi" w:cstheme="majorBidi"/>
                <w:sz w:val="20"/>
              </w:rPr>
            </w:pPr>
            <w:r w:rsidRPr="00E55352">
              <w:rPr>
                <w:rFonts w:asciiTheme="majorBidi" w:eastAsia="Arial" w:hAnsiTheme="majorBidi" w:cstheme="majorBidi"/>
                <w:sz w:val="20"/>
              </w:rPr>
              <w:t xml:space="preserve">AFI Zmaj </w:t>
            </w:r>
            <w:r>
              <w:rPr>
                <w:rFonts w:asciiTheme="majorBidi" w:eastAsia="Arial" w:hAnsiTheme="majorBidi" w:cstheme="majorBidi"/>
                <w:sz w:val="20"/>
              </w:rPr>
              <w:t>North</w:t>
            </w:r>
            <w:r w:rsidRPr="00E55352">
              <w:rPr>
                <w:rFonts w:asciiTheme="majorBidi" w:eastAsia="Arial" w:hAnsiTheme="majorBidi" w:cstheme="majorBidi"/>
                <w:sz w:val="20"/>
              </w:rPr>
              <w:t xml:space="preserve"> LLC</w:t>
            </w:r>
          </w:p>
        </w:tc>
        <w:tc>
          <w:tcPr>
            <w:tcW w:w="2268" w:type="dxa"/>
            <w:shd w:val="clear" w:color="auto" w:fill="auto"/>
            <w:vAlign w:val="bottom"/>
          </w:tcPr>
          <w:p w14:paraId="429FDADD" w14:textId="5905D38C" w:rsidR="00181941" w:rsidRPr="00E55352" w:rsidRDefault="00181941" w:rsidP="00181941">
            <w:pPr>
              <w:widowControl w:val="0"/>
              <w:tabs>
                <w:tab w:val="left" w:pos="510"/>
                <w:tab w:val="left" w:pos="1531"/>
                <w:tab w:val="left" w:pos="1814"/>
              </w:tabs>
              <w:suppressAutoHyphens/>
              <w:autoSpaceDE w:val="0"/>
              <w:autoSpaceDN w:val="0"/>
              <w:adjustRightInd w:val="0"/>
              <w:spacing w:before="40" w:line="260" w:lineRule="atLeast"/>
              <w:ind w:right="113"/>
              <w:textAlignment w:val="center"/>
              <w:rPr>
                <w:color w:val="000000"/>
                <w:sz w:val="20"/>
              </w:rPr>
            </w:pPr>
            <w:r w:rsidRPr="00E55352">
              <w:rPr>
                <w:color w:val="000000"/>
                <w:sz w:val="20"/>
              </w:rPr>
              <w:t>Serbia</w:t>
            </w:r>
          </w:p>
        </w:tc>
        <w:tc>
          <w:tcPr>
            <w:tcW w:w="1417" w:type="dxa"/>
            <w:shd w:val="clear" w:color="auto" w:fill="auto"/>
            <w:vAlign w:val="bottom"/>
          </w:tcPr>
          <w:p w14:paraId="099C15F9" w14:textId="4F918D9B" w:rsidR="00181941" w:rsidRDefault="00181941" w:rsidP="00181941">
            <w:pPr>
              <w:widowControl w:val="0"/>
              <w:tabs>
                <w:tab w:val="left" w:pos="510"/>
                <w:tab w:val="left" w:pos="1531"/>
                <w:tab w:val="left" w:pos="1814"/>
              </w:tabs>
              <w:suppressAutoHyphens/>
              <w:autoSpaceDE w:val="0"/>
              <w:autoSpaceDN w:val="0"/>
              <w:adjustRightInd w:val="0"/>
              <w:spacing w:before="40" w:line="260" w:lineRule="atLeast"/>
              <w:ind w:hanging="1418"/>
              <w:jc w:val="right"/>
              <w:textAlignment w:val="center"/>
              <w:rPr>
                <w:rFonts w:asciiTheme="majorBidi" w:hAnsiTheme="majorBidi" w:cstheme="majorBidi"/>
                <w:color w:val="000000"/>
                <w:sz w:val="20"/>
                <w:rtl/>
                <w:lang w:bidi="he-IL"/>
              </w:rPr>
            </w:pPr>
            <w:r>
              <w:rPr>
                <w:rFonts w:asciiTheme="majorBidi" w:hAnsiTheme="majorBidi" w:cstheme="majorBidi" w:hint="cs"/>
                <w:color w:val="000000"/>
                <w:sz w:val="20"/>
                <w:rtl/>
                <w:lang w:bidi="he-IL"/>
              </w:rPr>
              <w:t>96</w:t>
            </w:r>
            <w:r w:rsidRPr="00440C55">
              <w:rPr>
                <w:rFonts w:asciiTheme="majorBidi" w:hAnsiTheme="majorBidi" w:cstheme="majorBidi"/>
                <w:color w:val="000000"/>
                <w:sz w:val="20"/>
              </w:rPr>
              <w:t>.0</w:t>
            </w:r>
          </w:p>
        </w:tc>
        <w:tc>
          <w:tcPr>
            <w:tcW w:w="1417" w:type="dxa"/>
            <w:shd w:val="clear" w:color="auto" w:fill="auto"/>
            <w:vAlign w:val="bottom"/>
          </w:tcPr>
          <w:p w14:paraId="4403A216" w14:textId="6205AC30" w:rsidR="00181941" w:rsidRDefault="00181941" w:rsidP="00181941">
            <w:pPr>
              <w:widowControl w:val="0"/>
              <w:tabs>
                <w:tab w:val="left" w:pos="510"/>
                <w:tab w:val="left" w:pos="1531"/>
                <w:tab w:val="left" w:pos="1814"/>
              </w:tabs>
              <w:suppressAutoHyphens/>
              <w:autoSpaceDE w:val="0"/>
              <w:autoSpaceDN w:val="0"/>
              <w:adjustRightInd w:val="0"/>
              <w:spacing w:before="40" w:line="260" w:lineRule="atLeast"/>
              <w:ind w:hanging="1418"/>
              <w:jc w:val="right"/>
              <w:textAlignment w:val="center"/>
              <w:rPr>
                <w:rFonts w:asciiTheme="majorBidi" w:hAnsiTheme="majorBidi" w:cstheme="majorBidi"/>
                <w:color w:val="000000"/>
                <w:sz w:val="20"/>
                <w:rtl/>
                <w:lang w:bidi="he-IL"/>
              </w:rPr>
            </w:pPr>
            <w:r>
              <w:rPr>
                <w:rFonts w:asciiTheme="majorBidi" w:hAnsiTheme="majorBidi" w:cstheme="majorBidi"/>
                <w:color w:val="000000"/>
                <w:sz w:val="20"/>
                <w:lang w:bidi="he-IL"/>
              </w:rPr>
              <w:t>-</w:t>
            </w:r>
          </w:p>
        </w:tc>
      </w:tr>
      <w:tr w:rsidR="00181941" w:rsidRPr="00E55352" w14:paraId="77A19E5C" w14:textId="77777777" w:rsidTr="005101BC">
        <w:trPr>
          <w:trHeight w:val="240"/>
        </w:trPr>
        <w:tc>
          <w:tcPr>
            <w:tcW w:w="4535" w:type="dxa"/>
            <w:shd w:val="clear" w:color="auto" w:fill="auto"/>
            <w:noWrap/>
            <w:vAlign w:val="bottom"/>
          </w:tcPr>
          <w:p w14:paraId="6A55BACF" w14:textId="2CF543BC" w:rsidR="00181941" w:rsidRPr="00E55352" w:rsidRDefault="00181941" w:rsidP="00181941">
            <w:pPr>
              <w:widowControl w:val="0"/>
              <w:tabs>
                <w:tab w:val="left" w:pos="510"/>
                <w:tab w:val="left" w:pos="1531"/>
                <w:tab w:val="left" w:pos="1814"/>
              </w:tabs>
              <w:suppressAutoHyphens/>
              <w:autoSpaceDE w:val="0"/>
              <w:autoSpaceDN w:val="0"/>
              <w:adjustRightInd w:val="0"/>
              <w:spacing w:before="40" w:line="260" w:lineRule="atLeast"/>
              <w:ind w:left="1418" w:right="113" w:hanging="1418"/>
              <w:textAlignment w:val="center"/>
              <w:rPr>
                <w:rFonts w:asciiTheme="majorBidi" w:eastAsia="Arial" w:hAnsiTheme="majorBidi" w:cstheme="majorBidi"/>
                <w:sz w:val="20"/>
              </w:rPr>
            </w:pPr>
            <w:r>
              <w:rPr>
                <w:rFonts w:asciiTheme="majorBidi" w:eastAsia="Arial" w:hAnsiTheme="majorBidi" w:cstheme="majorBidi"/>
                <w:sz w:val="20"/>
              </w:rPr>
              <w:t>Skyline Home LLC</w:t>
            </w:r>
          </w:p>
        </w:tc>
        <w:tc>
          <w:tcPr>
            <w:tcW w:w="2268" w:type="dxa"/>
            <w:shd w:val="clear" w:color="auto" w:fill="auto"/>
            <w:vAlign w:val="bottom"/>
          </w:tcPr>
          <w:p w14:paraId="75EC9992" w14:textId="7EBCBD25" w:rsidR="00181941" w:rsidRPr="00E55352" w:rsidRDefault="00181941" w:rsidP="00181941">
            <w:pPr>
              <w:widowControl w:val="0"/>
              <w:tabs>
                <w:tab w:val="left" w:pos="510"/>
                <w:tab w:val="left" w:pos="1531"/>
                <w:tab w:val="left" w:pos="1814"/>
              </w:tabs>
              <w:suppressAutoHyphens/>
              <w:autoSpaceDE w:val="0"/>
              <w:autoSpaceDN w:val="0"/>
              <w:adjustRightInd w:val="0"/>
              <w:spacing w:before="40" w:line="260" w:lineRule="atLeast"/>
              <w:ind w:right="113"/>
              <w:textAlignment w:val="center"/>
              <w:rPr>
                <w:color w:val="000000"/>
                <w:sz w:val="20"/>
              </w:rPr>
            </w:pPr>
            <w:r>
              <w:rPr>
                <w:color w:val="000000"/>
                <w:sz w:val="20"/>
              </w:rPr>
              <w:t>Serbia</w:t>
            </w:r>
          </w:p>
        </w:tc>
        <w:tc>
          <w:tcPr>
            <w:tcW w:w="1417" w:type="dxa"/>
            <w:shd w:val="clear" w:color="auto" w:fill="auto"/>
            <w:vAlign w:val="bottom"/>
          </w:tcPr>
          <w:p w14:paraId="10CC7858" w14:textId="13404B30" w:rsidR="00181941" w:rsidRPr="00440C55" w:rsidRDefault="00181941" w:rsidP="00181941">
            <w:pPr>
              <w:widowControl w:val="0"/>
              <w:tabs>
                <w:tab w:val="left" w:pos="510"/>
                <w:tab w:val="left" w:pos="1531"/>
                <w:tab w:val="left" w:pos="1814"/>
              </w:tabs>
              <w:suppressAutoHyphens/>
              <w:autoSpaceDE w:val="0"/>
              <w:autoSpaceDN w:val="0"/>
              <w:adjustRightInd w:val="0"/>
              <w:spacing w:before="40" w:line="260" w:lineRule="atLeast"/>
              <w:ind w:hanging="1418"/>
              <w:jc w:val="right"/>
              <w:textAlignment w:val="center"/>
              <w:rPr>
                <w:rFonts w:asciiTheme="majorBidi" w:hAnsiTheme="majorBidi" w:cstheme="majorBidi"/>
                <w:color w:val="000000"/>
                <w:sz w:val="20"/>
              </w:rPr>
            </w:pPr>
            <w:r>
              <w:rPr>
                <w:rFonts w:asciiTheme="majorBidi" w:hAnsiTheme="majorBidi" w:cstheme="majorBidi"/>
                <w:color w:val="000000"/>
                <w:sz w:val="20"/>
              </w:rPr>
              <w:t>96.0</w:t>
            </w:r>
          </w:p>
        </w:tc>
        <w:tc>
          <w:tcPr>
            <w:tcW w:w="1417" w:type="dxa"/>
            <w:shd w:val="clear" w:color="auto" w:fill="auto"/>
            <w:vAlign w:val="bottom"/>
          </w:tcPr>
          <w:p w14:paraId="0F3176A7" w14:textId="4110BD42" w:rsidR="00181941" w:rsidRPr="00440C55" w:rsidRDefault="00181941" w:rsidP="00181941">
            <w:pPr>
              <w:widowControl w:val="0"/>
              <w:tabs>
                <w:tab w:val="left" w:pos="510"/>
                <w:tab w:val="left" w:pos="1531"/>
                <w:tab w:val="left" w:pos="1814"/>
              </w:tabs>
              <w:suppressAutoHyphens/>
              <w:autoSpaceDE w:val="0"/>
              <w:autoSpaceDN w:val="0"/>
              <w:adjustRightInd w:val="0"/>
              <w:spacing w:before="40" w:line="260" w:lineRule="atLeast"/>
              <w:ind w:hanging="1418"/>
              <w:jc w:val="right"/>
              <w:textAlignment w:val="center"/>
              <w:rPr>
                <w:rFonts w:asciiTheme="majorBidi" w:hAnsiTheme="majorBidi" w:cstheme="majorBidi"/>
                <w:color w:val="000000"/>
                <w:sz w:val="20"/>
              </w:rPr>
            </w:pPr>
            <w:r>
              <w:rPr>
                <w:rFonts w:asciiTheme="majorBidi" w:hAnsiTheme="majorBidi" w:cstheme="majorBidi"/>
                <w:color w:val="000000"/>
                <w:sz w:val="20"/>
              </w:rPr>
              <w:t>96.0</w:t>
            </w:r>
          </w:p>
        </w:tc>
      </w:tr>
      <w:tr w:rsidR="00181941" w:rsidRPr="00E55352" w14:paraId="379E0351" w14:textId="77777777" w:rsidTr="005101BC">
        <w:trPr>
          <w:trHeight w:val="240"/>
        </w:trPr>
        <w:tc>
          <w:tcPr>
            <w:tcW w:w="4535" w:type="dxa"/>
            <w:shd w:val="clear" w:color="auto" w:fill="auto"/>
            <w:noWrap/>
            <w:vAlign w:val="bottom"/>
          </w:tcPr>
          <w:p w14:paraId="7B04DE55" w14:textId="1C93838B" w:rsidR="00181941" w:rsidRPr="00E55352" w:rsidRDefault="00181941" w:rsidP="00181941">
            <w:pPr>
              <w:widowControl w:val="0"/>
              <w:tabs>
                <w:tab w:val="left" w:pos="510"/>
                <w:tab w:val="left" w:pos="1531"/>
                <w:tab w:val="left" w:pos="1814"/>
              </w:tabs>
              <w:suppressAutoHyphens/>
              <w:autoSpaceDE w:val="0"/>
              <w:autoSpaceDN w:val="0"/>
              <w:adjustRightInd w:val="0"/>
              <w:spacing w:before="40" w:line="260" w:lineRule="atLeast"/>
              <w:ind w:left="1418" w:right="113" w:hanging="1418"/>
              <w:textAlignment w:val="center"/>
              <w:rPr>
                <w:rFonts w:asciiTheme="majorBidi" w:eastAsia="Arial" w:hAnsiTheme="majorBidi" w:cstheme="majorBidi"/>
                <w:sz w:val="20"/>
              </w:rPr>
            </w:pPr>
            <w:r w:rsidRPr="00E55352">
              <w:rPr>
                <w:rFonts w:asciiTheme="majorBidi" w:eastAsia="Arial" w:hAnsiTheme="majorBidi" w:cstheme="majorBidi"/>
                <w:sz w:val="20"/>
              </w:rPr>
              <w:t>Premium Property Management EOOD</w:t>
            </w:r>
          </w:p>
        </w:tc>
        <w:tc>
          <w:tcPr>
            <w:tcW w:w="2268" w:type="dxa"/>
            <w:shd w:val="clear" w:color="auto" w:fill="auto"/>
            <w:vAlign w:val="bottom"/>
          </w:tcPr>
          <w:p w14:paraId="04D24DCE" w14:textId="622A2B2F" w:rsidR="00181941" w:rsidRPr="00E55352" w:rsidRDefault="00181941" w:rsidP="00181941">
            <w:pPr>
              <w:widowControl w:val="0"/>
              <w:tabs>
                <w:tab w:val="left" w:pos="510"/>
                <w:tab w:val="left" w:pos="1531"/>
                <w:tab w:val="left" w:pos="1814"/>
              </w:tabs>
              <w:suppressAutoHyphens/>
              <w:autoSpaceDE w:val="0"/>
              <w:autoSpaceDN w:val="0"/>
              <w:adjustRightInd w:val="0"/>
              <w:spacing w:before="40" w:line="260" w:lineRule="atLeast"/>
              <w:ind w:right="113"/>
              <w:textAlignment w:val="center"/>
              <w:rPr>
                <w:rFonts w:asciiTheme="majorBidi" w:hAnsiTheme="majorBidi" w:cstheme="majorBidi"/>
                <w:color w:val="000000"/>
                <w:sz w:val="20"/>
              </w:rPr>
            </w:pPr>
            <w:r w:rsidRPr="00E55352">
              <w:rPr>
                <w:rFonts w:asciiTheme="majorBidi" w:hAnsiTheme="majorBidi" w:cstheme="majorBidi"/>
                <w:color w:val="000000"/>
                <w:sz w:val="20"/>
              </w:rPr>
              <w:t>Bulgaria</w:t>
            </w:r>
          </w:p>
        </w:tc>
        <w:tc>
          <w:tcPr>
            <w:tcW w:w="1417" w:type="dxa"/>
            <w:shd w:val="clear" w:color="auto" w:fill="auto"/>
            <w:vAlign w:val="bottom"/>
          </w:tcPr>
          <w:p w14:paraId="12FF931B" w14:textId="2491215E" w:rsidR="00181941" w:rsidRPr="00154B2D" w:rsidRDefault="00181941" w:rsidP="00181941">
            <w:pPr>
              <w:widowControl w:val="0"/>
              <w:tabs>
                <w:tab w:val="left" w:pos="510"/>
                <w:tab w:val="left" w:pos="1531"/>
                <w:tab w:val="left" w:pos="1814"/>
              </w:tabs>
              <w:suppressAutoHyphens/>
              <w:autoSpaceDE w:val="0"/>
              <w:autoSpaceDN w:val="0"/>
              <w:adjustRightInd w:val="0"/>
              <w:spacing w:before="40" w:line="260" w:lineRule="atLeast"/>
              <w:ind w:hanging="1418"/>
              <w:jc w:val="right"/>
              <w:textAlignment w:val="center"/>
              <w:rPr>
                <w:rFonts w:asciiTheme="majorBidi" w:hAnsiTheme="majorBidi" w:cstheme="majorBidi"/>
                <w:color w:val="000000"/>
                <w:sz w:val="20"/>
              </w:rPr>
            </w:pPr>
            <w:r w:rsidRPr="00440C55">
              <w:rPr>
                <w:rFonts w:asciiTheme="majorBidi" w:hAnsiTheme="majorBidi" w:cstheme="majorBidi"/>
                <w:color w:val="000000"/>
                <w:sz w:val="20"/>
              </w:rPr>
              <w:t>100.0</w:t>
            </w:r>
          </w:p>
        </w:tc>
        <w:tc>
          <w:tcPr>
            <w:tcW w:w="1417" w:type="dxa"/>
            <w:shd w:val="clear" w:color="auto" w:fill="auto"/>
            <w:vAlign w:val="bottom"/>
          </w:tcPr>
          <w:p w14:paraId="71BB4048" w14:textId="46A317AD" w:rsidR="00181941" w:rsidRPr="00E55352" w:rsidRDefault="00181941" w:rsidP="00181941">
            <w:pPr>
              <w:widowControl w:val="0"/>
              <w:tabs>
                <w:tab w:val="left" w:pos="510"/>
                <w:tab w:val="left" w:pos="1531"/>
                <w:tab w:val="left" w:pos="1814"/>
              </w:tabs>
              <w:suppressAutoHyphens/>
              <w:autoSpaceDE w:val="0"/>
              <w:autoSpaceDN w:val="0"/>
              <w:adjustRightInd w:val="0"/>
              <w:spacing w:before="40" w:line="260" w:lineRule="atLeast"/>
              <w:ind w:hanging="1418"/>
              <w:jc w:val="right"/>
              <w:textAlignment w:val="center"/>
              <w:rPr>
                <w:rFonts w:asciiTheme="majorBidi" w:hAnsiTheme="majorBidi" w:cstheme="majorBidi"/>
                <w:color w:val="000000"/>
                <w:sz w:val="20"/>
              </w:rPr>
            </w:pPr>
            <w:r w:rsidRPr="00440C55">
              <w:rPr>
                <w:rFonts w:asciiTheme="majorBidi" w:hAnsiTheme="majorBidi" w:cstheme="majorBidi"/>
                <w:color w:val="000000"/>
                <w:sz w:val="20"/>
              </w:rPr>
              <w:t>100.0</w:t>
            </w:r>
          </w:p>
        </w:tc>
      </w:tr>
      <w:tr w:rsidR="00181941" w:rsidRPr="00E55352" w14:paraId="41E3627D" w14:textId="77777777" w:rsidTr="005101BC">
        <w:trPr>
          <w:trHeight w:val="240"/>
        </w:trPr>
        <w:tc>
          <w:tcPr>
            <w:tcW w:w="4535" w:type="dxa"/>
            <w:shd w:val="clear" w:color="auto" w:fill="auto"/>
            <w:noWrap/>
            <w:vAlign w:val="bottom"/>
          </w:tcPr>
          <w:p w14:paraId="43F20953" w14:textId="76046F83" w:rsidR="00181941" w:rsidRPr="00E55352" w:rsidRDefault="00181941" w:rsidP="00181941">
            <w:pPr>
              <w:widowControl w:val="0"/>
              <w:tabs>
                <w:tab w:val="left" w:pos="510"/>
                <w:tab w:val="left" w:pos="1531"/>
                <w:tab w:val="left" w:pos="1814"/>
              </w:tabs>
              <w:suppressAutoHyphens/>
              <w:autoSpaceDE w:val="0"/>
              <w:autoSpaceDN w:val="0"/>
              <w:adjustRightInd w:val="0"/>
              <w:spacing w:before="40" w:line="260" w:lineRule="atLeast"/>
              <w:ind w:left="1418" w:right="113" w:hanging="1418"/>
              <w:textAlignment w:val="center"/>
              <w:rPr>
                <w:rFonts w:asciiTheme="majorBidi" w:eastAsia="Arial" w:hAnsiTheme="majorBidi" w:cstheme="majorBidi"/>
                <w:sz w:val="20"/>
              </w:rPr>
            </w:pPr>
            <w:r w:rsidRPr="00E55352">
              <w:rPr>
                <w:rFonts w:asciiTheme="majorBidi" w:eastAsia="Arial" w:hAnsiTheme="majorBidi" w:cstheme="majorBidi"/>
                <w:sz w:val="20"/>
              </w:rPr>
              <w:t xml:space="preserve">AFI </w:t>
            </w:r>
            <w:proofErr w:type="spellStart"/>
            <w:r w:rsidRPr="00E55352">
              <w:rPr>
                <w:rFonts w:asciiTheme="majorBidi" w:eastAsia="Arial" w:hAnsiTheme="majorBidi" w:cstheme="majorBidi"/>
                <w:sz w:val="20"/>
              </w:rPr>
              <w:t>Lagera</w:t>
            </w:r>
            <w:proofErr w:type="spellEnd"/>
            <w:r w:rsidRPr="00E55352">
              <w:rPr>
                <w:rFonts w:asciiTheme="majorBidi" w:eastAsia="Arial" w:hAnsiTheme="majorBidi" w:cstheme="majorBidi"/>
                <w:sz w:val="20"/>
              </w:rPr>
              <w:t xml:space="preserve"> Tulip EOOD</w:t>
            </w:r>
          </w:p>
        </w:tc>
        <w:tc>
          <w:tcPr>
            <w:tcW w:w="2268" w:type="dxa"/>
            <w:shd w:val="clear" w:color="auto" w:fill="auto"/>
            <w:vAlign w:val="bottom"/>
          </w:tcPr>
          <w:p w14:paraId="375C9942" w14:textId="2336E822" w:rsidR="00181941" w:rsidRPr="00E55352" w:rsidRDefault="00181941" w:rsidP="00181941">
            <w:pPr>
              <w:widowControl w:val="0"/>
              <w:tabs>
                <w:tab w:val="left" w:pos="510"/>
                <w:tab w:val="left" w:pos="1531"/>
                <w:tab w:val="left" w:pos="1814"/>
              </w:tabs>
              <w:suppressAutoHyphens/>
              <w:autoSpaceDE w:val="0"/>
              <w:autoSpaceDN w:val="0"/>
              <w:adjustRightInd w:val="0"/>
              <w:spacing w:before="40" w:line="260" w:lineRule="atLeast"/>
              <w:ind w:right="113"/>
              <w:textAlignment w:val="center"/>
              <w:rPr>
                <w:rFonts w:asciiTheme="majorBidi" w:hAnsiTheme="majorBidi" w:cstheme="majorBidi"/>
                <w:color w:val="000000"/>
                <w:sz w:val="20"/>
              </w:rPr>
            </w:pPr>
            <w:r w:rsidRPr="00E55352">
              <w:rPr>
                <w:rFonts w:asciiTheme="majorBidi" w:hAnsiTheme="majorBidi" w:cstheme="majorBidi"/>
                <w:color w:val="000000"/>
                <w:sz w:val="20"/>
              </w:rPr>
              <w:t>Bulgaria</w:t>
            </w:r>
          </w:p>
        </w:tc>
        <w:tc>
          <w:tcPr>
            <w:tcW w:w="1417" w:type="dxa"/>
            <w:shd w:val="clear" w:color="auto" w:fill="auto"/>
            <w:vAlign w:val="bottom"/>
          </w:tcPr>
          <w:p w14:paraId="7670463A" w14:textId="6EB9DE13" w:rsidR="00181941" w:rsidRPr="00154B2D" w:rsidRDefault="00181941" w:rsidP="00181941">
            <w:pPr>
              <w:widowControl w:val="0"/>
              <w:tabs>
                <w:tab w:val="left" w:pos="510"/>
                <w:tab w:val="left" w:pos="1531"/>
                <w:tab w:val="left" w:pos="1814"/>
              </w:tabs>
              <w:suppressAutoHyphens/>
              <w:autoSpaceDE w:val="0"/>
              <w:autoSpaceDN w:val="0"/>
              <w:adjustRightInd w:val="0"/>
              <w:spacing w:before="40" w:line="260" w:lineRule="atLeast"/>
              <w:ind w:hanging="1418"/>
              <w:jc w:val="right"/>
              <w:textAlignment w:val="center"/>
              <w:rPr>
                <w:rFonts w:asciiTheme="majorBidi" w:hAnsiTheme="majorBidi" w:cstheme="majorBidi"/>
                <w:color w:val="000000"/>
                <w:sz w:val="20"/>
              </w:rPr>
            </w:pPr>
            <w:r w:rsidRPr="00440C55">
              <w:rPr>
                <w:rFonts w:asciiTheme="majorBidi" w:hAnsiTheme="majorBidi" w:cstheme="majorBidi"/>
                <w:color w:val="000000"/>
                <w:sz w:val="20"/>
              </w:rPr>
              <w:t xml:space="preserve"> 100.0</w:t>
            </w:r>
          </w:p>
        </w:tc>
        <w:tc>
          <w:tcPr>
            <w:tcW w:w="1417" w:type="dxa"/>
            <w:shd w:val="clear" w:color="auto" w:fill="auto"/>
            <w:vAlign w:val="bottom"/>
          </w:tcPr>
          <w:p w14:paraId="4C430353" w14:textId="40DFCC27" w:rsidR="00181941" w:rsidRPr="00E55352" w:rsidRDefault="00181941" w:rsidP="00181941">
            <w:pPr>
              <w:widowControl w:val="0"/>
              <w:tabs>
                <w:tab w:val="left" w:pos="510"/>
                <w:tab w:val="left" w:pos="1531"/>
                <w:tab w:val="left" w:pos="1814"/>
              </w:tabs>
              <w:suppressAutoHyphens/>
              <w:autoSpaceDE w:val="0"/>
              <w:autoSpaceDN w:val="0"/>
              <w:adjustRightInd w:val="0"/>
              <w:spacing w:before="40" w:line="260" w:lineRule="atLeast"/>
              <w:ind w:hanging="1418"/>
              <w:jc w:val="right"/>
              <w:textAlignment w:val="center"/>
              <w:rPr>
                <w:rFonts w:asciiTheme="majorBidi" w:hAnsiTheme="majorBidi" w:cstheme="majorBidi"/>
                <w:color w:val="000000"/>
                <w:sz w:val="20"/>
              </w:rPr>
            </w:pPr>
            <w:r w:rsidRPr="00440C55">
              <w:rPr>
                <w:rFonts w:asciiTheme="majorBidi" w:hAnsiTheme="majorBidi" w:cstheme="majorBidi"/>
                <w:color w:val="000000"/>
                <w:sz w:val="20"/>
              </w:rPr>
              <w:t xml:space="preserve"> 100.0</w:t>
            </w:r>
          </w:p>
        </w:tc>
      </w:tr>
      <w:tr w:rsidR="00181941" w:rsidRPr="00E55352" w14:paraId="6AB88248" w14:textId="77777777" w:rsidTr="005101BC">
        <w:trPr>
          <w:trHeight w:val="240"/>
        </w:trPr>
        <w:tc>
          <w:tcPr>
            <w:tcW w:w="4535" w:type="dxa"/>
            <w:shd w:val="clear" w:color="auto" w:fill="auto"/>
            <w:noWrap/>
            <w:vAlign w:val="bottom"/>
          </w:tcPr>
          <w:p w14:paraId="4B463F5C" w14:textId="6BFB7D14" w:rsidR="00181941" w:rsidRPr="00E55352" w:rsidRDefault="00181941" w:rsidP="00181941">
            <w:pPr>
              <w:widowControl w:val="0"/>
              <w:tabs>
                <w:tab w:val="left" w:pos="510"/>
                <w:tab w:val="left" w:pos="1531"/>
                <w:tab w:val="left" w:pos="1814"/>
              </w:tabs>
              <w:suppressAutoHyphens/>
              <w:autoSpaceDE w:val="0"/>
              <w:autoSpaceDN w:val="0"/>
              <w:adjustRightInd w:val="0"/>
              <w:spacing w:before="40" w:line="260" w:lineRule="atLeast"/>
              <w:ind w:left="1418" w:right="113" w:hanging="1418"/>
              <w:textAlignment w:val="center"/>
              <w:rPr>
                <w:rFonts w:asciiTheme="majorBidi" w:eastAsia="Arial" w:hAnsiTheme="majorBidi" w:cstheme="majorBidi"/>
                <w:sz w:val="20"/>
              </w:rPr>
            </w:pPr>
            <w:r w:rsidRPr="00E55352">
              <w:rPr>
                <w:rFonts w:asciiTheme="majorBidi" w:eastAsia="Arial" w:hAnsiTheme="majorBidi" w:cstheme="majorBidi"/>
                <w:sz w:val="20"/>
              </w:rPr>
              <w:t>Plovdiv Logistic Center AD</w:t>
            </w:r>
          </w:p>
        </w:tc>
        <w:tc>
          <w:tcPr>
            <w:tcW w:w="2268" w:type="dxa"/>
            <w:shd w:val="clear" w:color="auto" w:fill="auto"/>
            <w:vAlign w:val="bottom"/>
          </w:tcPr>
          <w:p w14:paraId="60F9801D" w14:textId="29FA487A" w:rsidR="00181941" w:rsidRPr="00E55352" w:rsidRDefault="00181941" w:rsidP="00181941">
            <w:pPr>
              <w:widowControl w:val="0"/>
              <w:tabs>
                <w:tab w:val="left" w:pos="510"/>
                <w:tab w:val="left" w:pos="1531"/>
                <w:tab w:val="left" w:pos="1814"/>
              </w:tabs>
              <w:suppressAutoHyphens/>
              <w:autoSpaceDE w:val="0"/>
              <w:autoSpaceDN w:val="0"/>
              <w:adjustRightInd w:val="0"/>
              <w:spacing w:before="40" w:line="260" w:lineRule="atLeast"/>
              <w:ind w:right="113"/>
              <w:textAlignment w:val="center"/>
              <w:rPr>
                <w:rFonts w:asciiTheme="majorBidi" w:hAnsiTheme="majorBidi" w:cstheme="majorBidi"/>
                <w:color w:val="000000"/>
                <w:sz w:val="20"/>
              </w:rPr>
            </w:pPr>
            <w:r w:rsidRPr="00E55352">
              <w:rPr>
                <w:rFonts w:asciiTheme="majorBidi" w:hAnsiTheme="majorBidi" w:cstheme="majorBidi"/>
                <w:color w:val="000000"/>
                <w:sz w:val="20"/>
              </w:rPr>
              <w:t>Bulgaria</w:t>
            </w:r>
          </w:p>
        </w:tc>
        <w:tc>
          <w:tcPr>
            <w:tcW w:w="1417" w:type="dxa"/>
            <w:shd w:val="clear" w:color="auto" w:fill="auto"/>
            <w:vAlign w:val="bottom"/>
          </w:tcPr>
          <w:p w14:paraId="5EB4D49D" w14:textId="6B897151" w:rsidR="00181941" w:rsidRPr="00154B2D" w:rsidRDefault="00181941" w:rsidP="00181941">
            <w:pPr>
              <w:widowControl w:val="0"/>
              <w:tabs>
                <w:tab w:val="left" w:pos="510"/>
                <w:tab w:val="left" w:pos="1531"/>
                <w:tab w:val="left" w:pos="1814"/>
              </w:tabs>
              <w:suppressAutoHyphens/>
              <w:autoSpaceDE w:val="0"/>
              <w:autoSpaceDN w:val="0"/>
              <w:adjustRightInd w:val="0"/>
              <w:spacing w:before="40" w:line="260" w:lineRule="atLeast"/>
              <w:ind w:hanging="1418"/>
              <w:jc w:val="right"/>
              <w:textAlignment w:val="center"/>
              <w:rPr>
                <w:rFonts w:asciiTheme="majorBidi" w:hAnsiTheme="majorBidi" w:cstheme="majorBidi"/>
                <w:color w:val="000000"/>
                <w:sz w:val="20"/>
              </w:rPr>
            </w:pPr>
            <w:r w:rsidRPr="00440C55">
              <w:rPr>
                <w:rFonts w:asciiTheme="majorBidi" w:hAnsiTheme="majorBidi" w:cstheme="majorBidi"/>
                <w:color w:val="000000"/>
                <w:sz w:val="20"/>
              </w:rPr>
              <w:t xml:space="preserve"> 75.0</w:t>
            </w:r>
          </w:p>
        </w:tc>
        <w:tc>
          <w:tcPr>
            <w:tcW w:w="1417" w:type="dxa"/>
            <w:shd w:val="clear" w:color="auto" w:fill="auto"/>
            <w:vAlign w:val="bottom"/>
          </w:tcPr>
          <w:p w14:paraId="5A4D8372" w14:textId="144C37C4" w:rsidR="00181941" w:rsidRPr="00E55352" w:rsidRDefault="00181941" w:rsidP="00181941">
            <w:pPr>
              <w:widowControl w:val="0"/>
              <w:tabs>
                <w:tab w:val="left" w:pos="510"/>
                <w:tab w:val="left" w:pos="1531"/>
                <w:tab w:val="left" w:pos="1814"/>
              </w:tabs>
              <w:suppressAutoHyphens/>
              <w:autoSpaceDE w:val="0"/>
              <w:autoSpaceDN w:val="0"/>
              <w:adjustRightInd w:val="0"/>
              <w:spacing w:before="40" w:line="260" w:lineRule="atLeast"/>
              <w:ind w:hanging="1418"/>
              <w:jc w:val="right"/>
              <w:textAlignment w:val="center"/>
              <w:rPr>
                <w:rFonts w:asciiTheme="majorBidi" w:hAnsiTheme="majorBidi" w:cstheme="majorBidi"/>
                <w:color w:val="000000"/>
                <w:sz w:val="20"/>
              </w:rPr>
            </w:pPr>
            <w:r w:rsidRPr="00440C55">
              <w:rPr>
                <w:rFonts w:asciiTheme="majorBidi" w:hAnsiTheme="majorBidi" w:cstheme="majorBidi"/>
                <w:color w:val="000000"/>
                <w:sz w:val="20"/>
              </w:rPr>
              <w:t xml:space="preserve"> 75.0</w:t>
            </w:r>
          </w:p>
        </w:tc>
      </w:tr>
      <w:tr w:rsidR="00181941" w:rsidRPr="00E55352" w14:paraId="5819B187" w14:textId="77777777" w:rsidTr="005101BC">
        <w:trPr>
          <w:trHeight w:val="240"/>
        </w:trPr>
        <w:tc>
          <w:tcPr>
            <w:tcW w:w="4535" w:type="dxa"/>
            <w:shd w:val="clear" w:color="auto" w:fill="auto"/>
            <w:noWrap/>
            <w:vAlign w:val="bottom"/>
          </w:tcPr>
          <w:p w14:paraId="03AC964D" w14:textId="76AD594A" w:rsidR="00181941" w:rsidRPr="00E55352" w:rsidRDefault="00181941" w:rsidP="00181941">
            <w:pPr>
              <w:widowControl w:val="0"/>
              <w:tabs>
                <w:tab w:val="left" w:pos="510"/>
                <w:tab w:val="left" w:pos="1531"/>
                <w:tab w:val="left" w:pos="1814"/>
              </w:tabs>
              <w:suppressAutoHyphens/>
              <w:autoSpaceDE w:val="0"/>
              <w:autoSpaceDN w:val="0"/>
              <w:adjustRightInd w:val="0"/>
              <w:spacing w:before="40" w:line="260" w:lineRule="atLeast"/>
              <w:ind w:left="1418" w:right="113" w:hanging="1418"/>
              <w:textAlignment w:val="center"/>
              <w:rPr>
                <w:rFonts w:asciiTheme="majorBidi" w:eastAsia="Arial" w:hAnsiTheme="majorBidi" w:cstheme="majorBidi"/>
                <w:sz w:val="20"/>
              </w:rPr>
            </w:pPr>
            <w:r w:rsidRPr="00E55352">
              <w:rPr>
                <w:rFonts w:asciiTheme="majorBidi" w:eastAsia="Arial" w:hAnsiTheme="majorBidi" w:cstheme="majorBidi"/>
                <w:sz w:val="20"/>
              </w:rPr>
              <w:t>Malina Gardens EOOD</w:t>
            </w:r>
          </w:p>
        </w:tc>
        <w:tc>
          <w:tcPr>
            <w:tcW w:w="2268" w:type="dxa"/>
            <w:shd w:val="clear" w:color="auto" w:fill="auto"/>
            <w:vAlign w:val="bottom"/>
          </w:tcPr>
          <w:p w14:paraId="0F0EC318" w14:textId="734764D0" w:rsidR="00181941" w:rsidRPr="00E55352" w:rsidRDefault="00181941" w:rsidP="00181941">
            <w:pPr>
              <w:widowControl w:val="0"/>
              <w:tabs>
                <w:tab w:val="left" w:pos="510"/>
                <w:tab w:val="left" w:pos="1531"/>
                <w:tab w:val="left" w:pos="1814"/>
              </w:tabs>
              <w:suppressAutoHyphens/>
              <w:autoSpaceDE w:val="0"/>
              <w:autoSpaceDN w:val="0"/>
              <w:adjustRightInd w:val="0"/>
              <w:spacing w:before="40" w:line="260" w:lineRule="atLeast"/>
              <w:ind w:right="113"/>
              <w:textAlignment w:val="center"/>
              <w:rPr>
                <w:rFonts w:asciiTheme="majorBidi" w:hAnsiTheme="majorBidi" w:cstheme="majorBidi"/>
                <w:color w:val="000000"/>
                <w:sz w:val="20"/>
              </w:rPr>
            </w:pPr>
            <w:r w:rsidRPr="00E55352">
              <w:rPr>
                <w:rFonts w:asciiTheme="majorBidi" w:hAnsiTheme="majorBidi" w:cstheme="majorBidi"/>
                <w:color w:val="000000"/>
                <w:sz w:val="20"/>
              </w:rPr>
              <w:t>Bulgaria</w:t>
            </w:r>
          </w:p>
        </w:tc>
        <w:tc>
          <w:tcPr>
            <w:tcW w:w="1417" w:type="dxa"/>
            <w:shd w:val="clear" w:color="auto" w:fill="auto"/>
            <w:vAlign w:val="bottom"/>
          </w:tcPr>
          <w:p w14:paraId="445F2F42" w14:textId="12CD185B" w:rsidR="00181941" w:rsidRPr="00154B2D" w:rsidRDefault="00181941" w:rsidP="00181941">
            <w:pPr>
              <w:widowControl w:val="0"/>
              <w:tabs>
                <w:tab w:val="left" w:pos="510"/>
                <w:tab w:val="left" w:pos="1531"/>
                <w:tab w:val="left" w:pos="1814"/>
              </w:tabs>
              <w:suppressAutoHyphens/>
              <w:autoSpaceDE w:val="0"/>
              <w:autoSpaceDN w:val="0"/>
              <w:adjustRightInd w:val="0"/>
              <w:spacing w:before="40" w:line="260" w:lineRule="atLeast"/>
              <w:ind w:hanging="1418"/>
              <w:jc w:val="right"/>
              <w:textAlignment w:val="center"/>
              <w:rPr>
                <w:rFonts w:asciiTheme="majorBidi" w:hAnsiTheme="majorBidi" w:cstheme="majorBidi"/>
                <w:color w:val="000000"/>
                <w:sz w:val="20"/>
              </w:rPr>
            </w:pPr>
            <w:r w:rsidRPr="00440C55">
              <w:rPr>
                <w:rFonts w:asciiTheme="majorBidi" w:hAnsiTheme="majorBidi" w:cstheme="majorBidi"/>
                <w:color w:val="000000"/>
                <w:sz w:val="20"/>
              </w:rPr>
              <w:t xml:space="preserve"> 100.0</w:t>
            </w:r>
          </w:p>
        </w:tc>
        <w:tc>
          <w:tcPr>
            <w:tcW w:w="1417" w:type="dxa"/>
            <w:shd w:val="clear" w:color="auto" w:fill="auto"/>
            <w:vAlign w:val="bottom"/>
          </w:tcPr>
          <w:p w14:paraId="12A4D204" w14:textId="74F8595C" w:rsidR="00181941" w:rsidRPr="00E55352" w:rsidRDefault="00181941" w:rsidP="00181941">
            <w:pPr>
              <w:widowControl w:val="0"/>
              <w:tabs>
                <w:tab w:val="left" w:pos="510"/>
                <w:tab w:val="left" w:pos="1531"/>
                <w:tab w:val="left" w:pos="1814"/>
              </w:tabs>
              <w:suppressAutoHyphens/>
              <w:autoSpaceDE w:val="0"/>
              <w:autoSpaceDN w:val="0"/>
              <w:adjustRightInd w:val="0"/>
              <w:spacing w:before="40" w:line="260" w:lineRule="atLeast"/>
              <w:ind w:hanging="1418"/>
              <w:jc w:val="right"/>
              <w:textAlignment w:val="center"/>
              <w:rPr>
                <w:rFonts w:asciiTheme="majorBidi" w:hAnsiTheme="majorBidi" w:cstheme="majorBidi"/>
                <w:color w:val="000000"/>
                <w:sz w:val="20"/>
              </w:rPr>
            </w:pPr>
            <w:r w:rsidRPr="00440C55">
              <w:rPr>
                <w:rFonts w:asciiTheme="majorBidi" w:hAnsiTheme="majorBidi" w:cstheme="majorBidi"/>
                <w:color w:val="000000"/>
                <w:sz w:val="20"/>
              </w:rPr>
              <w:t xml:space="preserve"> 100.0</w:t>
            </w:r>
          </w:p>
        </w:tc>
      </w:tr>
      <w:tr w:rsidR="00181941" w:rsidRPr="00E55352" w14:paraId="21763F21" w14:textId="77777777" w:rsidTr="005101BC">
        <w:trPr>
          <w:trHeight w:val="240"/>
        </w:trPr>
        <w:tc>
          <w:tcPr>
            <w:tcW w:w="4535" w:type="dxa"/>
            <w:shd w:val="clear" w:color="auto" w:fill="auto"/>
            <w:noWrap/>
            <w:vAlign w:val="bottom"/>
          </w:tcPr>
          <w:p w14:paraId="6CBC6C38" w14:textId="1DCAD804" w:rsidR="00181941" w:rsidRPr="00E55352" w:rsidRDefault="00181941" w:rsidP="00181941">
            <w:pPr>
              <w:widowControl w:val="0"/>
              <w:tabs>
                <w:tab w:val="left" w:pos="510"/>
                <w:tab w:val="left" w:pos="1531"/>
                <w:tab w:val="left" w:pos="1814"/>
              </w:tabs>
              <w:suppressAutoHyphens/>
              <w:autoSpaceDE w:val="0"/>
              <w:autoSpaceDN w:val="0"/>
              <w:adjustRightInd w:val="0"/>
              <w:spacing w:before="40" w:line="260" w:lineRule="atLeast"/>
              <w:ind w:left="1418" w:right="113" w:hanging="1418"/>
              <w:textAlignment w:val="center"/>
              <w:rPr>
                <w:rFonts w:asciiTheme="majorBidi" w:eastAsia="Arial" w:hAnsiTheme="majorBidi" w:cstheme="majorBidi"/>
                <w:sz w:val="20"/>
              </w:rPr>
            </w:pPr>
            <w:r w:rsidRPr="00E55352">
              <w:rPr>
                <w:rFonts w:asciiTheme="majorBidi" w:eastAsia="Arial" w:hAnsiTheme="majorBidi" w:cstheme="majorBidi"/>
                <w:sz w:val="20"/>
              </w:rPr>
              <w:t>AFI Europe Bulgaria EOOD</w:t>
            </w:r>
          </w:p>
        </w:tc>
        <w:tc>
          <w:tcPr>
            <w:tcW w:w="2268" w:type="dxa"/>
            <w:shd w:val="clear" w:color="auto" w:fill="auto"/>
            <w:vAlign w:val="bottom"/>
          </w:tcPr>
          <w:p w14:paraId="13909AEE" w14:textId="09CDD62A" w:rsidR="00181941" w:rsidRPr="00E55352" w:rsidRDefault="00181941" w:rsidP="00181941">
            <w:pPr>
              <w:widowControl w:val="0"/>
              <w:tabs>
                <w:tab w:val="left" w:pos="510"/>
                <w:tab w:val="left" w:pos="1531"/>
                <w:tab w:val="left" w:pos="1814"/>
              </w:tabs>
              <w:suppressAutoHyphens/>
              <w:autoSpaceDE w:val="0"/>
              <w:autoSpaceDN w:val="0"/>
              <w:adjustRightInd w:val="0"/>
              <w:spacing w:before="40" w:line="260" w:lineRule="atLeast"/>
              <w:ind w:right="113"/>
              <w:textAlignment w:val="center"/>
              <w:rPr>
                <w:rFonts w:asciiTheme="majorBidi" w:hAnsiTheme="majorBidi" w:cstheme="majorBidi"/>
                <w:color w:val="000000"/>
                <w:sz w:val="20"/>
              </w:rPr>
            </w:pPr>
            <w:r w:rsidRPr="00E55352">
              <w:rPr>
                <w:rFonts w:asciiTheme="majorBidi" w:hAnsiTheme="majorBidi" w:cstheme="majorBidi"/>
                <w:color w:val="000000"/>
                <w:sz w:val="20"/>
              </w:rPr>
              <w:t>Bulgaria</w:t>
            </w:r>
          </w:p>
        </w:tc>
        <w:tc>
          <w:tcPr>
            <w:tcW w:w="1417" w:type="dxa"/>
            <w:shd w:val="clear" w:color="auto" w:fill="auto"/>
            <w:vAlign w:val="bottom"/>
          </w:tcPr>
          <w:p w14:paraId="2D94563B" w14:textId="612C0C23" w:rsidR="00181941" w:rsidRPr="00154B2D" w:rsidRDefault="00181941" w:rsidP="00181941">
            <w:pPr>
              <w:widowControl w:val="0"/>
              <w:tabs>
                <w:tab w:val="left" w:pos="510"/>
                <w:tab w:val="left" w:pos="1531"/>
                <w:tab w:val="left" w:pos="1814"/>
              </w:tabs>
              <w:suppressAutoHyphens/>
              <w:autoSpaceDE w:val="0"/>
              <w:autoSpaceDN w:val="0"/>
              <w:adjustRightInd w:val="0"/>
              <w:spacing w:before="40" w:line="260" w:lineRule="atLeast"/>
              <w:ind w:hanging="1418"/>
              <w:jc w:val="right"/>
              <w:textAlignment w:val="center"/>
              <w:rPr>
                <w:rFonts w:asciiTheme="majorBidi" w:hAnsiTheme="majorBidi" w:cstheme="majorBidi"/>
                <w:color w:val="000000"/>
                <w:sz w:val="20"/>
              </w:rPr>
            </w:pPr>
            <w:r w:rsidRPr="00440C55">
              <w:rPr>
                <w:rFonts w:asciiTheme="majorBidi" w:hAnsiTheme="majorBidi" w:cstheme="majorBidi"/>
                <w:color w:val="000000"/>
                <w:sz w:val="20"/>
              </w:rPr>
              <w:t xml:space="preserve"> 100.0</w:t>
            </w:r>
          </w:p>
        </w:tc>
        <w:tc>
          <w:tcPr>
            <w:tcW w:w="1417" w:type="dxa"/>
            <w:shd w:val="clear" w:color="auto" w:fill="auto"/>
            <w:vAlign w:val="bottom"/>
          </w:tcPr>
          <w:p w14:paraId="2EBCF0FF" w14:textId="05F58B77" w:rsidR="00181941" w:rsidRPr="00E55352" w:rsidRDefault="00181941" w:rsidP="00181941">
            <w:pPr>
              <w:widowControl w:val="0"/>
              <w:tabs>
                <w:tab w:val="left" w:pos="510"/>
                <w:tab w:val="left" w:pos="1531"/>
                <w:tab w:val="left" w:pos="1814"/>
              </w:tabs>
              <w:suppressAutoHyphens/>
              <w:autoSpaceDE w:val="0"/>
              <w:autoSpaceDN w:val="0"/>
              <w:adjustRightInd w:val="0"/>
              <w:spacing w:before="40" w:line="260" w:lineRule="atLeast"/>
              <w:ind w:hanging="1418"/>
              <w:jc w:val="right"/>
              <w:textAlignment w:val="center"/>
              <w:rPr>
                <w:rFonts w:asciiTheme="majorBidi" w:hAnsiTheme="majorBidi" w:cstheme="majorBidi"/>
                <w:color w:val="000000"/>
                <w:sz w:val="20"/>
              </w:rPr>
            </w:pPr>
            <w:r w:rsidRPr="00440C55">
              <w:rPr>
                <w:rFonts w:asciiTheme="majorBidi" w:hAnsiTheme="majorBidi" w:cstheme="majorBidi"/>
                <w:color w:val="000000"/>
                <w:sz w:val="20"/>
              </w:rPr>
              <w:t xml:space="preserve"> 100.0</w:t>
            </w:r>
          </w:p>
        </w:tc>
      </w:tr>
      <w:tr w:rsidR="00181941" w:rsidRPr="00E55352" w14:paraId="64EA89A2" w14:textId="77777777" w:rsidTr="005101BC">
        <w:trPr>
          <w:trHeight w:val="240"/>
        </w:trPr>
        <w:tc>
          <w:tcPr>
            <w:tcW w:w="4535" w:type="dxa"/>
            <w:shd w:val="clear" w:color="auto" w:fill="auto"/>
            <w:noWrap/>
            <w:vAlign w:val="bottom"/>
          </w:tcPr>
          <w:p w14:paraId="50609C52" w14:textId="37C612E3" w:rsidR="00181941" w:rsidRPr="00E55352" w:rsidRDefault="00181941" w:rsidP="00181941">
            <w:pPr>
              <w:widowControl w:val="0"/>
              <w:tabs>
                <w:tab w:val="left" w:pos="510"/>
                <w:tab w:val="left" w:pos="1531"/>
                <w:tab w:val="left" w:pos="1814"/>
              </w:tabs>
              <w:suppressAutoHyphens/>
              <w:autoSpaceDE w:val="0"/>
              <w:autoSpaceDN w:val="0"/>
              <w:adjustRightInd w:val="0"/>
              <w:spacing w:before="40" w:line="260" w:lineRule="atLeast"/>
              <w:ind w:left="1418" w:right="113" w:hanging="1418"/>
              <w:textAlignment w:val="center"/>
              <w:rPr>
                <w:rFonts w:asciiTheme="majorBidi" w:eastAsia="Arial" w:hAnsiTheme="majorBidi" w:cstheme="majorBidi"/>
                <w:sz w:val="20"/>
              </w:rPr>
            </w:pPr>
            <w:r w:rsidRPr="00E55352">
              <w:rPr>
                <w:rFonts w:asciiTheme="majorBidi" w:eastAsia="Arial" w:hAnsiTheme="majorBidi" w:cstheme="majorBidi"/>
                <w:sz w:val="20"/>
              </w:rPr>
              <w:t>Business Park Varna EOOD</w:t>
            </w:r>
          </w:p>
        </w:tc>
        <w:tc>
          <w:tcPr>
            <w:tcW w:w="2268" w:type="dxa"/>
            <w:shd w:val="clear" w:color="auto" w:fill="auto"/>
            <w:vAlign w:val="bottom"/>
          </w:tcPr>
          <w:p w14:paraId="2559CCA2" w14:textId="44CF55DF" w:rsidR="00181941" w:rsidRPr="00E55352" w:rsidRDefault="00181941" w:rsidP="00181941">
            <w:pPr>
              <w:widowControl w:val="0"/>
              <w:tabs>
                <w:tab w:val="left" w:pos="510"/>
                <w:tab w:val="left" w:pos="1531"/>
                <w:tab w:val="left" w:pos="1814"/>
              </w:tabs>
              <w:suppressAutoHyphens/>
              <w:autoSpaceDE w:val="0"/>
              <w:autoSpaceDN w:val="0"/>
              <w:adjustRightInd w:val="0"/>
              <w:spacing w:before="40" w:line="260" w:lineRule="atLeast"/>
              <w:ind w:right="113"/>
              <w:textAlignment w:val="center"/>
              <w:rPr>
                <w:rFonts w:asciiTheme="majorBidi" w:hAnsiTheme="majorBidi" w:cstheme="majorBidi"/>
                <w:color w:val="000000"/>
                <w:sz w:val="20"/>
              </w:rPr>
            </w:pPr>
            <w:r w:rsidRPr="00E55352">
              <w:rPr>
                <w:rFonts w:asciiTheme="majorBidi" w:hAnsiTheme="majorBidi" w:cstheme="majorBidi"/>
                <w:color w:val="000000"/>
                <w:sz w:val="20"/>
              </w:rPr>
              <w:t>Bulgaria</w:t>
            </w:r>
          </w:p>
        </w:tc>
        <w:tc>
          <w:tcPr>
            <w:tcW w:w="1417" w:type="dxa"/>
            <w:shd w:val="clear" w:color="auto" w:fill="auto"/>
            <w:vAlign w:val="bottom"/>
          </w:tcPr>
          <w:p w14:paraId="010C2A56" w14:textId="71DA7394" w:rsidR="00181941" w:rsidRPr="00154B2D" w:rsidRDefault="00181941" w:rsidP="00181941">
            <w:pPr>
              <w:widowControl w:val="0"/>
              <w:tabs>
                <w:tab w:val="left" w:pos="510"/>
                <w:tab w:val="left" w:pos="1531"/>
                <w:tab w:val="left" w:pos="1814"/>
              </w:tabs>
              <w:suppressAutoHyphens/>
              <w:autoSpaceDE w:val="0"/>
              <w:autoSpaceDN w:val="0"/>
              <w:adjustRightInd w:val="0"/>
              <w:spacing w:before="40" w:line="260" w:lineRule="atLeast"/>
              <w:ind w:hanging="1418"/>
              <w:jc w:val="right"/>
              <w:textAlignment w:val="center"/>
              <w:rPr>
                <w:rFonts w:asciiTheme="majorBidi" w:hAnsiTheme="majorBidi" w:cstheme="majorBidi"/>
                <w:color w:val="000000"/>
                <w:sz w:val="20"/>
              </w:rPr>
            </w:pPr>
            <w:r w:rsidRPr="00440C55">
              <w:rPr>
                <w:rFonts w:asciiTheme="majorBidi" w:hAnsiTheme="majorBidi" w:cstheme="majorBidi"/>
                <w:color w:val="000000"/>
                <w:sz w:val="20"/>
              </w:rPr>
              <w:t xml:space="preserve"> 100.0</w:t>
            </w:r>
          </w:p>
        </w:tc>
        <w:tc>
          <w:tcPr>
            <w:tcW w:w="1417" w:type="dxa"/>
            <w:shd w:val="clear" w:color="auto" w:fill="auto"/>
            <w:vAlign w:val="bottom"/>
          </w:tcPr>
          <w:p w14:paraId="4AC0E3A8" w14:textId="26460E89" w:rsidR="00181941" w:rsidRPr="00E55352" w:rsidRDefault="00181941" w:rsidP="00181941">
            <w:pPr>
              <w:widowControl w:val="0"/>
              <w:tabs>
                <w:tab w:val="left" w:pos="510"/>
                <w:tab w:val="left" w:pos="1531"/>
                <w:tab w:val="left" w:pos="1814"/>
              </w:tabs>
              <w:suppressAutoHyphens/>
              <w:autoSpaceDE w:val="0"/>
              <w:autoSpaceDN w:val="0"/>
              <w:adjustRightInd w:val="0"/>
              <w:spacing w:before="40" w:line="260" w:lineRule="atLeast"/>
              <w:ind w:hanging="1418"/>
              <w:jc w:val="right"/>
              <w:textAlignment w:val="center"/>
              <w:rPr>
                <w:rFonts w:asciiTheme="majorBidi" w:hAnsiTheme="majorBidi" w:cstheme="majorBidi"/>
                <w:color w:val="000000"/>
                <w:sz w:val="20"/>
              </w:rPr>
            </w:pPr>
            <w:r w:rsidRPr="00440C55">
              <w:rPr>
                <w:rFonts w:asciiTheme="majorBidi" w:hAnsiTheme="majorBidi" w:cstheme="majorBidi"/>
                <w:color w:val="000000"/>
                <w:sz w:val="20"/>
              </w:rPr>
              <w:t xml:space="preserve"> 100.0</w:t>
            </w:r>
          </w:p>
        </w:tc>
      </w:tr>
      <w:tr w:rsidR="00181941" w:rsidRPr="00E55352" w14:paraId="084C003A" w14:textId="77777777" w:rsidTr="005101BC">
        <w:trPr>
          <w:trHeight w:val="240"/>
        </w:trPr>
        <w:tc>
          <w:tcPr>
            <w:tcW w:w="4535" w:type="dxa"/>
            <w:shd w:val="clear" w:color="auto" w:fill="auto"/>
            <w:noWrap/>
            <w:vAlign w:val="bottom"/>
          </w:tcPr>
          <w:p w14:paraId="14AEFCD9" w14:textId="2CAC233F" w:rsidR="00181941" w:rsidRPr="00E55352" w:rsidRDefault="00181941" w:rsidP="00181941">
            <w:pPr>
              <w:widowControl w:val="0"/>
              <w:tabs>
                <w:tab w:val="left" w:pos="510"/>
                <w:tab w:val="left" w:pos="1531"/>
                <w:tab w:val="left" w:pos="1814"/>
              </w:tabs>
              <w:suppressAutoHyphens/>
              <w:autoSpaceDE w:val="0"/>
              <w:autoSpaceDN w:val="0"/>
              <w:adjustRightInd w:val="0"/>
              <w:spacing w:before="40" w:line="260" w:lineRule="atLeast"/>
              <w:ind w:left="1418" w:right="113" w:hanging="1418"/>
              <w:textAlignment w:val="center"/>
              <w:rPr>
                <w:rFonts w:asciiTheme="majorBidi" w:eastAsia="Arial" w:hAnsiTheme="majorBidi" w:cstheme="majorBidi"/>
                <w:sz w:val="20"/>
              </w:rPr>
            </w:pPr>
            <w:r w:rsidRPr="00E55352">
              <w:rPr>
                <w:rFonts w:asciiTheme="majorBidi" w:eastAsia="Arial" w:hAnsiTheme="majorBidi" w:cstheme="majorBidi"/>
                <w:sz w:val="20"/>
              </w:rPr>
              <w:t>AFI Europe Management S.R.L.</w:t>
            </w:r>
          </w:p>
        </w:tc>
        <w:tc>
          <w:tcPr>
            <w:tcW w:w="2268" w:type="dxa"/>
            <w:shd w:val="clear" w:color="auto" w:fill="auto"/>
            <w:vAlign w:val="bottom"/>
          </w:tcPr>
          <w:p w14:paraId="1826C104" w14:textId="62D0E39A" w:rsidR="00181941" w:rsidRPr="00E55352" w:rsidRDefault="00181941" w:rsidP="00181941">
            <w:pPr>
              <w:widowControl w:val="0"/>
              <w:tabs>
                <w:tab w:val="left" w:pos="510"/>
                <w:tab w:val="left" w:pos="1531"/>
                <w:tab w:val="left" w:pos="1814"/>
              </w:tabs>
              <w:suppressAutoHyphens/>
              <w:autoSpaceDE w:val="0"/>
              <w:autoSpaceDN w:val="0"/>
              <w:adjustRightInd w:val="0"/>
              <w:spacing w:before="40" w:line="260" w:lineRule="atLeast"/>
              <w:ind w:right="113"/>
              <w:textAlignment w:val="center"/>
              <w:rPr>
                <w:rFonts w:asciiTheme="majorBidi" w:hAnsiTheme="majorBidi" w:cstheme="majorBidi"/>
                <w:color w:val="000000"/>
                <w:sz w:val="20"/>
              </w:rPr>
            </w:pPr>
            <w:r w:rsidRPr="00E55352">
              <w:rPr>
                <w:rFonts w:asciiTheme="majorBidi" w:hAnsiTheme="majorBidi" w:cstheme="majorBidi"/>
                <w:color w:val="000000"/>
                <w:sz w:val="20"/>
              </w:rPr>
              <w:t>Romania</w:t>
            </w:r>
          </w:p>
        </w:tc>
        <w:tc>
          <w:tcPr>
            <w:tcW w:w="1417" w:type="dxa"/>
            <w:shd w:val="clear" w:color="auto" w:fill="auto"/>
            <w:vAlign w:val="bottom"/>
          </w:tcPr>
          <w:p w14:paraId="21C76210" w14:textId="6490DEF0" w:rsidR="00181941" w:rsidRPr="00154B2D" w:rsidRDefault="00181941" w:rsidP="00181941">
            <w:pPr>
              <w:widowControl w:val="0"/>
              <w:tabs>
                <w:tab w:val="left" w:pos="510"/>
                <w:tab w:val="left" w:pos="1531"/>
                <w:tab w:val="left" w:pos="1814"/>
              </w:tabs>
              <w:suppressAutoHyphens/>
              <w:autoSpaceDE w:val="0"/>
              <w:autoSpaceDN w:val="0"/>
              <w:adjustRightInd w:val="0"/>
              <w:spacing w:before="40" w:line="260" w:lineRule="atLeast"/>
              <w:ind w:hanging="1418"/>
              <w:jc w:val="right"/>
              <w:textAlignment w:val="center"/>
              <w:rPr>
                <w:rFonts w:asciiTheme="majorBidi" w:hAnsiTheme="majorBidi" w:cstheme="majorBidi"/>
                <w:color w:val="000000"/>
                <w:sz w:val="20"/>
              </w:rPr>
            </w:pPr>
            <w:r w:rsidRPr="00440C55">
              <w:rPr>
                <w:rFonts w:asciiTheme="majorBidi" w:hAnsiTheme="majorBidi" w:cstheme="majorBidi"/>
                <w:color w:val="000000"/>
                <w:sz w:val="20"/>
              </w:rPr>
              <w:t xml:space="preserve"> 100.0</w:t>
            </w:r>
          </w:p>
        </w:tc>
        <w:tc>
          <w:tcPr>
            <w:tcW w:w="1417" w:type="dxa"/>
            <w:shd w:val="clear" w:color="auto" w:fill="auto"/>
            <w:vAlign w:val="bottom"/>
          </w:tcPr>
          <w:p w14:paraId="7909CEB5" w14:textId="1C69EDC0" w:rsidR="00181941" w:rsidRPr="00E55352" w:rsidRDefault="00181941" w:rsidP="00181941">
            <w:pPr>
              <w:widowControl w:val="0"/>
              <w:tabs>
                <w:tab w:val="left" w:pos="510"/>
                <w:tab w:val="left" w:pos="1531"/>
                <w:tab w:val="left" w:pos="1814"/>
              </w:tabs>
              <w:suppressAutoHyphens/>
              <w:autoSpaceDE w:val="0"/>
              <w:autoSpaceDN w:val="0"/>
              <w:adjustRightInd w:val="0"/>
              <w:spacing w:before="40" w:line="260" w:lineRule="atLeast"/>
              <w:ind w:hanging="1418"/>
              <w:jc w:val="right"/>
              <w:textAlignment w:val="center"/>
              <w:rPr>
                <w:rFonts w:asciiTheme="majorBidi" w:hAnsiTheme="majorBidi" w:cstheme="majorBidi"/>
                <w:color w:val="000000"/>
                <w:sz w:val="20"/>
              </w:rPr>
            </w:pPr>
            <w:r w:rsidRPr="00440C55">
              <w:rPr>
                <w:rFonts w:asciiTheme="majorBidi" w:hAnsiTheme="majorBidi" w:cstheme="majorBidi"/>
                <w:color w:val="000000"/>
                <w:sz w:val="20"/>
              </w:rPr>
              <w:t xml:space="preserve"> 100.0</w:t>
            </w:r>
          </w:p>
        </w:tc>
      </w:tr>
    </w:tbl>
    <w:p w14:paraId="1E88C976" w14:textId="1F705AA6" w:rsidR="00D85F46" w:rsidRDefault="00D85F46" w:rsidP="00BF2911">
      <w:pPr>
        <w:rPr>
          <w:b/>
          <w:bCs/>
          <w:sz w:val="26"/>
          <w:szCs w:val="26"/>
        </w:rPr>
      </w:pPr>
    </w:p>
    <w:p w14:paraId="2BCF518C" w14:textId="7FAAD32F" w:rsidR="00D85F46" w:rsidRPr="009C4587" w:rsidRDefault="00D85F46" w:rsidP="009C4587">
      <w:pPr>
        <w:rPr>
          <w:b/>
          <w:bCs/>
          <w:sz w:val="26"/>
          <w:szCs w:val="26"/>
        </w:rPr>
      </w:pPr>
      <w:r>
        <w:rPr>
          <w:b/>
          <w:bCs/>
          <w:sz w:val="26"/>
          <w:szCs w:val="26"/>
        </w:rPr>
        <w:br w:type="page"/>
      </w:r>
    </w:p>
    <w:p w14:paraId="3E7FDE40" w14:textId="77777777" w:rsidR="00215FA4" w:rsidRDefault="00215FA4" w:rsidP="00BF2911">
      <w:pPr>
        <w:rPr>
          <w:b/>
          <w:bCs/>
          <w:sz w:val="22"/>
          <w:szCs w:val="22"/>
        </w:rPr>
      </w:pPr>
    </w:p>
    <w:p w14:paraId="1D0510FB" w14:textId="356D55C3" w:rsidR="0013371E" w:rsidRPr="00D85F46" w:rsidRDefault="00CE395F" w:rsidP="00BF2911">
      <w:pPr>
        <w:rPr>
          <w:b/>
          <w:bCs/>
          <w:sz w:val="22"/>
          <w:szCs w:val="22"/>
        </w:rPr>
      </w:pPr>
      <w:r w:rsidRPr="00D85F46">
        <w:rPr>
          <w:b/>
          <w:bCs/>
          <w:sz w:val="22"/>
          <w:szCs w:val="22"/>
        </w:rPr>
        <w:t xml:space="preserve">Note </w:t>
      </w:r>
      <w:r w:rsidR="00C7020E" w:rsidRPr="00D85F46">
        <w:rPr>
          <w:b/>
          <w:bCs/>
          <w:sz w:val="22"/>
          <w:szCs w:val="22"/>
        </w:rPr>
        <w:t>2</w:t>
      </w:r>
      <w:r w:rsidR="00C7020E">
        <w:rPr>
          <w:b/>
          <w:bCs/>
          <w:sz w:val="22"/>
          <w:szCs w:val="22"/>
          <w:lang w:bidi="he-IL"/>
        </w:rPr>
        <w:t>5</w:t>
      </w:r>
      <w:r w:rsidR="00215FA4">
        <w:rPr>
          <w:b/>
          <w:bCs/>
          <w:sz w:val="22"/>
          <w:szCs w:val="22"/>
          <w:lang w:bidi="he-IL"/>
        </w:rPr>
        <w:t xml:space="preserve"> </w:t>
      </w:r>
      <w:r w:rsidRPr="00D85F46">
        <w:rPr>
          <w:b/>
          <w:bCs/>
          <w:sz w:val="22"/>
          <w:szCs w:val="22"/>
        </w:rPr>
        <w:t>- Group Entities (cont’d)</w:t>
      </w:r>
    </w:p>
    <w:p w14:paraId="1190B10C" w14:textId="77777777" w:rsidR="0034408A" w:rsidRPr="00215FA4" w:rsidRDefault="0034408A" w:rsidP="0013371E">
      <w:pPr>
        <w:rPr>
          <w:b/>
          <w:bCs/>
          <w:sz w:val="12"/>
          <w:szCs w:val="12"/>
        </w:rPr>
      </w:pPr>
    </w:p>
    <w:tbl>
      <w:tblPr>
        <w:tblW w:w="9638" w:type="dxa"/>
        <w:tblLayout w:type="fixed"/>
        <w:tblLook w:val="06A0" w:firstRow="1" w:lastRow="0" w:firstColumn="1" w:lastColumn="0" w:noHBand="1" w:noVBand="1"/>
        <w:tblCaption w:val="AHR01"/>
        <w:tblDescription w:val="Group Entities"/>
      </w:tblPr>
      <w:tblGrid>
        <w:gridCol w:w="4536"/>
        <w:gridCol w:w="2268"/>
        <w:gridCol w:w="1417"/>
        <w:gridCol w:w="1417"/>
      </w:tblGrid>
      <w:tr w:rsidR="005F618A" w:rsidRPr="00E55352" w14:paraId="5D85D732" w14:textId="77777777" w:rsidTr="005101BC">
        <w:trPr>
          <w:cantSplit/>
          <w:trHeight w:val="240"/>
          <w:tblHeader/>
        </w:trPr>
        <w:tc>
          <w:tcPr>
            <w:tcW w:w="4536" w:type="dxa"/>
            <w:shd w:val="clear" w:color="auto" w:fill="auto"/>
            <w:noWrap/>
            <w:vAlign w:val="bottom"/>
          </w:tcPr>
          <w:p w14:paraId="0CA2E0B0" w14:textId="77777777" w:rsidR="005F618A" w:rsidRPr="00E55352" w:rsidRDefault="005F618A" w:rsidP="005F618A">
            <w:pPr>
              <w:spacing w:before="40"/>
              <w:rPr>
                <w:rFonts w:asciiTheme="majorBidi" w:eastAsia="Arial" w:hAnsiTheme="majorBidi" w:cstheme="majorBidi"/>
                <w:sz w:val="20"/>
              </w:rPr>
            </w:pPr>
            <w:bookmarkStart w:id="227" w:name="Title_70" w:colFirst="0" w:colLast="0"/>
          </w:p>
        </w:tc>
        <w:tc>
          <w:tcPr>
            <w:tcW w:w="2268" w:type="dxa"/>
            <w:shd w:val="clear" w:color="auto" w:fill="auto"/>
            <w:vAlign w:val="bottom"/>
          </w:tcPr>
          <w:p w14:paraId="5F927163" w14:textId="77777777" w:rsidR="005F618A" w:rsidRPr="00E55352" w:rsidRDefault="005F618A" w:rsidP="005F618A">
            <w:pPr>
              <w:pBdr>
                <w:bottom w:val="single" w:sz="4" w:space="0" w:color="000000"/>
              </w:pBdr>
              <w:spacing w:before="40"/>
              <w:rPr>
                <w:rFonts w:asciiTheme="majorBidi" w:hAnsiTheme="majorBidi" w:cstheme="majorBidi"/>
                <w:color w:val="000000"/>
                <w:sz w:val="20"/>
              </w:rPr>
            </w:pPr>
            <w:r w:rsidRPr="00E55352">
              <w:rPr>
                <w:rFonts w:asciiTheme="majorBidi" w:hAnsiTheme="majorBidi" w:cstheme="majorBidi"/>
                <w:color w:val="000000"/>
                <w:sz w:val="20"/>
              </w:rPr>
              <w:t>Country of incorporation</w:t>
            </w:r>
          </w:p>
        </w:tc>
        <w:tc>
          <w:tcPr>
            <w:tcW w:w="1417" w:type="dxa"/>
            <w:shd w:val="clear" w:color="auto" w:fill="auto"/>
            <w:vAlign w:val="bottom"/>
          </w:tcPr>
          <w:p w14:paraId="1014DEAD" w14:textId="2F1E92B9" w:rsidR="005F618A" w:rsidRPr="00E55352" w:rsidRDefault="005F618A" w:rsidP="00D85F46">
            <w:pPr>
              <w:pBdr>
                <w:bottom w:val="single" w:sz="4" w:space="0" w:color="000000"/>
              </w:pBdr>
              <w:spacing w:before="40"/>
              <w:ind w:left="57"/>
              <w:jc w:val="center"/>
              <w:rPr>
                <w:rFonts w:asciiTheme="majorBidi" w:hAnsiTheme="majorBidi" w:cstheme="majorBidi"/>
                <w:b/>
                <w:bCs/>
                <w:color w:val="000000"/>
                <w:sz w:val="20"/>
                <w:lang w:bidi="he-IL"/>
              </w:rPr>
            </w:pPr>
            <w:r w:rsidRPr="00E55352">
              <w:rPr>
                <w:rFonts w:asciiTheme="majorBidi" w:hAnsiTheme="majorBidi" w:cstheme="majorBidi"/>
                <w:b/>
                <w:bCs/>
                <w:color w:val="000000"/>
                <w:sz w:val="20"/>
              </w:rPr>
              <w:t xml:space="preserve">December 31, </w:t>
            </w:r>
            <w:r w:rsidR="00AD1E41">
              <w:rPr>
                <w:rFonts w:asciiTheme="majorBidi" w:hAnsiTheme="majorBidi" w:cstheme="majorBidi" w:hint="cs"/>
                <w:b/>
                <w:bCs/>
                <w:color w:val="000000"/>
                <w:sz w:val="20"/>
                <w:rtl/>
                <w:lang w:bidi="he-IL"/>
              </w:rPr>
              <w:t>202</w:t>
            </w:r>
            <w:r w:rsidR="00A95416">
              <w:rPr>
                <w:rFonts w:asciiTheme="majorBidi" w:hAnsiTheme="majorBidi" w:cstheme="majorBidi" w:hint="cs"/>
                <w:b/>
                <w:bCs/>
                <w:color w:val="000000"/>
                <w:sz w:val="20"/>
                <w:rtl/>
                <w:lang w:bidi="he-IL"/>
              </w:rPr>
              <w:t>4</w:t>
            </w:r>
          </w:p>
        </w:tc>
        <w:tc>
          <w:tcPr>
            <w:tcW w:w="1417" w:type="dxa"/>
            <w:shd w:val="clear" w:color="auto" w:fill="auto"/>
            <w:vAlign w:val="bottom"/>
          </w:tcPr>
          <w:p w14:paraId="0BAF420E" w14:textId="7D8E0559" w:rsidR="005F618A" w:rsidRPr="00E55352" w:rsidRDefault="005F618A" w:rsidP="00D85F46">
            <w:pPr>
              <w:pBdr>
                <w:bottom w:val="single" w:sz="4" w:space="0" w:color="000000"/>
              </w:pBdr>
              <w:spacing w:before="40"/>
              <w:ind w:left="57"/>
              <w:jc w:val="center"/>
              <w:rPr>
                <w:rFonts w:asciiTheme="majorBidi" w:hAnsiTheme="majorBidi" w:cstheme="majorBidi"/>
                <w:b/>
                <w:bCs/>
                <w:color w:val="000000"/>
                <w:sz w:val="20"/>
                <w:lang w:bidi="he-IL"/>
              </w:rPr>
            </w:pPr>
            <w:r w:rsidRPr="00E55352">
              <w:rPr>
                <w:rFonts w:asciiTheme="majorBidi" w:hAnsiTheme="majorBidi" w:cstheme="majorBidi"/>
                <w:b/>
                <w:bCs/>
                <w:color w:val="000000"/>
                <w:sz w:val="20"/>
              </w:rPr>
              <w:t xml:space="preserve">December 31, </w:t>
            </w:r>
            <w:r w:rsidR="00AD1E41">
              <w:rPr>
                <w:rFonts w:asciiTheme="majorBidi" w:hAnsiTheme="majorBidi" w:cstheme="majorBidi" w:hint="cs"/>
                <w:b/>
                <w:bCs/>
                <w:color w:val="000000"/>
                <w:sz w:val="20"/>
                <w:rtl/>
                <w:lang w:bidi="he-IL"/>
              </w:rPr>
              <w:t>202</w:t>
            </w:r>
            <w:r w:rsidR="00A95416">
              <w:rPr>
                <w:rFonts w:asciiTheme="majorBidi" w:hAnsiTheme="majorBidi" w:cstheme="majorBidi" w:hint="cs"/>
                <w:b/>
                <w:bCs/>
                <w:color w:val="000000"/>
                <w:sz w:val="20"/>
                <w:rtl/>
                <w:lang w:bidi="he-IL"/>
              </w:rPr>
              <w:t>3</w:t>
            </w:r>
          </w:p>
        </w:tc>
      </w:tr>
      <w:bookmarkEnd w:id="227"/>
      <w:tr w:rsidR="007A4AEE" w:rsidRPr="00E55352" w14:paraId="723D4D33" w14:textId="77777777" w:rsidTr="005101BC">
        <w:trPr>
          <w:trHeight w:val="240"/>
        </w:trPr>
        <w:tc>
          <w:tcPr>
            <w:tcW w:w="4536" w:type="dxa"/>
            <w:shd w:val="clear" w:color="auto" w:fill="auto"/>
            <w:noWrap/>
            <w:vAlign w:val="bottom"/>
          </w:tcPr>
          <w:p w14:paraId="163806A2" w14:textId="591EBEBF" w:rsidR="007A4AEE" w:rsidRPr="000A6BDB" w:rsidRDefault="007A4AEE" w:rsidP="007A4AEE">
            <w:pPr>
              <w:spacing w:before="40"/>
              <w:rPr>
                <w:rFonts w:asciiTheme="majorBidi" w:eastAsia="Arial" w:hAnsiTheme="majorBidi" w:cstheme="majorBidi"/>
                <w:sz w:val="20"/>
              </w:rPr>
            </w:pPr>
            <w:r w:rsidRPr="000A6BDB">
              <w:rPr>
                <w:rFonts w:asciiTheme="majorBidi" w:eastAsia="Arial" w:hAnsiTheme="majorBidi" w:cstheme="majorBidi"/>
                <w:sz w:val="20"/>
              </w:rPr>
              <w:t>Cotroceni Park SA</w:t>
            </w:r>
          </w:p>
        </w:tc>
        <w:tc>
          <w:tcPr>
            <w:tcW w:w="2268" w:type="dxa"/>
            <w:shd w:val="clear" w:color="auto" w:fill="auto"/>
            <w:vAlign w:val="bottom"/>
          </w:tcPr>
          <w:p w14:paraId="7E632567" w14:textId="5CC38110" w:rsidR="007A4AEE" w:rsidRPr="00E55352" w:rsidRDefault="007A4AEE" w:rsidP="007A4AEE">
            <w:pPr>
              <w:spacing w:before="40"/>
              <w:rPr>
                <w:rFonts w:asciiTheme="majorBidi" w:hAnsiTheme="majorBidi" w:cstheme="majorBidi"/>
                <w:color w:val="000000"/>
                <w:sz w:val="20"/>
              </w:rPr>
            </w:pPr>
            <w:r w:rsidRPr="00E55352">
              <w:rPr>
                <w:rFonts w:asciiTheme="majorBidi" w:hAnsiTheme="majorBidi" w:cstheme="majorBidi"/>
                <w:color w:val="000000"/>
                <w:sz w:val="20"/>
              </w:rPr>
              <w:t>Romania</w:t>
            </w:r>
          </w:p>
        </w:tc>
        <w:tc>
          <w:tcPr>
            <w:tcW w:w="1417" w:type="dxa"/>
            <w:shd w:val="clear" w:color="auto" w:fill="auto"/>
            <w:vAlign w:val="bottom"/>
          </w:tcPr>
          <w:p w14:paraId="3C9ED53B" w14:textId="32EA3334" w:rsidR="007A4AEE" w:rsidRPr="00CD5E4D" w:rsidRDefault="007A4AEE" w:rsidP="007A4AEE">
            <w:pPr>
              <w:spacing w:before="40"/>
              <w:jc w:val="right"/>
              <w:rPr>
                <w:rFonts w:asciiTheme="majorBidi" w:hAnsiTheme="majorBidi" w:cstheme="majorBidi"/>
                <w:color w:val="000000"/>
                <w:sz w:val="20"/>
              </w:rPr>
            </w:pPr>
            <w:r w:rsidRPr="00440C55">
              <w:rPr>
                <w:rFonts w:asciiTheme="majorBidi" w:hAnsiTheme="majorBidi" w:cstheme="majorBidi"/>
                <w:color w:val="000000"/>
                <w:sz w:val="20"/>
              </w:rPr>
              <w:t xml:space="preserve"> 98.58</w:t>
            </w:r>
          </w:p>
        </w:tc>
        <w:tc>
          <w:tcPr>
            <w:tcW w:w="1417" w:type="dxa"/>
            <w:shd w:val="clear" w:color="auto" w:fill="auto"/>
            <w:vAlign w:val="bottom"/>
          </w:tcPr>
          <w:p w14:paraId="3467192B" w14:textId="124E496E" w:rsidR="007A4AEE" w:rsidRPr="00E55352" w:rsidRDefault="007A4AEE" w:rsidP="007A4AEE">
            <w:pPr>
              <w:spacing w:before="40"/>
              <w:jc w:val="right"/>
              <w:rPr>
                <w:rFonts w:asciiTheme="majorBidi" w:hAnsiTheme="majorBidi" w:cstheme="majorBidi"/>
                <w:color w:val="000000"/>
                <w:sz w:val="20"/>
              </w:rPr>
            </w:pPr>
            <w:r w:rsidRPr="00440C55">
              <w:rPr>
                <w:rFonts w:asciiTheme="majorBidi" w:hAnsiTheme="majorBidi" w:cstheme="majorBidi"/>
                <w:color w:val="000000"/>
                <w:sz w:val="20"/>
              </w:rPr>
              <w:t xml:space="preserve"> 98.58</w:t>
            </w:r>
          </w:p>
        </w:tc>
      </w:tr>
      <w:tr w:rsidR="007A4AEE" w:rsidRPr="00E55352" w14:paraId="5ED021EE" w14:textId="77777777" w:rsidTr="005101BC">
        <w:trPr>
          <w:trHeight w:val="240"/>
        </w:trPr>
        <w:tc>
          <w:tcPr>
            <w:tcW w:w="4536" w:type="dxa"/>
            <w:shd w:val="clear" w:color="auto" w:fill="auto"/>
            <w:noWrap/>
            <w:vAlign w:val="bottom"/>
          </w:tcPr>
          <w:p w14:paraId="3DA882DD" w14:textId="0C85B53C" w:rsidR="007A4AEE" w:rsidRPr="000A6BDB" w:rsidRDefault="007A4AEE" w:rsidP="007A4AEE">
            <w:pPr>
              <w:spacing w:before="40"/>
              <w:rPr>
                <w:rFonts w:asciiTheme="majorBidi" w:eastAsia="Arial" w:hAnsiTheme="majorBidi" w:cstheme="majorBidi"/>
                <w:sz w:val="20"/>
              </w:rPr>
            </w:pPr>
            <w:proofErr w:type="spellStart"/>
            <w:r w:rsidRPr="000A6BDB">
              <w:rPr>
                <w:rFonts w:asciiTheme="majorBidi" w:eastAsia="Arial" w:hAnsiTheme="majorBidi" w:cstheme="majorBidi"/>
                <w:sz w:val="20"/>
              </w:rPr>
              <w:t>Contronceni</w:t>
            </w:r>
            <w:proofErr w:type="spellEnd"/>
            <w:r w:rsidRPr="000A6BDB">
              <w:rPr>
                <w:rFonts w:asciiTheme="majorBidi" w:eastAsia="Arial" w:hAnsiTheme="majorBidi" w:cstheme="majorBidi"/>
                <w:sz w:val="20"/>
              </w:rPr>
              <w:t xml:space="preserve"> Investments Ltd.</w:t>
            </w:r>
          </w:p>
        </w:tc>
        <w:tc>
          <w:tcPr>
            <w:tcW w:w="2268" w:type="dxa"/>
            <w:shd w:val="clear" w:color="auto" w:fill="auto"/>
            <w:vAlign w:val="bottom"/>
          </w:tcPr>
          <w:p w14:paraId="04B124B7" w14:textId="00868143" w:rsidR="007A4AEE" w:rsidRPr="00E55352" w:rsidRDefault="007A4AEE" w:rsidP="007A4AEE">
            <w:pPr>
              <w:spacing w:before="40"/>
              <w:rPr>
                <w:rFonts w:asciiTheme="majorBidi" w:hAnsiTheme="majorBidi" w:cstheme="majorBidi"/>
                <w:color w:val="000000"/>
                <w:sz w:val="20"/>
              </w:rPr>
            </w:pPr>
            <w:r w:rsidRPr="00E55352">
              <w:rPr>
                <w:rFonts w:asciiTheme="majorBidi" w:hAnsiTheme="majorBidi" w:cstheme="majorBidi"/>
                <w:color w:val="000000"/>
                <w:sz w:val="20"/>
              </w:rPr>
              <w:t>Cyprus</w:t>
            </w:r>
          </w:p>
        </w:tc>
        <w:tc>
          <w:tcPr>
            <w:tcW w:w="1417" w:type="dxa"/>
            <w:shd w:val="clear" w:color="auto" w:fill="auto"/>
            <w:vAlign w:val="bottom"/>
          </w:tcPr>
          <w:p w14:paraId="1ADA3E73" w14:textId="5DBB2117" w:rsidR="007A4AEE" w:rsidRPr="00CD5E4D" w:rsidRDefault="007A4AEE" w:rsidP="007A4AEE">
            <w:pPr>
              <w:spacing w:before="40"/>
              <w:jc w:val="right"/>
              <w:rPr>
                <w:rFonts w:asciiTheme="majorBidi" w:hAnsiTheme="majorBidi" w:cstheme="majorBidi"/>
                <w:color w:val="000000"/>
                <w:sz w:val="20"/>
              </w:rPr>
            </w:pPr>
            <w:r w:rsidRPr="00440C55">
              <w:rPr>
                <w:rFonts w:asciiTheme="majorBidi" w:hAnsiTheme="majorBidi" w:cstheme="majorBidi"/>
                <w:color w:val="000000"/>
                <w:sz w:val="20"/>
              </w:rPr>
              <w:t xml:space="preserve"> 100.0</w:t>
            </w:r>
          </w:p>
        </w:tc>
        <w:tc>
          <w:tcPr>
            <w:tcW w:w="1417" w:type="dxa"/>
            <w:shd w:val="clear" w:color="auto" w:fill="auto"/>
            <w:vAlign w:val="bottom"/>
          </w:tcPr>
          <w:p w14:paraId="419A7D92" w14:textId="6BA68303" w:rsidR="007A4AEE" w:rsidRPr="00E55352" w:rsidRDefault="007A4AEE" w:rsidP="007A4AEE">
            <w:pPr>
              <w:spacing w:before="40"/>
              <w:jc w:val="right"/>
              <w:rPr>
                <w:rFonts w:asciiTheme="majorBidi" w:hAnsiTheme="majorBidi" w:cstheme="majorBidi"/>
                <w:color w:val="000000"/>
                <w:sz w:val="20"/>
              </w:rPr>
            </w:pPr>
            <w:r w:rsidRPr="00440C55">
              <w:rPr>
                <w:rFonts w:asciiTheme="majorBidi" w:hAnsiTheme="majorBidi" w:cstheme="majorBidi"/>
                <w:color w:val="000000"/>
                <w:sz w:val="20"/>
              </w:rPr>
              <w:t xml:space="preserve"> 100.0</w:t>
            </w:r>
          </w:p>
        </w:tc>
      </w:tr>
      <w:tr w:rsidR="007A4AEE" w:rsidRPr="00E55352" w14:paraId="20816E2F" w14:textId="77777777" w:rsidTr="005101BC">
        <w:trPr>
          <w:trHeight w:val="240"/>
        </w:trPr>
        <w:tc>
          <w:tcPr>
            <w:tcW w:w="4536" w:type="dxa"/>
            <w:shd w:val="clear" w:color="auto" w:fill="auto"/>
            <w:noWrap/>
          </w:tcPr>
          <w:p w14:paraId="362C85F2" w14:textId="11D0841F" w:rsidR="007A4AEE" w:rsidRPr="005230A2" w:rsidRDefault="007A4AEE" w:rsidP="007A4AEE">
            <w:pPr>
              <w:spacing w:before="40"/>
              <w:rPr>
                <w:rFonts w:asciiTheme="majorBidi" w:eastAsia="Arial" w:hAnsiTheme="majorBidi" w:cstheme="majorBidi"/>
                <w:sz w:val="20"/>
                <w:lang w:val="de-DE"/>
              </w:rPr>
            </w:pPr>
            <w:r w:rsidRPr="005230A2">
              <w:rPr>
                <w:sz w:val="20"/>
                <w:lang w:val="de-DE"/>
              </w:rPr>
              <w:t>AFI Arad S.R.L.</w:t>
            </w:r>
          </w:p>
        </w:tc>
        <w:tc>
          <w:tcPr>
            <w:tcW w:w="2268" w:type="dxa"/>
            <w:shd w:val="clear" w:color="auto" w:fill="auto"/>
            <w:vAlign w:val="bottom"/>
          </w:tcPr>
          <w:p w14:paraId="651B6F0D" w14:textId="5131D1DC" w:rsidR="007A4AEE" w:rsidRPr="00E55352" w:rsidRDefault="007A4AEE" w:rsidP="007A4AEE">
            <w:pPr>
              <w:spacing w:before="40"/>
              <w:rPr>
                <w:color w:val="000000"/>
                <w:sz w:val="20"/>
              </w:rPr>
            </w:pPr>
            <w:r w:rsidRPr="00E55352">
              <w:rPr>
                <w:rFonts w:asciiTheme="majorBidi" w:hAnsiTheme="majorBidi" w:cstheme="majorBidi"/>
                <w:color w:val="000000"/>
                <w:sz w:val="20"/>
              </w:rPr>
              <w:t>Romania</w:t>
            </w:r>
          </w:p>
        </w:tc>
        <w:tc>
          <w:tcPr>
            <w:tcW w:w="1417" w:type="dxa"/>
            <w:shd w:val="clear" w:color="auto" w:fill="auto"/>
            <w:vAlign w:val="bottom"/>
          </w:tcPr>
          <w:p w14:paraId="68803344" w14:textId="6EF148F8" w:rsidR="007A4AEE" w:rsidRPr="00CD5E4D" w:rsidRDefault="007A4AEE" w:rsidP="007A4AEE">
            <w:pPr>
              <w:spacing w:before="40"/>
              <w:jc w:val="right"/>
              <w:rPr>
                <w:rFonts w:asciiTheme="majorBidi" w:hAnsiTheme="majorBidi" w:cstheme="majorBidi"/>
                <w:color w:val="000000"/>
                <w:sz w:val="20"/>
              </w:rPr>
            </w:pPr>
            <w:r w:rsidRPr="00440C55">
              <w:rPr>
                <w:rFonts w:asciiTheme="majorBidi" w:hAnsiTheme="majorBidi" w:cstheme="majorBidi"/>
                <w:color w:val="000000"/>
                <w:sz w:val="20"/>
              </w:rPr>
              <w:t xml:space="preserve"> 100.0</w:t>
            </w:r>
          </w:p>
        </w:tc>
        <w:tc>
          <w:tcPr>
            <w:tcW w:w="1417" w:type="dxa"/>
            <w:shd w:val="clear" w:color="auto" w:fill="auto"/>
            <w:vAlign w:val="bottom"/>
          </w:tcPr>
          <w:p w14:paraId="193BA6F9" w14:textId="1EABFA91" w:rsidR="007A4AEE" w:rsidRPr="00E55352" w:rsidRDefault="007A4AEE" w:rsidP="007A4AEE">
            <w:pPr>
              <w:spacing w:before="40"/>
              <w:jc w:val="right"/>
              <w:rPr>
                <w:rFonts w:asciiTheme="majorBidi" w:hAnsiTheme="majorBidi" w:cstheme="majorBidi"/>
                <w:color w:val="000000"/>
                <w:sz w:val="20"/>
              </w:rPr>
            </w:pPr>
            <w:r w:rsidRPr="00440C55">
              <w:rPr>
                <w:rFonts w:asciiTheme="majorBidi" w:hAnsiTheme="majorBidi" w:cstheme="majorBidi"/>
                <w:color w:val="000000"/>
                <w:sz w:val="20"/>
              </w:rPr>
              <w:t xml:space="preserve"> 100.0</w:t>
            </w:r>
          </w:p>
        </w:tc>
      </w:tr>
      <w:tr w:rsidR="007A4AEE" w:rsidRPr="00E55352" w14:paraId="19BBB207" w14:textId="77777777" w:rsidTr="005101BC">
        <w:trPr>
          <w:trHeight w:val="240"/>
        </w:trPr>
        <w:tc>
          <w:tcPr>
            <w:tcW w:w="4536" w:type="dxa"/>
            <w:shd w:val="clear" w:color="auto" w:fill="auto"/>
            <w:noWrap/>
            <w:vAlign w:val="bottom"/>
          </w:tcPr>
          <w:p w14:paraId="35173A33" w14:textId="0DF5EC36" w:rsidR="007A4AEE" w:rsidRPr="000A6BDB" w:rsidRDefault="007A4AEE" w:rsidP="007A4AEE">
            <w:pPr>
              <w:spacing w:before="40"/>
              <w:rPr>
                <w:rFonts w:asciiTheme="majorBidi" w:eastAsia="Arial" w:hAnsiTheme="majorBidi" w:cstheme="majorBidi"/>
                <w:sz w:val="20"/>
              </w:rPr>
            </w:pPr>
            <w:r w:rsidRPr="000A6BDB">
              <w:rPr>
                <w:rFonts w:asciiTheme="majorBidi" w:eastAsia="Arial" w:hAnsiTheme="majorBidi" w:cstheme="majorBidi"/>
                <w:sz w:val="20"/>
              </w:rPr>
              <w:t>Star Estate S.R.L.</w:t>
            </w:r>
          </w:p>
        </w:tc>
        <w:tc>
          <w:tcPr>
            <w:tcW w:w="2268" w:type="dxa"/>
            <w:shd w:val="clear" w:color="auto" w:fill="auto"/>
            <w:vAlign w:val="bottom"/>
          </w:tcPr>
          <w:p w14:paraId="57207A69" w14:textId="3510F671" w:rsidR="007A4AEE" w:rsidRPr="00E55352" w:rsidRDefault="007A4AEE" w:rsidP="007A4AEE">
            <w:pPr>
              <w:spacing w:before="40"/>
              <w:rPr>
                <w:color w:val="000000"/>
                <w:sz w:val="20"/>
              </w:rPr>
            </w:pPr>
            <w:r w:rsidRPr="00E55352">
              <w:rPr>
                <w:rFonts w:asciiTheme="majorBidi" w:hAnsiTheme="majorBidi" w:cstheme="majorBidi"/>
                <w:color w:val="000000"/>
                <w:sz w:val="20"/>
              </w:rPr>
              <w:t>Romania</w:t>
            </w:r>
          </w:p>
        </w:tc>
        <w:tc>
          <w:tcPr>
            <w:tcW w:w="1417" w:type="dxa"/>
            <w:shd w:val="clear" w:color="auto" w:fill="auto"/>
            <w:vAlign w:val="bottom"/>
          </w:tcPr>
          <w:p w14:paraId="1404FDB7" w14:textId="39893539" w:rsidR="007A4AEE" w:rsidRPr="00CD5E4D" w:rsidRDefault="007A4AEE" w:rsidP="007A4AEE">
            <w:pPr>
              <w:spacing w:before="40"/>
              <w:jc w:val="right"/>
              <w:rPr>
                <w:rFonts w:asciiTheme="majorBidi" w:hAnsiTheme="majorBidi" w:cstheme="majorBidi"/>
                <w:color w:val="000000"/>
                <w:sz w:val="20"/>
              </w:rPr>
            </w:pPr>
            <w:r w:rsidRPr="00440C55">
              <w:rPr>
                <w:rFonts w:asciiTheme="majorBidi" w:hAnsiTheme="majorBidi" w:cstheme="majorBidi"/>
                <w:color w:val="000000"/>
                <w:sz w:val="20"/>
              </w:rPr>
              <w:t xml:space="preserve"> 100.0</w:t>
            </w:r>
          </w:p>
        </w:tc>
        <w:tc>
          <w:tcPr>
            <w:tcW w:w="1417" w:type="dxa"/>
            <w:shd w:val="clear" w:color="auto" w:fill="auto"/>
            <w:vAlign w:val="bottom"/>
          </w:tcPr>
          <w:p w14:paraId="1E861AB7" w14:textId="263421D3" w:rsidR="007A4AEE" w:rsidRPr="00E55352" w:rsidRDefault="007A4AEE" w:rsidP="007A4AEE">
            <w:pPr>
              <w:spacing w:before="40"/>
              <w:jc w:val="right"/>
              <w:rPr>
                <w:rFonts w:asciiTheme="majorBidi" w:hAnsiTheme="majorBidi" w:cstheme="majorBidi"/>
                <w:color w:val="000000"/>
                <w:sz w:val="20"/>
              </w:rPr>
            </w:pPr>
            <w:r w:rsidRPr="00440C55">
              <w:rPr>
                <w:rFonts w:asciiTheme="majorBidi" w:hAnsiTheme="majorBidi" w:cstheme="majorBidi"/>
                <w:color w:val="000000"/>
                <w:sz w:val="20"/>
              </w:rPr>
              <w:t xml:space="preserve"> 100.0</w:t>
            </w:r>
          </w:p>
        </w:tc>
      </w:tr>
      <w:tr w:rsidR="007A4AEE" w:rsidRPr="00E55352" w14:paraId="4F27F7B1" w14:textId="77777777" w:rsidTr="005101BC">
        <w:trPr>
          <w:trHeight w:val="240"/>
        </w:trPr>
        <w:tc>
          <w:tcPr>
            <w:tcW w:w="4536" w:type="dxa"/>
            <w:shd w:val="clear" w:color="auto" w:fill="auto"/>
            <w:noWrap/>
          </w:tcPr>
          <w:p w14:paraId="2F151D73" w14:textId="07695E20" w:rsidR="007A4AEE" w:rsidRPr="000A6BDB" w:rsidRDefault="007A4AEE" w:rsidP="007A4AEE">
            <w:pPr>
              <w:spacing w:before="40"/>
              <w:rPr>
                <w:rFonts w:asciiTheme="majorBidi" w:eastAsia="Arial" w:hAnsiTheme="majorBidi" w:cstheme="majorBidi"/>
                <w:sz w:val="20"/>
              </w:rPr>
            </w:pPr>
            <w:r w:rsidRPr="000A6BDB">
              <w:rPr>
                <w:sz w:val="20"/>
              </w:rPr>
              <w:t>AFI Palace Ploiesti S.R.L</w:t>
            </w:r>
            <w:r w:rsidRPr="000A6BDB" w:rsidDel="00483F74">
              <w:rPr>
                <w:sz w:val="20"/>
              </w:rPr>
              <w:t xml:space="preserve"> </w:t>
            </w:r>
          </w:p>
        </w:tc>
        <w:tc>
          <w:tcPr>
            <w:tcW w:w="2268" w:type="dxa"/>
            <w:shd w:val="clear" w:color="auto" w:fill="auto"/>
          </w:tcPr>
          <w:p w14:paraId="581793E7" w14:textId="508ADED4" w:rsidR="007A4AEE" w:rsidRPr="00E55352" w:rsidRDefault="007A4AEE" w:rsidP="007A4AEE">
            <w:pPr>
              <w:spacing w:before="40"/>
              <w:rPr>
                <w:rFonts w:asciiTheme="majorBidi" w:hAnsiTheme="majorBidi" w:cstheme="majorBidi"/>
                <w:color w:val="000000"/>
                <w:sz w:val="20"/>
                <w:lang w:val="en-GB"/>
              </w:rPr>
            </w:pPr>
            <w:r w:rsidRPr="00A776AD">
              <w:rPr>
                <w:color w:val="000000"/>
                <w:sz w:val="20"/>
              </w:rPr>
              <w:t>Romania</w:t>
            </w:r>
          </w:p>
        </w:tc>
        <w:tc>
          <w:tcPr>
            <w:tcW w:w="1417" w:type="dxa"/>
            <w:shd w:val="clear" w:color="auto" w:fill="auto"/>
            <w:vAlign w:val="bottom"/>
          </w:tcPr>
          <w:p w14:paraId="1B91D791" w14:textId="5FCBB188" w:rsidR="007A4AEE" w:rsidRPr="00CD5E4D" w:rsidRDefault="007A4AEE" w:rsidP="007A4AEE">
            <w:pPr>
              <w:spacing w:before="40"/>
              <w:jc w:val="right"/>
              <w:rPr>
                <w:rFonts w:asciiTheme="majorBidi" w:hAnsiTheme="majorBidi" w:cstheme="majorBidi"/>
                <w:color w:val="000000"/>
                <w:sz w:val="20"/>
                <w:lang w:val="en-GB"/>
              </w:rPr>
            </w:pPr>
            <w:r w:rsidRPr="00440C55">
              <w:rPr>
                <w:rFonts w:asciiTheme="majorBidi" w:hAnsiTheme="majorBidi" w:cstheme="majorBidi"/>
                <w:color w:val="000000"/>
                <w:sz w:val="20"/>
              </w:rPr>
              <w:t xml:space="preserve"> 100.0</w:t>
            </w:r>
          </w:p>
        </w:tc>
        <w:tc>
          <w:tcPr>
            <w:tcW w:w="1417" w:type="dxa"/>
            <w:shd w:val="clear" w:color="auto" w:fill="auto"/>
            <w:vAlign w:val="bottom"/>
          </w:tcPr>
          <w:p w14:paraId="45079690" w14:textId="2A8560EF" w:rsidR="007A4AEE" w:rsidRPr="00E55352" w:rsidRDefault="007A4AEE" w:rsidP="007A4AEE">
            <w:pPr>
              <w:spacing w:before="40"/>
              <w:jc w:val="right"/>
              <w:rPr>
                <w:rFonts w:asciiTheme="majorBidi" w:hAnsiTheme="majorBidi" w:cstheme="majorBidi"/>
                <w:color w:val="000000"/>
                <w:sz w:val="20"/>
                <w:lang w:val="en-GB"/>
              </w:rPr>
            </w:pPr>
            <w:r w:rsidRPr="00440C55">
              <w:rPr>
                <w:rFonts w:asciiTheme="majorBidi" w:hAnsiTheme="majorBidi" w:cstheme="majorBidi"/>
                <w:color w:val="000000"/>
                <w:sz w:val="20"/>
              </w:rPr>
              <w:t xml:space="preserve"> 100.0</w:t>
            </w:r>
          </w:p>
        </w:tc>
      </w:tr>
      <w:tr w:rsidR="007A4AEE" w:rsidRPr="00E55352" w14:paraId="4FD17290" w14:textId="77777777" w:rsidTr="005101BC">
        <w:trPr>
          <w:trHeight w:val="240"/>
        </w:trPr>
        <w:tc>
          <w:tcPr>
            <w:tcW w:w="4536" w:type="dxa"/>
            <w:shd w:val="clear" w:color="auto" w:fill="auto"/>
            <w:noWrap/>
          </w:tcPr>
          <w:p w14:paraId="4C181A33" w14:textId="704CA253" w:rsidR="007A4AEE" w:rsidRPr="000A6BDB" w:rsidRDefault="007A4AEE" w:rsidP="007A4AEE">
            <w:pPr>
              <w:spacing w:before="40"/>
              <w:rPr>
                <w:rFonts w:asciiTheme="majorBidi" w:eastAsia="Arial" w:hAnsiTheme="majorBidi" w:cstheme="majorBidi"/>
                <w:sz w:val="20"/>
              </w:rPr>
            </w:pPr>
            <w:r w:rsidRPr="000A6BDB">
              <w:rPr>
                <w:sz w:val="20"/>
              </w:rPr>
              <w:t xml:space="preserve">AFI BNOI S.R.L </w:t>
            </w:r>
          </w:p>
        </w:tc>
        <w:tc>
          <w:tcPr>
            <w:tcW w:w="2268" w:type="dxa"/>
            <w:shd w:val="clear" w:color="auto" w:fill="auto"/>
          </w:tcPr>
          <w:p w14:paraId="53B1EC52" w14:textId="482CB407" w:rsidR="007A4AEE" w:rsidRPr="00E55352" w:rsidRDefault="007A4AEE" w:rsidP="007A4AEE">
            <w:pPr>
              <w:spacing w:before="40"/>
              <w:rPr>
                <w:color w:val="000000"/>
                <w:sz w:val="20"/>
              </w:rPr>
            </w:pPr>
            <w:r w:rsidRPr="00A776AD">
              <w:rPr>
                <w:color w:val="000000"/>
                <w:sz w:val="20"/>
              </w:rPr>
              <w:t>Romania</w:t>
            </w:r>
          </w:p>
        </w:tc>
        <w:tc>
          <w:tcPr>
            <w:tcW w:w="1417" w:type="dxa"/>
            <w:shd w:val="clear" w:color="auto" w:fill="auto"/>
            <w:vAlign w:val="bottom"/>
          </w:tcPr>
          <w:p w14:paraId="6BC3DECD" w14:textId="2466A8D7" w:rsidR="007A4AEE" w:rsidRPr="00CD5E4D" w:rsidRDefault="007A4AEE" w:rsidP="007A4AEE">
            <w:pPr>
              <w:spacing w:before="40"/>
              <w:jc w:val="right"/>
              <w:rPr>
                <w:rFonts w:asciiTheme="majorBidi" w:hAnsiTheme="majorBidi" w:cstheme="majorBidi"/>
                <w:color w:val="000000"/>
                <w:sz w:val="20"/>
              </w:rPr>
            </w:pPr>
            <w:r w:rsidRPr="00440C55">
              <w:rPr>
                <w:rFonts w:asciiTheme="majorBidi" w:hAnsiTheme="majorBidi" w:cstheme="majorBidi"/>
                <w:color w:val="000000"/>
                <w:sz w:val="20"/>
              </w:rPr>
              <w:t xml:space="preserve"> 100.0</w:t>
            </w:r>
          </w:p>
        </w:tc>
        <w:tc>
          <w:tcPr>
            <w:tcW w:w="1417" w:type="dxa"/>
            <w:shd w:val="clear" w:color="auto" w:fill="auto"/>
            <w:vAlign w:val="bottom"/>
          </w:tcPr>
          <w:p w14:paraId="54475695" w14:textId="2F523150" w:rsidR="007A4AEE" w:rsidRPr="00E55352" w:rsidRDefault="007A4AEE" w:rsidP="007A4AEE">
            <w:pPr>
              <w:spacing w:before="40"/>
              <w:jc w:val="right"/>
              <w:rPr>
                <w:rFonts w:asciiTheme="majorBidi" w:hAnsiTheme="majorBidi" w:cstheme="majorBidi"/>
                <w:color w:val="000000"/>
                <w:sz w:val="20"/>
              </w:rPr>
            </w:pPr>
            <w:r w:rsidRPr="00440C55">
              <w:rPr>
                <w:rFonts w:asciiTheme="majorBidi" w:hAnsiTheme="majorBidi" w:cstheme="majorBidi"/>
                <w:color w:val="000000"/>
                <w:sz w:val="20"/>
              </w:rPr>
              <w:t xml:space="preserve"> 100.0</w:t>
            </w:r>
          </w:p>
        </w:tc>
      </w:tr>
      <w:tr w:rsidR="007A4AEE" w:rsidRPr="00E55352" w14:paraId="7CDCC288" w14:textId="77777777" w:rsidTr="005101BC">
        <w:trPr>
          <w:trHeight w:val="240"/>
        </w:trPr>
        <w:tc>
          <w:tcPr>
            <w:tcW w:w="4536" w:type="dxa"/>
            <w:shd w:val="clear" w:color="auto" w:fill="auto"/>
            <w:noWrap/>
          </w:tcPr>
          <w:p w14:paraId="795CBEEF" w14:textId="46FC4CE7" w:rsidR="007A4AEE" w:rsidRPr="005230A2" w:rsidRDefault="007A4AEE" w:rsidP="007A4AEE">
            <w:pPr>
              <w:spacing w:before="40"/>
              <w:rPr>
                <w:rFonts w:asciiTheme="majorBidi" w:eastAsia="Arial" w:hAnsiTheme="majorBidi" w:cstheme="majorBidi"/>
                <w:sz w:val="20"/>
                <w:lang w:val="de-DE"/>
              </w:rPr>
            </w:pPr>
            <w:r w:rsidRPr="005230A2">
              <w:rPr>
                <w:sz w:val="20"/>
                <w:lang w:val="de-DE"/>
              </w:rPr>
              <w:t>AFI Tech Park S.R.L</w:t>
            </w:r>
            <w:r w:rsidRPr="005230A2" w:rsidDel="00483F74">
              <w:rPr>
                <w:sz w:val="20"/>
                <w:lang w:val="de-DE"/>
              </w:rPr>
              <w:t xml:space="preserve"> </w:t>
            </w:r>
          </w:p>
        </w:tc>
        <w:tc>
          <w:tcPr>
            <w:tcW w:w="2268" w:type="dxa"/>
            <w:shd w:val="clear" w:color="auto" w:fill="auto"/>
          </w:tcPr>
          <w:p w14:paraId="7615CF9B" w14:textId="482E6AC2" w:rsidR="007A4AEE" w:rsidRPr="00E55352" w:rsidRDefault="007A4AEE" w:rsidP="007A4AEE">
            <w:pPr>
              <w:spacing w:before="40"/>
              <w:rPr>
                <w:color w:val="000000"/>
                <w:sz w:val="20"/>
              </w:rPr>
            </w:pPr>
            <w:r w:rsidRPr="00A776AD">
              <w:rPr>
                <w:color w:val="000000"/>
                <w:sz w:val="20"/>
              </w:rPr>
              <w:t>Romania</w:t>
            </w:r>
          </w:p>
        </w:tc>
        <w:tc>
          <w:tcPr>
            <w:tcW w:w="1417" w:type="dxa"/>
            <w:shd w:val="clear" w:color="auto" w:fill="auto"/>
            <w:vAlign w:val="bottom"/>
          </w:tcPr>
          <w:p w14:paraId="3DCA6605" w14:textId="1168124E" w:rsidR="007A4AEE" w:rsidRPr="00CD5E4D" w:rsidRDefault="007A4AEE" w:rsidP="007A4AEE">
            <w:pPr>
              <w:spacing w:before="40"/>
              <w:jc w:val="right"/>
              <w:rPr>
                <w:rFonts w:asciiTheme="majorBidi" w:hAnsiTheme="majorBidi" w:cstheme="majorBidi"/>
                <w:color w:val="000000"/>
                <w:sz w:val="20"/>
              </w:rPr>
            </w:pPr>
            <w:r w:rsidRPr="00440C55">
              <w:rPr>
                <w:rFonts w:asciiTheme="majorBidi" w:hAnsiTheme="majorBidi" w:cstheme="majorBidi"/>
                <w:color w:val="000000"/>
                <w:sz w:val="20"/>
              </w:rPr>
              <w:t xml:space="preserve"> 100.0</w:t>
            </w:r>
          </w:p>
        </w:tc>
        <w:tc>
          <w:tcPr>
            <w:tcW w:w="1417" w:type="dxa"/>
            <w:shd w:val="clear" w:color="auto" w:fill="auto"/>
            <w:vAlign w:val="bottom"/>
          </w:tcPr>
          <w:p w14:paraId="18B89946" w14:textId="03255AD7" w:rsidR="007A4AEE" w:rsidRPr="00E55352" w:rsidRDefault="007A4AEE" w:rsidP="007A4AEE">
            <w:pPr>
              <w:spacing w:before="40"/>
              <w:jc w:val="right"/>
              <w:rPr>
                <w:rFonts w:asciiTheme="majorBidi" w:hAnsiTheme="majorBidi" w:cstheme="majorBidi"/>
                <w:color w:val="000000"/>
                <w:sz w:val="20"/>
              </w:rPr>
            </w:pPr>
            <w:r w:rsidRPr="00440C55">
              <w:rPr>
                <w:rFonts w:asciiTheme="majorBidi" w:hAnsiTheme="majorBidi" w:cstheme="majorBidi"/>
                <w:color w:val="000000"/>
                <w:sz w:val="20"/>
              </w:rPr>
              <w:t xml:space="preserve"> 100.0</w:t>
            </w:r>
          </w:p>
        </w:tc>
      </w:tr>
      <w:tr w:rsidR="007A4AEE" w:rsidRPr="00E55352" w14:paraId="009EF15F" w14:textId="77777777" w:rsidTr="005101BC">
        <w:trPr>
          <w:trHeight w:val="240"/>
        </w:trPr>
        <w:tc>
          <w:tcPr>
            <w:tcW w:w="4536" w:type="dxa"/>
            <w:shd w:val="clear" w:color="auto" w:fill="auto"/>
            <w:noWrap/>
          </w:tcPr>
          <w:p w14:paraId="523FA7C7" w14:textId="3B120D7A" w:rsidR="007A4AEE" w:rsidRPr="000A6BDB" w:rsidRDefault="007A4AEE" w:rsidP="007A4AEE">
            <w:pPr>
              <w:spacing w:before="40"/>
              <w:rPr>
                <w:rFonts w:asciiTheme="majorBidi" w:eastAsia="Arial" w:hAnsiTheme="majorBidi" w:cstheme="majorBidi"/>
                <w:sz w:val="20"/>
              </w:rPr>
            </w:pPr>
            <w:r w:rsidRPr="000A6BDB">
              <w:rPr>
                <w:sz w:val="20"/>
              </w:rPr>
              <w:t xml:space="preserve">AFI </w:t>
            </w:r>
            <w:proofErr w:type="spellStart"/>
            <w:r w:rsidRPr="000A6BDB">
              <w:rPr>
                <w:sz w:val="20"/>
              </w:rPr>
              <w:t>Magurele</w:t>
            </w:r>
            <w:proofErr w:type="spellEnd"/>
            <w:r w:rsidRPr="000A6BDB">
              <w:rPr>
                <w:sz w:val="20"/>
              </w:rPr>
              <w:t xml:space="preserve"> S.</w:t>
            </w:r>
            <w:proofErr w:type="gramStart"/>
            <w:r w:rsidRPr="000A6BDB">
              <w:rPr>
                <w:sz w:val="20"/>
              </w:rPr>
              <w:t>R.L</w:t>
            </w:r>
            <w:proofErr w:type="gramEnd"/>
          </w:p>
        </w:tc>
        <w:tc>
          <w:tcPr>
            <w:tcW w:w="2268" w:type="dxa"/>
            <w:shd w:val="clear" w:color="auto" w:fill="auto"/>
          </w:tcPr>
          <w:p w14:paraId="6F1469B6" w14:textId="2C1B5CA4" w:rsidR="007A4AEE" w:rsidRPr="00E55352" w:rsidRDefault="007A4AEE" w:rsidP="007A4AEE">
            <w:pPr>
              <w:spacing w:before="40"/>
              <w:rPr>
                <w:color w:val="000000"/>
                <w:sz w:val="20"/>
              </w:rPr>
            </w:pPr>
            <w:r w:rsidRPr="00A776AD">
              <w:rPr>
                <w:color w:val="000000"/>
                <w:sz w:val="20"/>
              </w:rPr>
              <w:t>Romania</w:t>
            </w:r>
          </w:p>
        </w:tc>
        <w:tc>
          <w:tcPr>
            <w:tcW w:w="1417" w:type="dxa"/>
            <w:shd w:val="clear" w:color="auto" w:fill="auto"/>
            <w:vAlign w:val="bottom"/>
          </w:tcPr>
          <w:p w14:paraId="7D2864F2" w14:textId="6092F7C7" w:rsidR="007A4AEE" w:rsidRPr="00CD5E4D" w:rsidRDefault="007A4AEE" w:rsidP="007A4AEE">
            <w:pPr>
              <w:spacing w:before="40"/>
              <w:jc w:val="right"/>
              <w:rPr>
                <w:rFonts w:asciiTheme="majorBidi" w:hAnsiTheme="majorBidi" w:cstheme="majorBidi"/>
                <w:color w:val="000000"/>
                <w:sz w:val="20"/>
              </w:rPr>
            </w:pPr>
            <w:r w:rsidRPr="00440C55">
              <w:rPr>
                <w:rFonts w:asciiTheme="majorBidi" w:hAnsiTheme="majorBidi" w:cstheme="majorBidi"/>
                <w:color w:val="000000"/>
                <w:sz w:val="20"/>
              </w:rPr>
              <w:t xml:space="preserve"> 100.0</w:t>
            </w:r>
          </w:p>
        </w:tc>
        <w:tc>
          <w:tcPr>
            <w:tcW w:w="1417" w:type="dxa"/>
            <w:shd w:val="clear" w:color="auto" w:fill="auto"/>
            <w:vAlign w:val="bottom"/>
          </w:tcPr>
          <w:p w14:paraId="11B5A59B" w14:textId="595B14F0" w:rsidR="007A4AEE" w:rsidRPr="00E55352" w:rsidRDefault="007A4AEE" w:rsidP="007A4AEE">
            <w:pPr>
              <w:spacing w:before="40"/>
              <w:jc w:val="right"/>
              <w:rPr>
                <w:rFonts w:asciiTheme="majorBidi" w:hAnsiTheme="majorBidi" w:cstheme="majorBidi"/>
                <w:color w:val="000000"/>
                <w:sz w:val="20"/>
              </w:rPr>
            </w:pPr>
            <w:r w:rsidRPr="00440C55">
              <w:rPr>
                <w:rFonts w:asciiTheme="majorBidi" w:hAnsiTheme="majorBidi" w:cstheme="majorBidi"/>
                <w:color w:val="000000"/>
                <w:sz w:val="20"/>
              </w:rPr>
              <w:t xml:space="preserve"> 100.0</w:t>
            </w:r>
          </w:p>
        </w:tc>
      </w:tr>
      <w:tr w:rsidR="007A4AEE" w:rsidRPr="00E55352" w14:paraId="21CF2760" w14:textId="77777777" w:rsidTr="005101BC">
        <w:trPr>
          <w:trHeight w:val="240"/>
        </w:trPr>
        <w:tc>
          <w:tcPr>
            <w:tcW w:w="4536" w:type="dxa"/>
            <w:shd w:val="clear" w:color="auto" w:fill="auto"/>
            <w:noWrap/>
          </w:tcPr>
          <w:p w14:paraId="5C70EAB4" w14:textId="5D4F035D" w:rsidR="007A4AEE" w:rsidRPr="005230A2" w:rsidRDefault="007A4AEE" w:rsidP="007A4AEE">
            <w:pPr>
              <w:spacing w:before="40"/>
              <w:rPr>
                <w:rFonts w:asciiTheme="majorBidi" w:eastAsia="Arial" w:hAnsiTheme="majorBidi" w:cstheme="majorBidi"/>
                <w:sz w:val="20"/>
                <w:lang w:val="de-DE"/>
              </w:rPr>
            </w:pPr>
            <w:r w:rsidRPr="005230A2">
              <w:rPr>
                <w:sz w:val="20"/>
                <w:lang w:val="de-DE"/>
              </w:rPr>
              <w:t>AFI Park 1 S.R.L</w:t>
            </w:r>
          </w:p>
        </w:tc>
        <w:tc>
          <w:tcPr>
            <w:tcW w:w="2268" w:type="dxa"/>
            <w:shd w:val="clear" w:color="auto" w:fill="auto"/>
          </w:tcPr>
          <w:p w14:paraId="72E8DEBE" w14:textId="6F88AD82" w:rsidR="007A4AEE" w:rsidRPr="00E55352" w:rsidRDefault="007A4AEE" w:rsidP="007A4AEE">
            <w:pPr>
              <w:spacing w:before="40"/>
              <w:rPr>
                <w:color w:val="000000"/>
                <w:sz w:val="20"/>
              </w:rPr>
            </w:pPr>
            <w:r w:rsidRPr="00A776AD">
              <w:rPr>
                <w:color w:val="000000"/>
                <w:sz w:val="20"/>
              </w:rPr>
              <w:t>Romania</w:t>
            </w:r>
          </w:p>
        </w:tc>
        <w:tc>
          <w:tcPr>
            <w:tcW w:w="1417" w:type="dxa"/>
            <w:shd w:val="clear" w:color="auto" w:fill="auto"/>
            <w:vAlign w:val="bottom"/>
          </w:tcPr>
          <w:p w14:paraId="6AB619AE" w14:textId="0138650A" w:rsidR="007A4AEE" w:rsidRPr="00CD5E4D" w:rsidRDefault="007A4AEE" w:rsidP="007A4AEE">
            <w:pPr>
              <w:spacing w:before="40"/>
              <w:jc w:val="right"/>
              <w:rPr>
                <w:rFonts w:asciiTheme="majorBidi" w:hAnsiTheme="majorBidi" w:cstheme="majorBidi"/>
                <w:color w:val="000000"/>
                <w:sz w:val="20"/>
              </w:rPr>
            </w:pPr>
            <w:r w:rsidRPr="00440C55">
              <w:rPr>
                <w:rFonts w:asciiTheme="majorBidi" w:hAnsiTheme="majorBidi" w:cstheme="majorBidi"/>
                <w:color w:val="000000"/>
                <w:sz w:val="20"/>
              </w:rPr>
              <w:t xml:space="preserve"> 100.0</w:t>
            </w:r>
          </w:p>
        </w:tc>
        <w:tc>
          <w:tcPr>
            <w:tcW w:w="1417" w:type="dxa"/>
            <w:shd w:val="clear" w:color="auto" w:fill="auto"/>
            <w:vAlign w:val="bottom"/>
          </w:tcPr>
          <w:p w14:paraId="67040F63" w14:textId="0DAED85D" w:rsidR="007A4AEE" w:rsidRPr="00E55352" w:rsidRDefault="007A4AEE" w:rsidP="007A4AEE">
            <w:pPr>
              <w:spacing w:before="40"/>
              <w:jc w:val="right"/>
              <w:rPr>
                <w:rFonts w:asciiTheme="majorBidi" w:hAnsiTheme="majorBidi" w:cstheme="majorBidi"/>
                <w:color w:val="000000"/>
                <w:sz w:val="20"/>
              </w:rPr>
            </w:pPr>
            <w:r w:rsidRPr="00440C55">
              <w:rPr>
                <w:rFonts w:asciiTheme="majorBidi" w:hAnsiTheme="majorBidi" w:cstheme="majorBidi"/>
                <w:color w:val="000000"/>
                <w:sz w:val="20"/>
              </w:rPr>
              <w:t xml:space="preserve"> 100.0</w:t>
            </w:r>
          </w:p>
        </w:tc>
      </w:tr>
      <w:tr w:rsidR="007A4AEE" w:rsidRPr="00E55352" w14:paraId="0C33300C" w14:textId="77777777" w:rsidTr="005101BC">
        <w:trPr>
          <w:trHeight w:val="240"/>
        </w:trPr>
        <w:tc>
          <w:tcPr>
            <w:tcW w:w="4536" w:type="dxa"/>
            <w:shd w:val="clear" w:color="auto" w:fill="auto"/>
            <w:noWrap/>
            <w:vAlign w:val="bottom"/>
          </w:tcPr>
          <w:p w14:paraId="7E106701" w14:textId="2955BD03" w:rsidR="007A4AEE" w:rsidRPr="005230A2" w:rsidRDefault="007A4AEE" w:rsidP="007A4AEE">
            <w:pPr>
              <w:spacing w:before="40"/>
              <w:rPr>
                <w:rFonts w:asciiTheme="majorBidi" w:eastAsia="Arial" w:hAnsiTheme="majorBidi" w:cstheme="majorBidi"/>
                <w:sz w:val="20"/>
                <w:lang w:val="de-DE"/>
              </w:rPr>
            </w:pPr>
            <w:r w:rsidRPr="005230A2">
              <w:rPr>
                <w:rFonts w:asciiTheme="majorBidi" w:eastAsia="Arial" w:hAnsiTheme="majorBidi" w:cstheme="majorBidi"/>
                <w:sz w:val="20"/>
                <w:lang w:val="de-DE"/>
              </w:rPr>
              <w:t>AFI Park 2 S.R.L.</w:t>
            </w:r>
          </w:p>
        </w:tc>
        <w:tc>
          <w:tcPr>
            <w:tcW w:w="2268" w:type="dxa"/>
            <w:shd w:val="clear" w:color="auto" w:fill="auto"/>
          </w:tcPr>
          <w:p w14:paraId="564C97C9" w14:textId="600ADA2E" w:rsidR="007A4AEE" w:rsidRPr="00E55352" w:rsidRDefault="007A4AEE" w:rsidP="007A4AEE">
            <w:pPr>
              <w:spacing w:before="40"/>
              <w:rPr>
                <w:color w:val="000000"/>
                <w:sz w:val="20"/>
              </w:rPr>
            </w:pPr>
            <w:r w:rsidRPr="00A776AD">
              <w:rPr>
                <w:color w:val="000000"/>
                <w:sz w:val="20"/>
              </w:rPr>
              <w:t>Romania</w:t>
            </w:r>
          </w:p>
        </w:tc>
        <w:tc>
          <w:tcPr>
            <w:tcW w:w="1417" w:type="dxa"/>
            <w:shd w:val="clear" w:color="auto" w:fill="auto"/>
            <w:vAlign w:val="bottom"/>
          </w:tcPr>
          <w:p w14:paraId="5367CEC3" w14:textId="6B88D8A4" w:rsidR="007A4AEE" w:rsidRPr="00CD5E4D" w:rsidRDefault="007A4AEE" w:rsidP="007A4AEE">
            <w:pPr>
              <w:spacing w:before="40"/>
              <w:jc w:val="right"/>
              <w:rPr>
                <w:rFonts w:asciiTheme="majorBidi" w:hAnsiTheme="majorBidi" w:cstheme="majorBidi"/>
                <w:color w:val="000000"/>
                <w:sz w:val="20"/>
              </w:rPr>
            </w:pPr>
            <w:r w:rsidRPr="00440C55">
              <w:rPr>
                <w:rFonts w:asciiTheme="majorBidi" w:hAnsiTheme="majorBidi" w:cstheme="majorBidi"/>
                <w:color w:val="000000"/>
                <w:sz w:val="20"/>
              </w:rPr>
              <w:t xml:space="preserve"> 100.0</w:t>
            </w:r>
          </w:p>
        </w:tc>
        <w:tc>
          <w:tcPr>
            <w:tcW w:w="1417" w:type="dxa"/>
            <w:shd w:val="clear" w:color="auto" w:fill="auto"/>
            <w:vAlign w:val="bottom"/>
          </w:tcPr>
          <w:p w14:paraId="5073F963" w14:textId="6567B77B" w:rsidR="007A4AEE" w:rsidRPr="00E55352" w:rsidRDefault="007A4AEE" w:rsidP="007A4AEE">
            <w:pPr>
              <w:spacing w:before="40"/>
              <w:jc w:val="right"/>
              <w:rPr>
                <w:rFonts w:asciiTheme="majorBidi" w:hAnsiTheme="majorBidi" w:cstheme="majorBidi"/>
                <w:color w:val="000000"/>
                <w:sz w:val="20"/>
              </w:rPr>
            </w:pPr>
            <w:r w:rsidRPr="00440C55">
              <w:rPr>
                <w:rFonts w:asciiTheme="majorBidi" w:hAnsiTheme="majorBidi" w:cstheme="majorBidi"/>
                <w:color w:val="000000"/>
                <w:sz w:val="20"/>
              </w:rPr>
              <w:t xml:space="preserve"> 100.0</w:t>
            </w:r>
          </w:p>
        </w:tc>
      </w:tr>
      <w:tr w:rsidR="007A4AEE" w:rsidRPr="00E55352" w14:paraId="17B64418" w14:textId="77777777" w:rsidTr="005101BC">
        <w:trPr>
          <w:trHeight w:val="240"/>
        </w:trPr>
        <w:tc>
          <w:tcPr>
            <w:tcW w:w="4536" w:type="dxa"/>
            <w:shd w:val="clear" w:color="auto" w:fill="auto"/>
            <w:noWrap/>
            <w:vAlign w:val="bottom"/>
          </w:tcPr>
          <w:p w14:paraId="75AB83C1" w14:textId="5940D628" w:rsidR="007A4AEE" w:rsidRPr="000A6BDB" w:rsidRDefault="007A4AEE" w:rsidP="007A4AEE">
            <w:pPr>
              <w:spacing w:before="40"/>
              <w:rPr>
                <w:rFonts w:asciiTheme="majorBidi" w:eastAsia="Arial" w:hAnsiTheme="majorBidi" w:cstheme="majorBidi"/>
                <w:sz w:val="20"/>
              </w:rPr>
            </w:pPr>
            <w:r w:rsidRPr="000A6BDB">
              <w:rPr>
                <w:rFonts w:asciiTheme="majorBidi" w:eastAsia="Arial" w:hAnsiTheme="majorBidi" w:cstheme="majorBidi"/>
                <w:sz w:val="20"/>
              </w:rPr>
              <w:t>AFI Park Building 3 S.R.L.</w:t>
            </w:r>
          </w:p>
        </w:tc>
        <w:tc>
          <w:tcPr>
            <w:tcW w:w="2268" w:type="dxa"/>
            <w:shd w:val="clear" w:color="auto" w:fill="auto"/>
          </w:tcPr>
          <w:p w14:paraId="4FEA7767" w14:textId="4AD39A9D" w:rsidR="007A4AEE" w:rsidRPr="00E55352" w:rsidRDefault="007A4AEE" w:rsidP="007A4AEE">
            <w:pPr>
              <w:spacing w:before="40"/>
              <w:rPr>
                <w:color w:val="000000"/>
                <w:sz w:val="20"/>
              </w:rPr>
            </w:pPr>
            <w:r w:rsidRPr="00A776AD">
              <w:rPr>
                <w:color w:val="000000"/>
                <w:sz w:val="20"/>
              </w:rPr>
              <w:t>Romania</w:t>
            </w:r>
          </w:p>
        </w:tc>
        <w:tc>
          <w:tcPr>
            <w:tcW w:w="1417" w:type="dxa"/>
            <w:shd w:val="clear" w:color="auto" w:fill="auto"/>
            <w:vAlign w:val="bottom"/>
          </w:tcPr>
          <w:p w14:paraId="70F380A8" w14:textId="7BEC0BA1" w:rsidR="007A4AEE" w:rsidRPr="00CD5E4D" w:rsidRDefault="007A4AEE" w:rsidP="007A4AEE">
            <w:pPr>
              <w:spacing w:before="40"/>
              <w:jc w:val="right"/>
              <w:rPr>
                <w:rFonts w:asciiTheme="majorBidi" w:hAnsiTheme="majorBidi" w:cstheme="majorBidi"/>
                <w:color w:val="000000"/>
                <w:sz w:val="20"/>
              </w:rPr>
            </w:pPr>
            <w:r w:rsidRPr="00440C55">
              <w:rPr>
                <w:rFonts w:asciiTheme="majorBidi" w:hAnsiTheme="majorBidi" w:cstheme="majorBidi"/>
                <w:color w:val="000000"/>
                <w:sz w:val="20"/>
              </w:rPr>
              <w:t xml:space="preserve"> 100.0</w:t>
            </w:r>
          </w:p>
        </w:tc>
        <w:tc>
          <w:tcPr>
            <w:tcW w:w="1417" w:type="dxa"/>
            <w:shd w:val="clear" w:color="auto" w:fill="auto"/>
            <w:vAlign w:val="bottom"/>
          </w:tcPr>
          <w:p w14:paraId="489BAFDB" w14:textId="58216A86" w:rsidR="007A4AEE" w:rsidRPr="00E55352" w:rsidRDefault="007A4AEE" w:rsidP="007A4AEE">
            <w:pPr>
              <w:spacing w:before="40"/>
              <w:jc w:val="right"/>
              <w:rPr>
                <w:rFonts w:asciiTheme="majorBidi" w:hAnsiTheme="majorBidi" w:cstheme="majorBidi"/>
                <w:color w:val="000000"/>
                <w:sz w:val="20"/>
              </w:rPr>
            </w:pPr>
            <w:r w:rsidRPr="00440C55">
              <w:rPr>
                <w:rFonts w:asciiTheme="majorBidi" w:hAnsiTheme="majorBidi" w:cstheme="majorBidi"/>
                <w:color w:val="000000"/>
                <w:sz w:val="20"/>
              </w:rPr>
              <w:t xml:space="preserve"> 100.0</w:t>
            </w:r>
          </w:p>
        </w:tc>
      </w:tr>
      <w:tr w:rsidR="007A4AEE" w:rsidRPr="00E55352" w14:paraId="3B907A81" w14:textId="77777777" w:rsidTr="005101BC">
        <w:trPr>
          <w:trHeight w:val="240"/>
        </w:trPr>
        <w:tc>
          <w:tcPr>
            <w:tcW w:w="4536" w:type="dxa"/>
            <w:shd w:val="clear" w:color="auto" w:fill="auto"/>
            <w:noWrap/>
            <w:vAlign w:val="bottom"/>
          </w:tcPr>
          <w:p w14:paraId="74967E52" w14:textId="2764B3F8" w:rsidR="007A4AEE" w:rsidRPr="000A6BDB" w:rsidRDefault="007A4AEE" w:rsidP="007A4AEE">
            <w:pPr>
              <w:spacing w:before="40"/>
              <w:rPr>
                <w:rFonts w:asciiTheme="majorBidi" w:eastAsia="Arial" w:hAnsiTheme="majorBidi" w:cstheme="majorBidi"/>
                <w:sz w:val="20"/>
              </w:rPr>
            </w:pPr>
            <w:r w:rsidRPr="000A6BDB">
              <w:rPr>
                <w:rFonts w:asciiTheme="majorBidi" w:eastAsia="Arial" w:hAnsiTheme="majorBidi" w:cstheme="majorBidi"/>
                <w:sz w:val="20"/>
              </w:rPr>
              <w:t>AFI Park offices 4&amp;5 S.R.L.</w:t>
            </w:r>
          </w:p>
        </w:tc>
        <w:tc>
          <w:tcPr>
            <w:tcW w:w="2268" w:type="dxa"/>
            <w:shd w:val="clear" w:color="auto" w:fill="auto"/>
          </w:tcPr>
          <w:p w14:paraId="4C790BF2" w14:textId="2B0D3CF5" w:rsidR="007A4AEE" w:rsidRPr="00E55352" w:rsidRDefault="007A4AEE" w:rsidP="007A4AEE">
            <w:pPr>
              <w:spacing w:before="40"/>
              <w:rPr>
                <w:color w:val="000000"/>
                <w:sz w:val="20"/>
              </w:rPr>
            </w:pPr>
            <w:r w:rsidRPr="00A776AD">
              <w:rPr>
                <w:color w:val="000000"/>
                <w:sz w:val="20"/>
              </w:rPr>
              <w:t>Romania</w:t>
            </w:r>
          </w:p>
        </w:tc>
        <w:tc>
          <w:tcPr>
            <w:tcW w:w="1417" w:type="dxa"/>
            <w:shd w:val="clear" w:color="auto" w:fill="auto"/>
            <w:vAlign w:val="bottom"/>
          </w:tcPr>
          <w:p w14:paraId="5ACC1C01" w14:textId="29871534" w:rsidR="007A4AEE" w:rsidRPr="00CD5E4D" w:rsidRDefault="007A4AEE" w:rsidP="007A4AEE">
            <w:pPr>
              <w:spacing w:before="40"/>
              <w:jc w:val="right"/>
              <w:rPr>
                <w:rFonts w:asciiTheme="majorBidi" w:hAnsiTheme="majorBidi" w:cstheme="majorBidi"/>
                <w:color w:val="000000"/>
                <w:sz w:val="20"/>
              </w:rPr>
            </w:pPr>
            <w:r w:rsidRPr="00440C55">
              <w:rPr>
                <w:rFonts w:asciiTheme="majorBidi" w:hAnsiTheme="majorBidi" w:cstheme="majorBidi"/>
                <w:color w:val="000000"/>
                <w:sz w:val="20"/>
              </w:rPr>
              <w:t xml:space="preserve"> 100.0</w:t>
            </w:r>
          </w:p>
        </w:tc>
        <w:tc>
          <w:tcPr>
            <w:tcW w:w="1417" w:type="dxa"/>
            <w:shd w:val="clear" w:color="auto" w:fill="auto"/>
            <w:vAlign w:val="bottom"/>
          </w:tcPr>
          <w:p w14:paraId="635B2B14" w14:textId="5158DCE7" w:rsidR="007A4AEE" w:rsidRPr="00E55352" w:rsidRDefault="007A4AEE" w:rsidP="007A4AEE">
            <w:pPr>
              <w:spacing w:before="40"/>
              <w:jc w:val="right"/>
              <w:rPr>
                <w:rFonts w:asciiTheme="majorBidi" w:hAnsiTheme="majorBidi" w:cstheme="majorBidi"/>
                <w:color w:val="000000"/>
                <w:sz w:val="20"/>
              </w:rPr>
            </w:pPr>
            <w:r w:rsidRPr="00440C55">
              <w:rPr>
                <w:rFonts w:asciiTheme="majorBidi" w:hAnsiTheme="majorBidi" w:cstheme="majorBidi"/>
                <w:color w:val="000000"/>
                <w:sz w:val="20"/>
              </w:rPr>
              <w:t xml:space="preserve"> 100.0</w:t>
            </w:r>
          </w:p>
        </w:tc>
      </w:tr>
      <w:tr w:rsidR="007A4AEE" w:rsidRPr="00E55352" w14:paraId="0E428470" w14:textId="77777777" w:rsidTr="005101BC">
        <w:trPr>
          <w:trHeight w:val="240"/>
        </w:trPr>
        <w:tc>
          <w:tcPr>
            <w:tcW w:w="4536" w:type="dxa"/>
            <w:shd w:val="clear" w:color="auto" w:fill="auto"/>
            <w:noWrap/>
          </w:tcPr>
          <w:p w14:paraId="24A76DDF" w14:textId="45C1EB98" w:rsidR="007A4AEE" w:rsidRPr="000A6BDB" w:rsidRDefault="007A4AEE" w:rsidP="007A4AEE">
            <w:pPr>
              <w:spacing w:before="40"/>
              <w:rPr>
                <w:rFonts w:asciiTheme="majorBidi" w:eastAsia="Arial" w:hAnsiTheme="majorBidi" w:cstheme="majorBidi"/>
                <w:sz w:val="20"/>
              </w:rPr>
            </w:pPr>
            <w:r w:rsidRPr="000A6BDB">
              <w:rPr>
                <w:sz w:val="20"/>
              </w:rPr>
              <w:t>AFI Home North S.R.L </w:t>
            </w:r>
            <w:r w:rsidR="005B42AB">
              <w:rPr>
                <w:sz w:val="20"/>
              </w:rPr>
              <w:t>(4)</w:t>
            </w:r>
          </w:p>
        </w:tc>
        <w:tc>
          <w:tcPr>
            <w:tcW w:w="2268" w:type="dxa"/>
            <w:shd w:val="clear" w:color="auto" w:fill="auto"/>
          </w:tcPr>
          <w:p w14:paraId="462EC786" w14:textId="34B9229D" w:rsidR="007A4AEE" w:rsidRPr="00E55352" w:rsidRDefault="007A4AEE" w:rsidP="007A4AEE">
            <w:pPr>
              <w:spacing w:before="40"/>
              <w:rPr>
                <w:color w:val="000000"/>
                <w:sz w:val="20"/>
              </w:rPr>
            </w:pPr>
            <w:r w:rsidRPr="00A776AD">
              <w:rPr>
                <w:color w:val="000000"/>
                <w:sz w:val="20"/>
              </w:rPr>
              <w:t>Romania</w:t>
            </w:r>
          </w:p>
        </w:tc>
        <w:tc>
          <w:tcPr>
            <w:tcW w:w="1417" w:type="dxa"/>
            <w:shd w:val="clear" w:color="auto" w:fill="auto"/>
            <w:vAlign w:val="bottom"/>
          </w:tcPr>
          <w:p w14:paraId="0BA92C69" w14:textId="3E452D27" w:rsidR="007A4AEE" w:rsidRPr="00CD5E4D" w:rsidRDefault="007A4AEE" w:rsidP="007A4AEE">
            <w:pPr>
              <w:spacing w:before="40"/>
              <w:jc w:val="right"/>
              <w:rPr>
                <w:rFonts w:asciiTheme="majorBidi" w:hAnsiTheme="majorBidi" w:cstheme="majorBidi"/>
                <w:color w:val="000000"/>
                <w:sz w:val="20"/>
              </w:rPr>
            </w:pPr>
            <w:r w:rsidRPr="00440C55">
              <w:rPr>
                <w:rFonts w:asciiTheme="majorBidi" w:hAnsiTheme="majorBidi" w:cstheme="majorBidi"/>
                <w:color w:val="000000"/>
                <w:sz w:val="20"/>
              </w:rPr>
              <w:t xml:space="preserve"> 100.0</w:t>
            </w:r>
          </w:p>
        </w:tc>
        <w:tc>
          <w:tcPr>
            <w:tcW w:w="1417" w:type="dxa"/>
            <w:shd w:val="clear" w:color="auto" w:fill="auto"/>
            <w:vAlign w:val="bottom"/>
          </w:tcPr>
          <w:p w14:paraId="74196B9E" w14:textId="2776164B" w:rsidR="007A4AEE" w:rsidRPr="00E55352" w:rsidRDefault="007A4AEE" w:rsidP="007A4AEE">
            <w:pPr>
              <w:spacing w:before="40"/>
              <w:jc w:val="right"/>
              <w:rPr>
                <w:rFonts w:asciiTheme="majorBidi" w:hAnsiTheme="majorBidi" w:cstheme="majorBidi"/>
                <w:color w:val="000000"/>
                <w:sz w:val="20"/>
              </w:rPr>
            </w:pPr>
            <w:r w:rsidRPr="00440C55">
              <w:rPr>
                <w:rFonts w:asciiTheme="majorBidi" w:hAnsiTheme="majorBidi" w:cstheme="majorBidi"/>
                <w:color w:val="000000"/>
                <w:sz w:val="20"/>
              </w:rPr>
              <w:t xml:space="preserve"> 100.0</w:t>
            </w:r>
          </w:p>
        </w:tc>
      </w:tr>
      <w:tr w:rsidR="007A4AEE" w:rsidRPr="00E55352" w14:paraId="6DC478B3" w14:textId="77777777" w:rsidTr="005101BC">
        <w:trPr>
          <w:trHeight w:val="240"/>
        </w:trPr>
        <w:tc>
          <w:tcPr>
            <w:tcW w:w="4536" w:type="dxa"/>
            <w:shd w:val="clear" w:color="auto" w:fill="auto"/>
            <w:noWrap/>
            <w:vAlign w:val="bottom"/>
          </w:tcPr>
          <w:p w14:paraId="4B5611EC" w14:textId="39592347" w:rsidR="007A4AEE" w:rsidRPr="000A6BDB" w:rsidRDefault="007A4AEE" w:rsidP="007A4AEE">
            <w:pPr>
              <w:spacing w:before="40"/>
              <w:rPr>
                <w:rFonts w:asciiTheme="majorBidi" w:eastAsia="Arial" w:hAnsiTheme="majorBidi" w:cstheme="majorBidi"/>
                <w:sz w:val="20"/>
              </w:rPr>
            </w:pPr>
            <w:r w:rsidRPr="000A6BDB">
              <w:rPr>
                <w:rFonts w:asciiTheme="majorBidi" w:eastAsia="Arial" w:hAnsiTheme="majorBidi" w:cstheme="majorBidi"/>
                <w:sz w:val="20"/>
              </w:rPr>
              <w:t>AFI Palace Brasov S.R.L.</w:t>
            </w:r>
          </w:p>
        </w:tc>
        <w:tc>
          <w:tcPr>
            <w:tcW w:w="2268" w:type="dxa"/>
            <w:shd w:val="clear" w:color="auto" w:fill="auto"/>
          </w:tcPr>
          <w:p w14:paraId="3FFA75A8" w14:textId="55B93B29" w:rsidR="007A4AEE" w:rsidRPr="00E55352" w:rsidRDefault="007A4AEE" w:rsidP="007A4AEE">
            <w:pPr>
              <w:spacing w:before="40"/>
              <w:rPr>
                <w:rFonts w:asciiTheme="majorBidi" w:hAnsiTheme="majorBidi" w:cstheme="majorBidi"/>
                <w:color w:val="000000"/>
                <w:sz w:val="20"/>
                <w:lang w:val="en-GB"/>
              </w:rPr>
            </w:pPr>
            <w:r w:rsidRPr="00A776AD">
              <w:rPr>
                <w:color w:val="000000"/>
                <w:sz w:val="20"/>
              </w:rPr>
              <w:t>Romania</w:t>
            </w:r>
          </w:p>
        </w:tc>
        <w:tc>
          <w:tcPr>
            <w:tcW w:w="1417" w:type="dxa"/>
            <w:shd w:val="clear" w:color="auto" w:fill="auto"/>
            <w:vAlign w:val="bottom"/>
          </w:tcPr>
          <w:p w14:paraId="06808F97" w14:textId="7EE21305" w:rsidR="007A4AEE" w:rsidRPr="00CD5E4D" w:rsidRDefault="007A4AEE" w:rsidP="007A4AEE">
            <w:pPr>
              <w:spacing w:before="40"/>
              <w:jc w:val="right"/>
              <w:rPr>
                <w:rFonts w:asciiTheme="majorBidi" w:hAnsiTheme="majorBidi" w:cstheme="majorBidi"/>
                <w:color w:val="000000"/>
                <w:sz w:val="20"/>
                <w:lang w:val="en-GB"/>
              </w:rPr>
            </w:pPr>
            <w:r w:rsidRPr="00440C55">
              <w:rPr>
                <w:rFonts w:asciiTheme="majorBidi" w:hAnsiTheme="majorBidi" w:cstheme="majorBidi"/>
                <w:color w:val="000000"/>
                <w:sz w:val="20"/>
              </w:rPr>
              <w:t>100.0</w:t>
            </w:r>
          </w:p>
        </w:tc>
        <w:tc>
          <w:tcPr>
            <w:tcW w:w="1417" w:type="dxa"/>
            <w:shd w:val="clear" w:color="auto" w:fill="auto"/>
            <w:vAlign w:val="bottom"/>
          </w:tcPr>
          <w:p w14:paraId="0D115A5E" w14:textId="1695082E" w:rsidR="007A4AEE" w:rsidRPr="00E55352" w:rsidRDefault="007A4AEE" w:rsidP="007A4AEE">
            <w:pPr>
              <w:spacing w:before="40"/>
              <w:jc w:val="right"/>
              <w:rPr>
                <w:rFonts w:asciiTheme="majorBidi" w:hAnsiTheme="majorBidi" w:cstheme="majorBidi"/>
                <w:color w:val="000000"/>
                <w:sz w:val="20"/>
                <w:lang w:val="en-GB"/>
              </w:rPr>
            </w:pPr>
            <w:r w:rsidRPr="00440C55">
              <w:rPr>
                <w:rFonts w:asciiTheme="majorBidi" w:hAnsiTheme="majorBidi" w:cstheme="majorBidi"/>
                <w:color w:val="000000"/>
                <w:sz w:val="20"/>
              </w:rPr>
              <w:t>100.0</w:t>
            </w:r>
          </w:p>
        </w:tc>
      </w:tr>
      <w:tr w:rsidR="007A4AEE" w:rsidRPr="00E55352" w14:paraId="76C7B0D4" w14:textId="77777777" w:rsidTr="005101BC">
        <w:trPr>
          <w:trHeight w:val="240"/>
        </w:trPr>
        <w:tc>
          <w:tcPr>
            <w:tcW w:w="4536" w:type="dxa"/>
            <w:shd w:val="clear" w:color="auto" w:fill="auto"/>
            <w:noWrap/>
            <w:vAlign w:val="bottom"/>
          </w:tcPr>
          <w:p w14:paraId="61289E50" w14:textId="2BAB238D" w:rsidR="007A4AEE" w:rsidRPr="000A6BDB" w:rsidRDefault="007A4AEE" w:rsidP="007A4AEE">
            <w:pPr>
              <w:spacing w:before="40"/>
              <w:rPr>
                <w:rFonts w:asciiTheme="majorBidi" w:eastAsia="Arial" w:hAnsiTheme="majorBidi" w:cstheme="majorBidi"/>
                <w:sz w:val="20"/>
              </w:rPr>
            </w:pPr>
            <w:r w:rsidRPr="000A6BDB">
              <w:rPr>
                <w:rFonts w:asciiTheme="majorBidi" w:eastAsia="Arial" w:hAnsiTheme="majorBidi" w:cstheme="majorBidi"/>
                <w:sz w:val="20"/>
              </w:rPr>
              <w:t>AFI Global Park S.R.L.</w:t>
            </w:r>
          </w:p>
        </w:tc>
        <w:tc>
          <w:tcPr>
            <w:tcW w:w="2268" w:type="dxa"/>
            <w:shd w:val="clear" w:color="auto" w:fill="auto"/>
            <w:vAlign w:val="bottom"/>
          </w:tcPr>
          <w:p w14:paraId="6E4E41B2" w14:textId="0D1275FB" w:rsidR="007A4AEE" w:rsidRPr="00E55352" w:rsidRDefault="007A4AEE" w:rsidP="007A4AEE">
            <w:pPr>
              <w:spacing w:before="40"/>
              <w:rPr>
                <w:color w:val="000000"/>
                <w:sz w:val="20"/>
              </w:rPr>
            </w:pPr>
            <w:r w:rsidRPr="00E55352">
              <w:rPr>
                <w:color w:val="000000"/>
                <w:sz w:val="20"/>
              </w:rPr>
              <w:t>Romania</w:t>
            </w:r>
          </w:p>
        </w:tc>
        <w:tc>
          <w:tcPr>
            <w:tcW w:w="1417" w:type="dxa"/>
            <w:shd w:val="clear" w:color="auto" w:fill="auto"/>
            <w:vAlign w:val="bottom"/>
          </w:tcPr>
          <w:p w14:paraId="4B3B3350" w14:textId="4200AF90" w:rsidR="007A4AEE" w:rsidRPr="00CD5E4D" w:rsidRDefault="007A4AEE" w:rsidP="007A4AEE">
            <w:pPr>
              <w:spacing w:before="40"/>
              <w:jc w:val="right"/>
              <w:rPr>
                <w:rFonts w:asciiTheme="majorBidi" w:hAnsiTheme="majorBidi" w:cstheme="majorBidi"/>
                <w:color w:val="000000"/>
                <w:sz w:val="20"/>
              </w:rPr>
            </w:pPr>
            <w:r w:rsidRPr="00440C55">
              <w:rPr>
                <w:rFonts w:asciiTheme="majorBidi" w:hAnsiTheme="majorBidi" w:cstheme="majorBidi"/>
                <w:color w:val="000000"/>
                <w:sz w:val="20"/>
              </w:rPr>
              <w:t>100.0</w:t>
            </w:r>
          </w:p>
        </w:tc>
        <w:tc>
          <w:tcPr>
            <w:tcW w:w="1417" w:type="dxa"/>
            <w:shd w:val="clear" w:color="auto" w:fill="auto"/>
            <w:vAlign w:val="bottom"/>
          </w:tcPr>
          <w:p w14:paraId="392C6266" w14:textId="166523D1" w:rsidR="007A4AEE" w:rsidRPr="00E55352" w:rsidRDefault="007A4AEE" w:rsidP="007A4AEE">
            <w:pPr>
              <w:spacing w:before="40"/>
              <w:jc w:val="right"/>
              <w:rPr>
                <w:rFonts w:asciiTheme="majorBidi" w:hAnsiTheme="majorBidi" w:cstheme="majorBidi"/>
                <w:color w:val="000000"/>
                <w:sz w:val="20"/>
              </w:rPr>
            </w:pPr>
            <w:r w:rsidRPr="00440C55">
              <w:rPr>
                <w:rFonts w:asciiTheme="majorBidi" w:hAnsiTheme="majorBidi" w:cstheme="majorBidi"/>
                <w:color w:val="000000"/>
                <w:sz w:val="20"/>
              </w:rPr>
              <w:t>100.0</w:t>
            </w:r>
          </w:p>
        </w:tc>
      </w:tr>
      <w:tr w:rsidR="007A4AEE" w:rsidRPr="00E55352" w14:paraId="698406FB" w14:textId="77777777" w:rsidTr="005101BC">
        <w:trPr>
          <w:trHeight w:val="240"/>
        </w:trPr>
        <w:tc>
          <w:tcPr>
            <w:tcW w:w="4536" w:type="dxa"/>
            <w:shd w:val="clear" w:color="auto" w:fill="auto"/>
            <w:noWrap/>
            <w:vAlign w:val="bottom"/>
          </w:tcPr>
          <w:p w14:paraId="25575FD8" w14:textId="75D0563D" w:rsidR="007A4AEE" w:rsidRPr="000A6BDB" w:rsidRDefault="007A4AEE" w:rsidP="007A4AEE">
            <w:pPr>
              <w:spacing w:before="40"/>
              <w:rPr>
                <w:rFonts w:asciiTheme="majorBidi" w:eastAsia="Arial" w:hAnsiTheme="majorBidi" w:cstheme="majorBidi"/>
                <w:sz w:val="20"/>
              </w:rPr>
            </w:pPr>
            <w:r w:rsidRPr="000A6BDB">
              <w:rPr>
                <w:rFonts w:asciiTheme="majorBidi" w:eastAsia="Arial" w:hAnsiTheme="majorBidi" w:cstheme="majorBidi"/>
                <w:sz w:val="20"/>
              </w:rPr>
              <w:t xml:space="preserve">AFI </w:t>
            </w:r>
            <w:proofErr w:type="spellStart"/>
            <w:r w:rsidRPr="000A6BDB">
              <w:rPr>
                <w:rFonts w:asciiTheme="majorBidi" w:eastAsia="Arial" w:hAnsiTheme="majorBidi" w:cstheme="majorBidi"/>
                <w:sz w:val="20"/>
              </w:rPr>
              <w:t>HoldCo</w:t>
            </w:r>
            <w:proofErr w:type="spellEnd"/>
            <w:r w:rsidRPr="000A6BDB">
              <w:rPr>
                <w:rFonts w:asciiTheme="majorBidi" w:eastAsia="Arial" w:hAnsiTheme="majorBidi" w:cstheme="majorBidi"/>
                <w:sz w:val="20"/>
              </w:rPr>
              <w:t xml:space="preserve"> S.R.L.</w:t>
            </w:r>
          </w:p>
        </w:tc>
        <w:tc>
          <w:tcPr>
            <w:tcW w:w="2268" w:type="dxa"/>
            <w:shd w:val="clear" w:color="auto" w:fill="auto"/>
            <w:vAlign w:val="bottom"/>
          </w:tcPr>
          <w:p w14:paraId="24049BD7" w14:textId="5489607D" w:rsidR="007A4AEE" w:rsidRPr="00E55352" w:rsidRDefault="007A4AEE" w:rsidP="007A4AEE">
            <w:pPr>
              <w:spacing w:before="40"/>
              <w:rPr>
                <w:rFonts w:asciiTheme="majorBidi" w:hAnsiTheme="majorBidi" w:cstheme="majorBidi"/>
                <w:color w:val="000000"/>
                <w:sz w:val="20"/>
                <w:lang w:val="en-GB"/>
              </w:rPr>
            </w:pPr>
            <w:r w:rsidRPr="00E55352">
              <w:rPr>
                <w:color w:val="000000"/>
                <w:sz w:val="20"/>
              </w:rPr>
              <w:t>Romania</w:t>
            </w:r>
          </w:p>
        </w:tc>
        <w:tc>
          <w:tcPr>
            <w:tcW w:w="1417" w:type="dxa"/>
            <w:shd w:val="clear" w:color="auto" w:fill="auto"/>
            <w:vAlign w:val="bottom"/>
          </w:tcPr>
          <w:p w14:paraId="5FDB4DB0" w14:textId="2F5BEDD2" w:rsidR="007A4AEE" w:rsidRPr="00CD5E4D" w:rsidRDefault="007A4AEE" w:rsidP="007A4AEE">
            <w:pPr>
              <w:spacing w:before="40"/>
              <w:jc w:val="right"/>
              <w:rPr>
                <w:rFonts w:asciiTheme="majorBidi" w:hAnsiTheme="majorBidi" w:cstheme="majorBidi"/>
                <w:color w:val="000000"/>
                <w:sz w:val="20"/>
                <w:lang w:val="en-GB"/>
              </w:rPr>
            </w:pPr>
            <w:r w:rsidRPr="00440C55">
              <w:rPr>
                <w:rFonts w:asciiTheme="majorBidi" w:hAnsiTheme="majorBidi" w:cstheme="majorBidi"/>
                <w:color w:val="000000"/>
                <w:sz w:val="20"/>
              </w:rPr>
              <w:t>100.0</w:t>
            </w:r>
          </w:p>
        </w:tc>
        <w:tc>
          <w:tcPr>
            <w:tcW w:w="1417" w:type="dxa"/>
            <w:shd w:val="clear" w:color="auto" w:fill="auto"/>
            <w:vAlign w:val="bottom"/>
          </w:tcPr>
          <w:p w14:paraId="7B4036D2" w14:textId="600C0D9B" w:rsidR="007A4AEE" w:rsidRPr="00E55352" w:rsidRDefault="007A4AEE" w:rsidP="007A4AEE">
            <w:pPr>
              <w:spacing w:before="40"/>
              <w:jc w:val="right"/>
              <w:rPr>
                <w:rFonts w:asciiTheme="majorBidi" w:hAnsiTheme="majorBidi" w:cstheme="majorBidi"/>
                <w:color w:val="000000"/>
                <w:sz w:val="20"/>
                <w:lang w:val="en-GB"/>
              </w:rPr>
            </w:pPr>
            <w:r w:rsidRPr="00440C55">
              <w:rPr>
                <w:rFonts w:asciiTheme="majorBidi" w:hAnsiTheme="majorBidi" w:cstheme="majorBidi"/>
                <w:color w:val="000000"/>
                <w:sz w:val="20"/>
              </w:rPr>
              <w:t>100.0</w:t>
            </w:r>
          </w:p>
        </w:tc>
      </w:tr>
      <w:tr w:rsidR="007A4AEE" w:rsidRPr="00E55352" w14:paraId="16672006" w14:textId="77777777" w:rsidTr="005101BC">
        <w:trPr>
          <w:trHeight w:val="240"/>
        </w:trPr>
        <w:tc>
          <w:tcPr>
            <w:tcW w:w="4536" w:type="dxa"/>
            <w:shd w:val="clear" w:color="auto" w:fill="auto"/>
            <w:noWrap/>
            <w:vAlign w:val="center"/>
          </w:tcPr>
          <w:p w14:paraId="414ED58B" w14:textId="5FDED846" w:rsidR="007A4AEE" w:rsidRPr="000A6BDB" w:rsidRDefault="007A4AEE" w:rsidP="007A4AEE">
            <w:pPr>
              <w:spacing w:before="40"/>
              <w:rPr>
                <w:sz w:val="20"/>
                <w:lang w:bidi="he-IL"/>
              </w:rPr>
            </w:pPr>
            <w:r w:rsidRPr="000A6BDB">
              <w:rPr>
                <w:sz w:val="20"/>
              </w:rPr>
              <w:t xml:space="preserve">AFI </w:t>
            </w:r>
            <w:proofErr w:type="spellStart"/>
            <w:r w:rsidRPr="000A6BDB">
              <w:rPr>
                <w:sz w:val="20"/>
              </w:rPr>
              <w:t>Victoriei</w:t>
            </w:r>
            <w:proofErr w:type="spellEnd"/>
            <w:r w:rsidRPr="000A6BDB">
              <w:rPr>
                <w:sz w:val="20"/>
              </w:rPr>
              <w:t xml:space="preserve"> Plaza S.R.L.</w:t>
            </w:r>
          </w:p>
        </w:tc>
        <w:tc>
          <w:tcPr>
            <w:tcW w:w="2268" w:type="dxa"/>
            <w:shd w:val="clear" w:color="auto" w:fill="auto"/>
          </w:tcPr>
          <w:p w14:paraId="08631E06" w14:textId="41F23146" w:rsidR="007A4AEE" w:rsidRPr="00E55352" w:rsidRDefault="007A4AEE" w:rsidP="007A4AEE">
            <w:pPr>
              <w:widowControl w:val="0"/>
              <w:tabs>
                <w:tab w:val="left" w:pos="510"/>
                <w:tab w:val="left" w:pos="1531"/>
                <w:tab w:val="left" w:pos="1814"/>
              </w:tabs>
              <w:suppressAutoHyphens/>
              <w:autoSpaceDE w:val="0"/>
              <w:autoSpaceDN w:val="0"/>
              <w:adjustRightInd w:val="0"/>
              <w:spacing w:before="40" w:line="260" w:lineRule="atLeast"/>
              <w:ind w:right="113"/>
              <w:textAlignment w:val="center"/>
              <w:rPr>
                <w:color w:val="000000"/>
                <w:sz w:val="20"/>
              </w:rPr>
            </w:pPr>
            <w:r w:rsidRPr="00E8087A">
              <w:rPr>
                <w:color w:val="000000"/>
                <w:sz w:val="20"/>
              </w:rPr>
              <w:t>Romania</w:t>
            </w:r>
          </w:p>
        </w:tc>
        <w:tc>
          <w:tcPr>
            <w:tcW w:w="1417" w:type="dxa"/>
            <w:shd w:val="clear" w:color="auto" w:fill="auto"/>
            <w:vAlign w:val="bottom"/>
          </w:tcPr>
          <w:p w14:paraId="5D838E91" w14:textId="74BF6834" w:rsidR="007A4AEE" w:rsidRPr="00CD5E4D" w:rsidRDefault="007A4AEE" w:rsidP="007A4AEE">
            <w:pPr>
              <w:widowControl w:val="0"/>
              <w:tabs>
                <w:tab w:val="left" w:pos="510"/>
                <w:tab w:val="left" w:pos="1531"/>
                <w:tab w:val="left" w:pos="1814"/>
              </w:tabs>
              <w:suppressAutoHyphens/>
              <w:autoSpaceDE w:val="0"/>
              <w:autoSpaceDN w:val="0"/>
              <w:adjustRightInd w:val="0"/>
              <w:spacing w:before="40" w:line="260" w:lineRule="atLeast"/>
              <w:ind w:left="1531" w:hanging="1418"/>
              <w:jc w:val="right"/>
              <w:textAlignment w:val="center"/>
              <w:rPr>
                <w:rFonts w:asciiTheme="majorBidi" w:hAnsiTheme="majorBidi" w:cstheme="majorBidi"/>
                <w:color w:val="000000"/>
                <w:sz w:val="20"/>
              </w:rPr>
            </w:pPr>
            <w:r w:rsidRPr="00440C55">
              <w:rPr>
                <w:rFonts w:asciiTheme="majorBidi" w:hAnsiTheme="majorBidi" w:cstheme="majorBidi"/>
                <w:color w:val="000000"/>
                <w:sz w:val="20"/>
              </w:rPr>
              <w:t>100.0</w:t>
            </w:r>
          </w:p>
        </w:tc>
        <w:tc>
          <w:tcPr>
            <w:tcW w:w="1417" w:type="dxa"/>
            <w:shd w:val="clear" w:color="auto" w:fill="auto"/>
            <w:vAlign w:val="bottom"/>
          </w:tcPr>
          <w:p w14:paraId="1B0127F8" w14:textId="569C20CD" w:rsidR="007A4AEE" w:rsidRPr="00E55352" w:rsidRDefault="007A4AEE" w:rsidP="007A4AEE">
            <w:pPr>
              <w:widowControl w:val="0"/>
              <w:tabs>
                <w:tab w:val="left" w:pos="510"/>
                <w:tab w:val="left" w:pos="1531"/>
                <w:tab w:val="left" w:pos="1814"/>
              </w:tabs>
              <w:suppressAutoHyphens/>
              <w:autoSpaceDE w:val="0"/>
              <w:autoSpaceDN w:val="0"/>
              <w:adjustRightInd w:val="0"/>
              <w:spacing w:before="40" w:line="260" w:lineRule="atLeast"/>
              <w:ind w:left="1531" w:hanging="1418"/>
              <w:jc w:val="right"/>
              <w:textAlignment w:val="center"/>
              <w:rPr>
                <w:rFonts w:asciiTheme="majorBidi" w:hAnsiTheme="majorBidi" w:cstheme="majorBidi"/>
                <w:color w:val="000000"/>
                <w:sz w:val="20"/>
              </w:rPr>
            </w:pPr>
            <w:r w:rsidRPr="00440C55">
              <w:rPr>
                <w:rFonts w:asciiTheme="majorBidi" w:hAnsiTheme="majorBidi" w:cstheme="majorBidi"/>
                <w:color w:val="000000"/>
                <w:sz w:val="20"/>
              </w:rPr>
              <w:t>100.0</w:t>
            </w:r>
          </w:p>
        </w:tc>
      </w:tr>
      <w:tr w:rsidR="007A4AEE" w:rsidRPr="00E55352" w14:paraId="0733A9BE" w14:textId="77777777" w:rsidTr="005101BC">
        <w:trPr>
          <w:trHeight w:val="240"/>
        </w:trPr>
        <w:tc>
          <w:tcPr>
            <w:tcW w:w="4536" w:type="dxa"/>
            <w:shd w:val="clear" w:color="auto" w:fill="auto"/>
            <w:noWrap/>
            <w:vAlign w:val="center"/>
          </w:tcPr>
          <w:p w14:paraId="128C5063" w14:textId="07A0F69A" w:rsidR="007A4AEE" w:rsidRPr="000A6BDB" w:rsidRDefault="007A4AEE" w:rsidP="007A4AEE">
            <w:pPr>
              <w:spacing w:before="40"/>
              <w:rPr>
                <w:sz w:val="20"/>
              </w:rPr>
            </w:pPr>
            <w:r w:rsidRPr="000A6BDB">
              <w:rPr>
                <w:sz w:val="20"/>
              </w:rPr>
              <w:t xml:space="preserve">AFI Park </w:t>
            </w:r>
            <w:proofErr w:type="spellStart"/>
            <w:r w:rsidRPr="000A6BDB">
              <w:rPr>
                <w:sz w:val="20"/>
              </w:rPr>
              <w:t>Floreasca</w:t>
            </w:r>
            <w:proofErr w:type="spellEnd"/>
            <w:r w:rsidRPr="000A6BDB">
              <w:rPr>
                <w:sz w:val="20"/>
              </w:rPr>
              <w:t xml:space="preserve"> S.R.L. </w:t>
            </w:r>
            <w:r>
              <w:rPr>
                <w:sz w:val="20"/>
                <w:lang w:bidi="he-IL"/>
              </w:rPr>
              <w:t>(</w:t>
            </w:r>
            <w:r w:rsidR="005B42AB">
              <w:rPr>
                <w:sz w:val="20"/>
                <w:lang w:bidi="he-IL"/>
              </w:rPr>
              <w:t>5</w:t>
            </w:r>
            <w:r>
              <w:rPr>
                <w:sz w:val="20"/>
                <w:lang w:bidi="he-IL"/>
              </w:rPr>
              <w:t>)</w:t>
            </w:r>
          </w:p>
        </w:tc>
        <w:tc>
          <w:tcPr>
            <w:tcW w:w="2268" w:type="dxa"/>
            <w:shd w:val="clear" w:color="auto" w:fill="auto"/>
          </w:tcPr>
          <w:p w14:paraId="2BF4A7D4" w14:textId="69657B81" w:rsidR="007A4AEE" w:rsidRPr="00E55352" w:rsidRDefault="007A4AEE" w:rsidP="007A4AEE">
            <w:pPr>
              <w:widowControl w:val="0"/>
              <w:tabs>
                <w:tab w:val="left" w:pos="510"/>
                <w:tab w:val="left" w:pos="1531"/>
                <w:tab w:val="left" w:pos="1814"/>
              </w:tabs>
              <w:suppressAutoHyphens/>
              <w:autoSpaceDE w:val="0"/>
              <w:autoSpaceDN w:val="0"/>
              <w:adjustRightInd w:val="0"/>
              <w:spacing w:before="40" w:line="260" w:lineRule="atLeast"/>
              <w:ind w:right="113"/>
              <w:textAlignment w:val="center"/>
              <w:rPr>
                <w:color w:val="000000"/>
                <w:sz w:val="20"/>
              </w:rPr>
            </w:pPr>
            <w:r w:rsidRPr="00E8087A">
              <w:rPr>
                <w:color w:val="000000"/>
                <w:sz w:val="20"/>
              </w:rPr>
              <w:t>Romania</w:t>
            </w:r>
          </w:p>
        </w:tc>
        <w:tc>
          <w:tcPr>
            <w:tcW w:w="1417" w:type="dxa"/>
            <w:shd w:val="clear" w:color="auto" w:fill="auto"/>
            <w:vAlign w:val="bottom"/>
          </w:tcPr>
          <w:p w14:paraId="63D73CE4" w14:textId="6E0D87B4" w:rsidR="007A4AEE" w:rsidRPr="00CD5E4D" w:rsidRDefault="007A4AEE" w:rsidP="007A4AEE">
            <w:pPr>
              <w:widowControl w:val="0"/>
              <w:tabs>
                <w:tab w:val="left" w:pos="510"/>
                <w:tab w:val="left" w:pos="1531"/>
                <w:tab w:val="left" w:pos="1814"/>
              </w:tabs>
              <w:suppressAutoHyphens/>
              <w:autoSpaceDE w:val="0"/>
              <w:autoSpaceDN w:val="0"/>
              <w:adjustRightInd w:val="0"/>
              <w:spacing w:before="40" w:line="260" w:lineRule="atLeast"/>
              <w:ind w:left="1531" w:hanging="1418"/>
              <w:jc w:val="right"/>
              <w:textAlignment w:val="center"/>
              <w:rPr>
                <w:rFonts w:asciiTheme="majorBidi" w:hAnsiTheme="majorBidi" w:cstheme="majorBidi"/>
                <w:color w:val="000000"/>
                <w:sz w:val="20"/>
              </w:rPr>
            </w:pPr>
            <w:r w:rsidRPr="00440C55">
              <w:rPr>
                <w:rFonts w:asciiTheme="majorBidi" w:hAnsiTheme="majorBidi" w:cstheme="majorBidi"/>
                <w:color w:val="000000"/>
                <w:sz w:val="20"/>
              </w:rPr>
              <w:t>100.0</w:t>
            </w:r>
          </w:p>
        </w:tc>
        <w:tc>
          <w:tcPr>
            <w:tcW w:w="1417" w:type="dxa"/>
            <w:shd w:val="clear" w:color="auto" w:fill="auto"/>
            <w:vAlign w:val="bottom"/>
          </w:tcPr>
          <w:p w14:paraId="5347DE9A" w14:textId="15CDF8BD" w:rsidR="007A4AEE" w:rsidRPr="00E55352" w:rsidRDefault="007A4AEE" w:rsidP="007A4AEE">
            <w:pPr>
              <w:widowControl w:val="0"/>
              <w:tabs>
                <w:tab w:val="left" w:pos="510"/>
                <w:tab w:val="left" w:pos="1531"/>
                <w:tab w:val="left" w:pos="1814"/>
              </w:tabs>
              <w:suppressAutoHyphens/>
              <w:autoSpaceDE w:val="0"/>
              <w:autoSpaceDN w:val="0"/>
              <w:adjustRightInd w:val="0"/>
              <w:spacing w:before="40" w:line="260" w:lineRule="atLeast"/>
              <w:ind w:left="1531" w:hanging="1418"/>
              <w:jc w:val="right"/>
              <w:textAlignment w:val="center"/>
              <w:rPr>
                <w:rFonts w:asciiTheme="majorBidi" w:hAnsiTheme="majorBidi" w:cstheme="majorBidi"/>
                <w:color w:val="000000"/>
                <w:sz w:val="20"/>
              </w:rPr>
            </w:pPr>
            <w:r w:rsidRPr="00440C55">
              <w:rPr>
                <w:rFonts w:asciiTheme="majorBidi" w:hAnsiTheme="majorBidi" w:cstheme="majorBidi"/>
                <w:color w:val="000000"/>
                <w:sz w:val="20"/>
              </w:rPr>
              <w:t>100.0</w:t>
            </w:r>
          </w:p>
        </w:tc>
      </w:tr>
      <w:tr w:rsidR="007A4AEE" w:rsidRPr="00E55352" w14:paraId="2BC54260" w14:textId="77777777" w:rsidTr="005101BC">
        <w:trPr>
          <w:trHeight w:val="240"/>
        </w:trPr>
        <w:tc>
          <w:tcPr>
            <w:tcW w:w="4536" w:type="dxa"/>
            <w:shd w:val="clear" w:color="auto" w:fill="auto"/>
            <w:noWrap/>
            <w:vAlign w:val="center"/>
          </w:tcPr>
          <w:p w14:paraId="56BB3039" w14:textId="2609B65D" w:rsidR="007A4AEE" w:rsidRPr="000A6BDB" w:rsidRDefault="007A4AEE" w:rsidP="007A4AEE">
            <w:pPr>
              <w:spacing w:before="40"/>
              <w:rPr>
                <w:sz w:val="20"/>
              </w:rPr>
            </w:pPr>
            <w:r w:rsidRPr="000A6BDB">
              <w:rPr>
                <w:sz w:val="20"/>
              </w:rPr>
              <w:t>AFI Lakeview S.R.L</w:t>
            </w:r>
            <w:r>
              <w:rPr>
                <w:sz w:val="20"/>
              </w:rPr>
              <w:t>.</w:t>
            </w:r>
            <w:r>
              <w:rPr>
                <w:sz w:val="20"/>
                <w:lang w:bidi="he-IL"/>
              </w:rPr>
              <w:t xml:space="preserve"> (</w:t>
            </w:r>
            <w:r w:rsidR="005B42AB">
              <w:rPr>
                <w:sz w:val="20"/>
                <w:lang w:bidi="he-IL"/>
              </w:rPr>
              <w:t>5</w:t>
            </w:r>
            <w:r>
              <w:rPr>
                <w:sz w:val="20"/>
                <w:lang w:bidi="he-IL"/>
              </w:rPr>
              <w:t>)</w:t>
            </w:r>
          </w:p>
        </w:tc>
        <w:tc>
          <w:tcPr>
            <w:tcW w:w="2268" w:type="dxa"/>
            <w:shd w:val="clear" w:color="auto" w:fill="auto"/>
          </w:tcPr>
          <w:p w14:paraId="6635E062" w14:textId="3C8837B9" w:rsidR="007A4AEE" w:rsidRPr="00E55352" w:rsidRDefault="007A4AEE" w:rsidP="007A4AEE">
            <w:pPr>
              <w:widowControl w:val="0"/>
              <w:tabs>
                <w:tab w:val="left" w:pos="510"/>
                <w:tab w:val="left" w:pos="1531"/>
                <w:tab w:val="left" w:pos="1814"/>
              </w:tabs>
              <w:suppressAutoHyphens/>
              <w:autoSpaceDE w:val="0"/>
              <w:autoSpaceDN w:val="0"/>
              <w:adjustRightInd w:val="0"/>
              <w:spacing w:before="40" w:line="260" w:lineRule="atLeast"/>
              <w:ind w:right="113"/>
              <w:textAlignment w:val="center"/>
              <w:rPr>
                <w:rFonts w:asciiTheme="majorBidi" w:hAnsiTheme="majorBidi" w:cstheme="majorBidi"/>
                <w:color w:val="000000"/>
                <w:sz w:val="20"/>
              </w:rPr>
            </w:pPr>
            <w:r w:rsidRPr="00E8087A">
              <w:rPr>
                <w:color w:val="000000"/>
                <w:sz w:val="20"/>
              </w:rPr>
              <w:t>Romania</w:t>
            </w:r>
          </w:p>
        </w:tc>
        <w:tc>
          <w:tcPr>
            <w:tcW w:w="1417" w:type="dxa"/>
            <w:shd w:val="clear" w:color="auto" w:fill="auto"/>
            <w:vAlign w:val="bottom"/>
          </w:tcPr>
          <w:p w14:paraId="3BEDFC19" w14:textId="181BE520" w:rsidR="007A4AEE" w:rsidRPr="00CD5E4D" w:rsidRDefault="007A4AEE" w:rsidP="007A4AEE">
            <w:pPr>
              <w:widowControl w:val="0"/>
              <w:tabs>
                <w:tab w:val="left" w:pos="510"/>
                <w:tab w:val="left" w:pos="1531"/>
                <w:tab w:val="left" w:pos="1814"/>
              </w:tabs>
              <w:suppressAutoHyphens/>
              <w:autoSpaceDE w:val="0"/>
              <w:autoSpaceDN w:val="0"/>
              <w:adjustRightInd w:val="0"/>
              <w:spacing w:before="40" w:line="260" w:lineRule="atLeast"/>
              <w:ind w:left="1531" w:hanging="1418"/>
              <w:jc w:val="right"/>
              <w:textAlignment w:val="center"/>
              <w:rPr>
                <w:rFonts w:asciiTheme="majorBidi" w:hAnsiTheme="majorBidi" w:cstheme="majorBidi"/>
                <w:color w:val="000000"/>
                <w:sz w:val="20"/>
              </w:rPr>
            </w:pPr>
            <w:r w:rsidRPr="00440C55">
              <w:rPr>
                <w:rFonts w:asciiTheme="majorBidi" w:hAnsiTheme="majorBidi" w:cstheme="majorBidi"/>
                <w:color w:val="000000"/>
                <w:sz w:val="20"/>
              </w:rPr>
              <w:t>100.0</w:t>
            </w:r>
          </w:p>
        </w:tc>
        <w:tc>
          <w:tcPr>
            <w:tcW w:w="1417" w:type="dxa"/>
            <w:shd w:val="clear" w:color="auto" w:fill="auto"/>
            <w:vAlign w:val="bottom"/>
          </w:tcPr>
          <w:p w14:paraId="33ED2586" w14:textId="469BB72A" w:rsidR="007A4AEE" w:rsidRPr="00E55352" w:rsidRDefault="007A4AEE" w:rsidP="007A4AEE">
            <w:pPr>
              <w:widowControl w:val="0"/>
              <w:tabs>
                <w:tab w:val="left" w:pos="510"/>
                <w:tab w:val="left" w:pos="1531"/>
                <w:tab w:val="left" w:pos="1814"/>
              </w:tabs>
              <w:suppressAutoHyphens/>
              <w:autoSpaceDE w:val="0"/>
              <w:autoSpaceDN w:val="0"/>
              <w:adjustRightInd w:val="0"/>
              <w:spacing w:before="40" w:line="260" w:lineRule="atLeast"/>
              <w:ind w:left="1531" w:hanging="1418"/>
              <w:jc w:val="right"/>
              <w:textAlignment w:val="center"/>
              <w:rPr>
                <w:rFonts w:asciiTheme="majorBidi" w:hAnsiTheme="majorBidi" w:cstheme="majorBidi"/>
                <w:color w:val="000000"/>
                <w:sz w:val="20"/>
              </w:rPr>
            </w:pPr>
            <w:r w:rsidRPr="00440C55">
              <w:rPr>
                <w:rFonts w:asciiTheme="majorBidi" w:hAnsiTheme="majorBidi" w:cstheme="majorBidi"/>
                <w:color w:val="000000"/>
                <w:sz w:val="20"/>
              </w:rPr>
              <w:t>100.0</w:t>
            </w:r>
          </w:p>
        </w:tc>
      </w:tr>
      <w:tr w:rsidR="007A4AEE" w:rsidRPr="00E55352" w14:paraId="21A5746F" w14:textId="77777777" w:rsidTr="005101BC">
        <w:trPr>
          <w:trHeight w:val="240"/>
        </w:trPr>
        <w:tc>
          <w:tcPr>
            <w:tcW w:w="4536" w:type="dxa"/>
            <w:shd w:val="clear" w:color="auto" w:fill="auto"/>
            <w:noWrap/>
            <w:vAlign w:val="center"/>
          </w:tcPr>
          <w:p w14:paraId="65467026" w14:textId="6DC58177" w:rsidR="007A4AEE" w:rsidRPr="000A6BDB" w:rsidRDefault="007A4AEE" w:rsidP="007A4AEE">
            <w:pPr>
              <w:spacing w:before="40"/>
              <w:rPr>
                <w:sz w:val="20"/>
              </w:rPr>
            </w:pPr>
            <w:r w:rsidRPr="000A6BDB">
              <w:rPr>
                <w:sz w:val="20"/>
              </w:rPr>
              <w:t xml:space="preserve">AFI Park Timisoara Buildings A&amp;B S.R.L. </w:t>
            </w:r>
            <w:r>
              <w:rPr>
                <w:sz w:val="20"/>
                <w:lang w:bidi="he-IL"/>
              </w:rPr>
              <w:t>(</w:t>
            </w:r>
            <w:r w:rsidR="005B42AB">
              <w:rPr>
                <w:sz w:val="20"/>
                <w:lang w:bidi="he-IL"/>
              </w:rPr>
              <w:t>5</w:t>
            </w:r>
            <w:r>
              <w:rPr>
                <w:sz w:val="20"/>
                <w:lang w:bidi="he-IL"/>
              </w:rPr>
              <w:t>)</w:t>
            </w:r>
          </w:p>
        </w:tc>
        <w:tc>
          <w:tcPr>
            <w:tcW w:w="2268" w:type="dxa"/>
            <w:shd w:val="clear" w:color="auto" w:fill="auto"/>
          </w:tcPr>
          <w:p w14:paraId="5A494B3B" w14:textId="2DA78BC6" w:rsidR="007A4AEE" w:rsidRPr="00E55352" w:rsidRDefault="007A4AEE" w:rsidP="007A4AEE">
            <w:pPr>
              <w:widowControl w:val="0"/>
              <w:tabs>
                <w:tab w:val="left" w:pos="510"/>
                <w:tab w:val="left" w:pos="1531"/>
                <w:tab w:val="left" w:pos="1814"/>
              </w:tabs>
              <w:suppressAutoHyphens/>
              <w:autoSpaceDE w:val="0"/>
              <w:autoSpaceDN w:val="0"/>
              <w:adjustRightInd w:val="0"/>
              <w:spacing w:before="40" w:line="260" w:lineRule="atLeast"/>
              <w:ind w:right="113"/>
              <w:textAlignment w:val="center"/>
              <w:rPr>
                <w:rFonts w:asciiTheme="majorBidi" w:hAnsiTheme="majorBidi" w:cstheme="majorBidi"/>
                <w:color w:val="000000"/>
                <w:sz w:val="20"/>
              </w:rPr>
            </w:pPr>
            <w:r w:rsidRPr="00E8087A">
              <w:rPr>
                <w:color w:val="000000"/>
                <w:sz w:val="20"/>
              </w:rPr>
              <w:t>Romania</w:t>
            </w:r>
          </w:p>
        </w:tc>
        <w:tc>
          <w:tcPr>
            <w:tcW w:w="1417" w:type="dxa"/>
            <w:shd w:val="clear" w:color="auto" w:fill="auto"/>
            <w:vAlign w:val="bottom"/>
          </w:tcPr>
          <w:p w14:paraId="48D7F6B7" w14:textId="0131C349" w:rsidR="007A4AEE" w:rsidRPr="00CD5E4D" w:rsidRDefault="007A4AEE" w:rsidP="007A4AEE">
            <w:pPr>
              <w:widowControl w:val="0"/>
              <w:tabs>
                <w:tab w:val="left" w:pos="510"/>
                <w:tab w:val="left" w:pos="1531"/>
                <w:tab w:val="left" w:pos="1814"/>
              </w:tabs>
              <w:suppressAutoHyphens/>
              <w:autoSpaceDE w:val="0"/>
              <w:autoSpaceDN w:val="0"/>
              <w:adjustRightInd w:val="0"/>
              <w:spacing w:before="40" w:line="260" w:lineRule="atLeast"/>
              <w:ind w:left="1531" w:hanging="1418"/>
              <w:jc w:val="right"/>
              <w:textAlignment w:val="center"/>
              <w:rPr>
                <w:rFonts w:asciiTheme="majorBidi" w:hAnsiTheme="majorBidi" w:cstheme="majorBidi"/>
                <w:color w:val="000000"/>
                <w:sz w:val="20"/>
              </w:rPr>
            </w:pPr>
            <w:r w:rsidRPr="00440C55">
              <w:rPr>
                <w:rFonts w:asciiTheme="majorBidi" w:hAnsiTheme="majorBidi" w:cstheme="majorBidi"/>
                <w:color w:val="000000"/>
                <w:sz w:val="20"/>
              </w:rPr>
              <w:t>100.0</w:t>
            </w:r>
          </w:p>
        </w:tc>
        <w:tc>
          <w:tcPr>
            <w:tcW w:w="1417" w:type="dxa"/>
            <w:shd w:val="clear" w:color="auto" w:fill="auto"/>
            <w:vAlign w:val="bottom"/>
          </w:tcPr>
          <w:p w14:paraId="2020B3FB" w14:textId="35C44911" w:rsidR="007A4AEE" w:rsidRPr="00E55352" w:rsidRDefault="007A4AEE" w:rsidP="007A4AEE">
            <w:pPr>
              <w:widowControl w:val="0"/>
              <w:tabs>
                <w:tab w:val="left" w:pos="510"/>
                <w:tab w:val="left" w:pos="1531"/>
                <w:tab w:val="left" w:pos="1814"/>
              </w:tabs>
              <w:suppressAutoHyphens/>
              <w:autoSpaceDE w:val="0"/>
              <w:autoSpaceDN w:val="0"/>
              <w:adjustRightInd w:val="0"/>
              <w:spacing w:before="40" w:line="260" w:lineRule="atLeast"/>
              <w:ind w:left="1531" w:hanging="1418"/>
              <w:jc w:val="right"/>
              <w:textAlignment w:val="center"/>
              <w:rPr>
                <w:rFonts w:asciiTheme="majorBidi" w:hAnsiTheme="majorBidi" w:cstheme="majorBidi"/>
                <w:color w:val="000000"/>
                <w:sz w:val="20"/>
              </w:rPr>
            </w:pPr>
            <w:r w:rsidRPr="00440C55">
              <w:rPr>
                <w:rFonts w:asciiTheme="majorBidi" w:hAnsiTheme="majorBidi" w:cstheme="majorBidi"/>
                <w:color w:val="000000"/>
                <w:sz w:val="20"/>
              </w:rPr>
              <w:t>100.0</w:t>
            </w:r>
          </w:p>
        </w:tc>
      </w:tr>
      <w:tr w:rsidR="007A4AEE" w:rsidRPr="00E55352" w14:paraId="212B29B0" w14:textId="77777777" w:rsidTr="005101BC">
        <w:trPr>
          <w:trHeight w:val="240"/>
        </w:trPr>
        <w:tc>
          <w:tcPr>
            <w:tcW w:w="4536" w:type="dxa"/>
            <w:shd w:val="clear" w:color="auto" w:fill="auto"/>
            <w:noWrap/>
            <w:vAlign w:val="center"/>
          </w:tcPr>
          <w:p w14:paraId="6243739B" w14:textId="364253C2" w:rsidR="007A4AEE" w:rsidRPr="000A6BDB" w:rsidRDefault="007A4AEE" w:rsidP="007A4AEE">
            <w:pPr>
              <w:spacing w:before="40"/>
              <w:rPr>
                <w:sz w:val="20"/>
              </w:rPr>
            </w:pPr>
            <w:r w:rsidRPr="000A6BDB">
              <w:rPr>
                <w:sz w:val="20"/>
              </w:rPr>
              <w:t xml:space="preserve">AFI Park Timisoara Building C S.R.L. </w:t>
            </w:r>
            <w:r>
              <w:rPr>
                <w:sz w:val="20"/>
                <w:lang w:bidi="he-IL"/>
              </w:rPr>
              <w:t>(</w:t>
            </w:r>
            <w:r w:rsidR="005B42AB">
              <w:rPr>
                <w:sz w:val="20"/>
                <w:lang w:bidi="he-IL"/>
              </w:rPr>
              <w:t>5</w:t>
            </w:r>
            <w:r>
              <w:rPr>
                <w:sz w:val="20"/>
                <w:lang w:bidi="he-IL"/>
              </w:rPr>
              <w:t>)</w:t>
            </w:r>
          </w:p>
        </w:tc>
        <w:tc>
          <w:tcPr>
            <w:tcW w:w="2268" w:type="dxa"/>
            <w:shd w:val="clear" w:color="auto" w:fill="auto"/>
          </w:tcPr>
          <w:p w14:paraId="50B6EF3A" w14:textId="4D51C036" w:rsidR="007A4AEE" w:rsidRPr="00E55352" w:rsidRDefault="007A4AEE" w:rsidP="007A4AEE">
            <w:pPr>
              <w:widowControl w:val="0"/>
              <w:tabs>
                <w:tab w:val="left" w:pos="510"/>
                <w:tab w:val="left" w:pos="1531"/>
                <w:tab w:val="left" w:pos="1814"/>
              </w:tabs>
              <w:suppressAutoHyphens/>
              <w:autoSpaceDE w:val="0"/>
              <w:autoSpaceDN w:val="0"/>
              <w:adjustRightInd w:val="0"/>
              <w:spacing w:before="40" w:line="260" w:lineRule="atLeast"/>
              <w:ind w:right="113"/>
              <w:textAlignment w:val="center"/>
              <w:rPr>
                <w:rFonts w:asciiTheme="majorBidi" w:hAnsiTheme="majorBidi" w:cstheme="majorBidi"/>
                <w:color w:val="000000"/>
                <w:sz w:val="20"/>
              </w:rPr>
            </w:pPr>
            <w:r w:rsidRPr="00E8087A">
              <w:rPr>
                <w:color w:val="000000"/>
                <w:sz w:val="20"/>
              </w:rPr>
              <w:t>Romania</w:t>
            </w:r>
          </w:p>
        </w:tc>
        <w:tc>
          <w:tcPr>
            <w:tcW w:w="1417" w:type="dxa"/>
            <w:shd w:val="clear" w:color="auto" w:fill="auto"/>
            <w:vAlign w:val="bottom"/>
          </w:tcPr>
          <w:p w14:paraId="15046FD2" w14:textId="6D1D8602" w:rsidR="007A4AEE" w:rsidRPr="00CD5E4D" w:rsidRDefault="007A4AEE" w:rsidP="007A4AEE">
            <w:pPr>
              <w:widowControl w:val="0"/>
              <w:tabs>
                <w:tab w:val="left" w:pos="510"/>
                <w:tab w:val="left" w:pos="1531"/>
                <w:tab w:val="left" w:pos="1814"/>
              </w:tabs>
              <w:suppressAutoHyphens/>
              <w:autoSpaceDE w:val="0"/>
              <w:autoSpaceDN w:val="0"/>
              <w:adjustRightInd w:val="0"/>
              <w:spacing w:before="40" w:line="260" w:lineRule="atLeast"/>
              <w:ind w:left="1531" w:hanging="1418"/>
              <w:jc w:val="right"/>
              <w:textAlignment w:val="center"/>
              <w:rPr>
                <w:rFonts w:asciiTheme="majorBidi" w:hAnsiTheme="majorBidi" w:cstheme="majorBidi"/>
                <w:color w:val="000000"/>
                <w:sz w:val="20"/>
              </w:rPr>
            </w:pPr>
            <w:r w:rsidRPr="00440C55">
              <w:rPr>
                <w:rFonts w:asciiTheme="majorBidi" w:hAnsiTheme="majorBidi" w:cstheme="majorBidi"/>
                <w:color w:val="000000"/>
                <w:sz w:val="20"/>
              </w:rPr>
              <w:t>100.0</w:t>
            </w:r>
          </w:p>
        </w:tc>
        <w:tc>
          <w:tcPr>
            <w:tcW w:w="1417" w:type="dxa"/>
            <w:shd w:val="clear" w:color="auto" w:fill="auto"/>
            <w:vAlign w:val="bottom"/>
          </w:tcPr>
          <w:p w14:paraId="66428668" w14:textId="51D9FDF8" w:rsidR="007A4AEE" w:rsidRPr="00E55352" w:rsidRDefault="007A4AEE" w:rsidP="007A4AEE">
            <w:pPr>
              <w:widowControl w:val="0"/>
              <w:tabs>
                <w:tab w:val="left" w:pos="510"/>
                <w:tab w:val="left" w:pos="1531"/>
                <w:tab w:val="left" w:pos="1814"/>
              </w:tabs>
              <w:suppressAutoHyphens/>
              <w:autoSpaceDE w:val="0"/>
              <w:autoSpaceDN w:val="0"/>
              <w:adjustRightInd w:val="0"/>
              <w:spacing w:before="40" w:line="260" w:lineRule="atLeast"/>
              <w:ind w:left="1531" w:hanging="1418"/>
              <w:jc w:val="right"/>
              <w:textAlignment w:val="center"/>
              <w:rPr>
                <w:rFonts w:asciiTheme="majorBidi" w:hAnsiTheme="majorBidi" w:cstheme="majorBidi"/>
                <w:color w:val="000000"/>
                <w:sz w:val="20"/>
              </w:rPr>
            </w:pPr>
            <w:r w:rsidRPr="00440C55">
              <w:rPr>
                <w:rFonts w:asciiTheme="majorBidi" w:hAnsiTheme="majorBidi" w:cstheme="majorBidi"/>
                <w:color w:val="000000"/>
                <w:sz w:val="20"/>
              </w:rPr>
              <w:t>100.0</w:t>
            </w:r>
          </w:p>
        </w:tc>
      </w:tr>
      <w:tr w:rsidR="007A4AEE" w:rsidRPr="00E55352" w14:paraId="3969C1EE" w14:textId="77777777" w:rsidTr="005101BC">
        <w:trPr>
          <w:trHeight w:val="240"/>
        </w:trPr>
        <w:tc>
          <w:tcPr>
            <w:tcW w:w="4536" w:type="dxa"/>
            <w:shd w:val="clear" w:color="auto" w:fill="auto"/>
            <w:noWrap/>
            <w:vAlign w:val="center"/>
          </w:tcPr>
          <w:p w14:paraId="70C1F5A3" w14:textId="3E3B0DD0" w:rsidR="007A4AEE" w:rsidRPr="000A6BDB" w:rsidRDefault="007A4AEE" w:rsidP="007A4AEE">
            <w:pPr>
              <w:spacing w:before="40"/>
              <w:rPr>
                <w:sz w:val="20"/>
              </w:rPr>
            </w:pPr>
            <w:r w:rsidRPr="000A6BDB">
              <w:rPr>
                <w:sz w:val="20"/>
              </w:rPr>
              <w:t>AFI Park Timisoara Buildings D&amp;E S.R.L.</w:t>
            </w:r>
            <w:r>
              <w:rPr>
                <w:sz w:val="20"/>
                <w:lang w:bidi="he-IL"/>
              </w:rPr>
              <w:t xml:space="preserve"> (</w:t>
            </w:r>
            <w:r w:rsidR="005B42AB">
              <w:rPr>
                <w:sz w:val="20"/>
                <w:lang w:bidi="he-IL"/>
              </w:rPr>
              <w:t>5</w:t>
            </w:r>
            <w:r>
              <w:rPr>
                <w:sz w:val="20"/>
                <w:lang w:bidi="he-IL"/>
              </w:rPr>
              <w:t>)</w:t>
            </w:r>
          </w:p>
        </w:tc>
        <w:tc>
          <w:tcPr>
            <w:tcW w:w="2268" w:type="dxa"/>
            <w:shd w:val="clear" w:color="auto" w:fill="auto"/>
            <w:vAlign w:val="bottom"/>
          </w:tcPr>
          <w:p w14:paraId="5BF96D11" w14:textId="1732153C" w:rsidR="007A4AEE" w:rsidRPr="00E55352" w:rsidRDefault="007A4AEE" w:rsidP="007A4AEE">
            <w:pPr>
              <w:widowControl w:val="0"/>
              <w:tabs>
                <w:tab w:val="left" w:pos="510"/>
                <w:tab w:val="left" w:pos="1531"/>
                <w:tab w:val="left" w:pos="1814"/>
              </w:tabs>
              <w:suppressAutoHyphens/>
              <w:autoSpaceDE w:val="0"/>
              <w:autoSpaceDN w:val="0"/>
              <w:adjustRightInd w:val="0"/>
              <w:spacing w:before="40" w:line="260" w:lineRule="atLeast"/>
              <w:ind w:right="113"/>
              <w:textAlignment w:val="center"/>
              <w:rPr>
                <w:rFonts w:asciiTheme="majorBidi" w:hAnsiTheme="majorBidi" w:cstheme="majorBidi"/>
                <w:color w:val="000000"/>
                <w:sz w:val="20"/>
              </w:rPr>
            </w:pPr>
            <w:r w:rsidRPr="00E55352">
              <w:rPr>
                <w:color w:val="000000"/>
                <w:sz w:val="20"/>
              </w:rPr>
              <w:t>Romania</w:t>
            </w:r>
          </w:p>
        </w:tc>
        <w:tc>
          <w:tcPr>
            <w:tcW w:w="1417" w:type="dxa"/>
            <w:shd w:val="clear" w:color="auto" w:fill="auto"/>
            <w:vAlign w:val="bottom"/>
          </w:tcPr>
          <w:p w14:paraId="0ADA12F3" w14:textId="20AAE74D" w:rsidR="007A4AEE" w:rsidRPr="00CD5E4D" w:rsidRDefault="007A4AEE" w:rsidP="007A4AEE">
            <w:pPr>
              <w:widowControl w:val="0"/>
              <w:tabs>
                <w:tab w:val="left" w:pos="510"/>
                <w:tab w:val="left" w:pos="1531"/>
                <w:tab w:val="left" w:pos="1814"/>
              </w:tabs>
              <w:suppressAutoHyphens/>
              <w:autoSpaceDE w:val="0"/>
              <w:autoSpaceDN w:val="0"/>
              <w:adjustRightInd w:val="0"/>
              <w:spacing w:before="40" w:line="260" w:lineRule="atLeast"/>
              <w:ind w:left="1531" w:hanging="1418"/>
              <w:jc w:val="right"/>
              <w:textAlignment w:val="center"/>
              <w:rPr>
                <w:rFonts w:asciiTheme="majorBidi" w:hAnsiTheme="majorBidi" w:cstheme="majorBidi"/>
                <w:color w:val="000000"/>
                <w:sz w:val="20"/>
              </w:rPr>
            </w:pPr>
            <w:r w:rsidRPr="00440C55">
              <w:rPr>
                <w:rFonts w:asciiTheme="majorBidi" w:hAnsiTheme="majorBidi" w:cstheme="majorBidi"/>
                <w:color w:val="000000"/>
                <w:sz w:val="20"/>
              </w:rPr>
              <w:t>100.0</w:t>
            </w:r>
          </w:p>
        </w:tc>
        <w:tc>
          <w:tcPr>
            <w:tcW w:w="1417" w:type="dxa"/>
            <w:shd w:val="clear" w:color="auto" w:fill="auto"/>
            <w:vAlign w:val="bottom"/>
          </w:tcPr>
          <w:p w14:paraId="6B15ABB9" w14:textId="5F1D65BD" w:rsidR="007A4AEE" w:rsidRPr="00E55352" w:rsidRDefault="007A4AEE" w:rsidP="007A4AEE">
            <w:pPr>
              <w:widowControl w:val="0"/>
              <w:tabs>
                <w:tab w:val="left" w:pos="510"/>
                <w:tab w:val="left" w:pos="1531"/>
                <w:tab w:val="left" w:pos="1814"/>
              </w:tabs>
              <w:suppressAutoHyphens/>
              <w:autoSpaceDE w:val="0"/>
              <w:autoSpaceDN w:val="0"/>
              <w:adjustRightInd w:val="0"/>
              <w:spacing w:before="40" w:line="260" w:lineRule="atLeast"/>
              <w:ind w:left="1531" w:hanging="1418"/>
              <w:jc w:val="right"/>
              <w:textAlignment w:val="center"/>
              <w:rPr>
                <w:rFonts w:asciiTheme="majorBidi" w:hAnsiTheme="majorBidi" w:cstheme="majorBidi"/>
                <w:color w:val="000000"/>
                <w:sz w:val="20"/>
              </w:rPr>
            </w:pPr>
            <w:r w:rsidRPr="00440C55">
              <w:rPr>
                <w:rFonts w:asciiTheme="majorBidi" w:hAnsiTheme="majorBidi" w:cstheme="majorBidi"/>
                <w:color w:val="000000"/>
                <w:sz w:val="20"/>
              </w:rPr>
              <w:t>100.0</w:t>
            </w:r>
          </w:p>
        </w:tc>
      </w:tr>
      <w:tr w:rsidR="007F3466" w:rsidRPr="00E55352" w14:paraId="65A5EE36" w14:textId="77777777" w:rsidTr="005101BC">
        <w:trPr>
          <w:trHeight w:val="240"/>
        </w:trPr>
        <w:tc>
          <w:tcPr>
            <w:tcW w:w="4536" w:type="dxa"/>
            <w:shd w:val="clear" w:color="auto" w:fill="auto"/>
            <w:noWrap/>
            <w:vAlign w:val="bottom"/>
          </w:tcPr>
          <w:p w14:paraId="4A40277C" w14:textId="58839CC6" w:rsidR="007F3466" w:rsidRPr="00E55352" w:rsidRDefault="00990110" w:rsidP="007F3466">
            <w:pPr>
              <w:spacing w:before="40"/>
              <w:rPr>
                <w:rFonts w:asciiTheme="majorBidi" w:eastAsia="Arial" w:hAnsiTheme="majorBidi" w:cstheme="majorBidi"/>
                <w:sz w:val="20"/>
                <w:lang w:bidi="he-IL"/>
              </w:rPr>
            </w:pPr>
            <w:r w:rsidRPr="00990110">
              <w:rPr>
                <w:rFonts w:asciiTheme="majorBidi" w:eastAsia="Arial" w:hAnsiTheme="majorBidi" w:cstheme="majorBidi"/>
                <w:sz w:val="20"/>
                <w:lang w:bidi="he-IL"/>
              </w:rPr>
              <w:t xml:space="preserve">AFI </w:t>
            </w:r>
            <w:proofErr w:type="spellStart"/>
            <w:r w:rsidRPr="00990110">
              <w:rPr>
                <w:rFonts w:asciiTheme="majorBidi" w:eastAsia="Arial" w:hAnsiTheme="majorBidi" w:cstheme="majorBidi"/>
                <w:sz w:val="20"/>
                <w:lang w:bidi="he-IL"/>
              </w:rPr>
              <w:t>Victoriei</w:t>
            </w:r>
            <w:proofErr w:type="spellEnd"/>
            <w:r w:rsidRPr="00990110">
              <w:rPr>
                <w:rFonts w:asciiTheme="majorBidi" w:eastAsia="Arial" w:hAnsiTheme="majorBidi" w:cstheme="majorBidi"/>
                <w:sz w:val="20"/>
                <w:lang w:bidi="he-IL"/>
              </w:rPr>
              <w:t xml:space="preserve"> Tower S.R.L.</w:t>
            </w:r>
          </w:p>
        </w:tc>
        <w:tc>
          <w:tcPr>
            <w:tcW w:w="2268" w:type="dxa"/>
            <w:shd w:val="clear" w:color="auto" w:fill="auto"/>
            <w:vAlign w:val="bottom"/>
          </w:tcPr>
          <w:p w14:paraId="1A37AF05" w14:textId="16170BE6" w:rsidR="007F3466" w:rsidRPr="00E55352" w:rsidRDefault="007F3466" w:rsidP="007F3466">
            <w:pPr>
              <w:widowControl w:val="0"/>
              <w:tabs>
                <w:tab w:val="left" w:pos="510"/>
                <w:tab w:val="left" w:pos="1531"/>
                <w:tab w:val="left" w:pos="1814"/>
              </w:tabs>
              <w:suppressAutoHyphens/>
              <w:autoSpaceDE w:val="0"/>
              <w:autoSpaceDN w:val="0"/>
              <w:adjustRightInd w:val="0"/>
              <w:spacing w:before="40" w:line="260" w:lineRule="atLeast"/>
              <w:ind w:right="113"/>
              <w:textAlignment w:val="center"/>
              <w:rPr>
                <w:rFonts w:asciiTheme="majorBidi" w:hAnsiTheme="majorBidi" w:cstheme="majorBidi"/>
                <w:color w:val="000000"/>
                <w:sz w:val="20"/>
              </w:rPr>
            </w:pPr>
            <w:r w:rsidRPr="00E55352">
              <w:rPr>
                <w:color w:val="000000"/>
                <w:sz w:val="20"/>
              </w:rPr>
              <w:t>Romania</w:t>
            </w:r>
          </w:p>
        </w:tc>
        <w:tc>
          <w:tcPr>
            <w:tcW w:w="1417" w:type="dxa"/>
            <w:shd w:val="clear" w:color="auto" w:fill="auto"/>
            <w:vAlign w:val="bottom"/>
          </w:tcPr>
          <w:p w14:paraId="654206AA" w14:textId="0D302311" w:rsidR="007F3466" w:rsidRPr="00440C55" w:rsidRDefault="007F3466" w:rsidP="007F3466">
            <w:pPr>
              <w:widowControl w:val="0"/>
              <w:tabs>
                <w:tab w:val="left" w:pos="510"/>
                <w:tab w:val="left" w:pos="1531"/>
                <w:tab w:val="left" w:pos="1814"/>
              </w:tabs>
              <w:suppressAutoHyphens/>
              <w:autoSpaceDE w:val="0"/>
              <w:autoSpaceDN w:val="0"/>
              <w:adjustRightInd w:val="0"/>
              <w:spacing w:before="40" w:line="260" w:lineRule="atLeast"/>
              <w:ind w:left="1531" w:hanging="1418"/>
              <w:jc w:val="right"/>
              <w:textAlignment w:val="center"/>
              <w:rPr>
                <w:rFonts w:asciiTheme="majorBidi" w:hAnsiTheme="majorBidi" w:cstheme="majorBidi"/>
                <w:color w:val="000000"/>
                <w:sz w:val="20"/>
              </w:rPr>
            </w:pPr>
            <w:r w:rsidRPr="00440C55">
              <w:rPr>
                <w:rFonts w:asciiTheme="majorBidi" w:hAnsiTheme="majorBidi" w:cstheme="majorBidi"/>
                <w:color w:val="000000"/>
                <w:sz w:val="20"/>
              </w:rPr>
              <w:t>100.0</w:t>
            </w:r>
          </w:p>
        </w:tc>
        <w:tc>
          <w:tcPr>
            <w:tcW w:w="1417" w:type="dxa"/>
            <w:shd w:val="clear" w:color="auto" w:fill="auto"/>
            <w:vAlign w:val="bottom"/>
          </w:tcPr>
          <w:p w14:paraId="31069C46" w14:textId="0112DD9E" w:rsidR="007F3466" w:rsidRPr="00440C55" w:rsidRDefault="007F3466" w:rsidP="007F3466">
            <w:pPr>
              <w:widowControl w:val="0"/>
              <w:tabs>
                <w:tab w:val="left" w:pos="510"/>
                <w:tab w:val="left" w:pos="1531"/>
                <w:tab w:val="left" w:pos="1814"/>
              </w:tabs>
              <w:suppressAutoHyphens/>
              <w:autoSpaceDE w:val="0"/>
              <w:autoSpaceDN w:val="0"/>
              <w:adjustRightInd w:val="0"/>
              <w:spacing w:before="40" w:line="260" w:lineRule="atLeast"/>
              <w:ind w:left="1531" w:hanging="1418"/>
              <w:jc w:val="right"/>
              <w:textAlignment w:val="center"/>
              <w:rPr>
                <w:rFonts w:asciiTheme="majorBidi" w:hAnsiTheme="majorBidi" w:cstheme="majorBidi"/>
                <w:color w:val="000000"/>
                <w:sz w:val="20"/>
              </w:rPr>
            </w:pPr>
            <w:r>
              <w:rPr>
                <w:rFonts w:asciiTheme="majorBidi" w:hAnsiTheme="majorBidi" w:cstheme="majorBidi"/>
                <w:color w:val="000000"/>
                <w:sz w:val="20"/>
              </w:rPr>
              <w:t>-</w:t>
            </w:r>
          </w:p>
        </w:tc>
      </w:tr>
      <w:tr w:rsidR="007F3466" w:rsidRPr="00E55352" w14:paraId="4289E108" w14:textId="77777777" w:rsidTr="005101BC">
        <w:trPr>
          <w:trHeight w:val="240"/>
        </w:trPr>
        <w:tc>
          <w:tcPr>
            <w:tcW w:w="4536" w:type="dxa"/>
            <w:shd w:val="clear" w:color="auto" w:fill="auto"/>
            <w:noWrap/>
            <w:vAlign w:val="bottom"/>
          </w:tcPr>
          <w:p w14:paraId="684B56E4" w14:textId="782F8C2E" w:rsidR="007F3466" w:rsidRPr="000A6BDB" w:rsidRDefault="007F3466" w:rsidP="007F3466">
            <w:pPr>
              <w:spacing w:before="40"/>
              <w:rPr>
                <w:sz w:val="20"/>
              </w:rPr>
            </w:pPr>
            <w:r w:rsidRPr="00E55352">
              <w:rPr>
                <w:rFonts w:asciiTheme="majorBidi" w:eastAsia="Arial" w:hAnsiTheme="majorBidi" w:cstheme="majorBidi"/>
                <w:sz w:val="20"/>
              </w:rPr>
              <w:t xml:space="preserve">Novo Maar Sp. z </w:t>
            </w:r>
            <w:proofErr w:type="spellStart"/>
            <w:proofErr w:type="gramStart"/>
            <w:r w:rsidRPr="00E55352">
              <w:rPr>
                <w:rFonts w:asciiTheme="majorBidi" w:eastAsia="Arial" w:hAnsiTheme="majorBidi" w:cstheme="majorBidi"/>
                <w:sz w:val="20"/>
              </w:rPr>
              <w:t>o.o</w:t>
            </w:r>
            <w:proofErr w:type="spellEnd"/>
            <w:proofErr w:type="gramEnd"/>
          </w:p>
        </w:tc>
        <w:tc>
          <w:tcPr>
            <w:tcW w:w="2268" w:type="dxa"/>
            <w:shd w:val="clear" w:color="auto" w:fill="auto"/>
            <w:vAlign w:val="bottom"/>
          </w:tcPr>
          <w:p w14:paraId="2D516044" w14:textId="5321C9D4" w:rsidR="007F3466" w:rsidRPr="00E55352" w:rsidRDefault="007F3466" w:rsidP="007F3466">
            <w:pPr>
              <w:widowControl w:val="0"/>
              <w:tabs>
                <w:tab w:val="left" w:pos="510"/>
                <w:tab w:val="left" w:pos="1531"/>
                <w:tab w:val="left" w:pos="1814"/>
              </w:tabs>
              <w:suppressAutoHyphens/>
              <w:autoSpaceDE w:val="0"/>
              <w:autoSpaceDN w:val="0"/>
              <w:adjustRightInd w:val="0"/>
              <w:spacing w:before="40" w:line="260" w:lineRule="atLeast"/>
              <w:ind w:right="113"/>
              <w:textAlignment w:val="center"/>
              <w:rPr>
                <w:color w:val="000000"/>
                <w:sz w:val="20"/>
              </w:rPr>
            </w:pPr>
            <w:r w:rsidRPr="00E55352">
              <w:rPr>
                <w:rFonts w:asciiTheme="majorBidi" w:hAnsiTheme="majorBidi" w:cstheme="majorBidi"/>
                <w:color w:val="000000"/>
                <w:sz w:val="20"/>
              </w:rPr>
              <w:t>Poland</w:t>
            </w:r>
          </w:p>
        </w:tc>
        <w:tc>
          <w:tcPr>
            <w:tcW w:w="1417" w:type="dxa"/>
            <w:shd w:val="clear" w:color="auto" w:fill="auto"/>
            <w:vAlign w:val="bottom"/>
          </w:tcPr>
          <w:p w14:paraId="25E6D8B6" w14:textId="57783BA1" w:rsidR="007F3466" w:rsidRPr="00440C55" w:rsidRDefault="007F3466" w:rsidP="007F3466">
            <w:pPr>
              <w:widowControl w:val="0"/>
              <w:tabs>
                <w:tab w:val="left" w:pos="510"/>
                <w:tab w:val="left" w:pos="1531"/>
                <w:tab w:val="left" w:pos="1814"/>
              </w:tabs>
              <w:suppressAutoHyphens/>
              <w:autoSpaceDE w:val="0"/>
              <w:autoSpaceDN w:val="0"/>
              <w:adjustRightInd w:val="0"/>
              <w:spacing w:before="40" w:line="260" w:lineRule="atLeast"/>
              <w:ind w:left="1531" w:hanging="1418"/>
              <w:jc w:val="right"/>
              <w:textAlignment w:val="center"/>
              <w:rPr>
                <w:rFonts w:asciiTheme="majorBidi" w:hAnsiTheme="majorBidi" w:cstheme="majorBidi"/>
                <w:color w:val="000000"/>
                <w:sz w:val="20"/>
              </w:rPr>
            </w:pPr>
            <w:r w:rsidRPr="00440C55">
              <w:rPr>
                <w:rFonts w:asciiTheme="majorBidi" w:hAnsiTheme="majorBidi" w:cstheme="majorBidi"/>
                <w:color w:val="000000"/>
                <w:sz w:val="20"/>
              </w:rPr>
              <w:t xml:space="preserve"> 100.0</w:t>
            </w:r>
          </w:p>
        </w:tc>
        <w:tc>
          <w:tcPr>
            <w:tcW w:w="1417" w:type="dxa"/>
            <w:shd w:val="clear" w:color="auto" w:fill="auto"/>
            <w:vAlign w:val="bottom"/>
          </w:tcPr>
          <w:p w14:paraId="241486F3" w14:textId="524808EA" w:rsidR="007F3466" w:rsidRPr="00440C55" w:rsidRDefault="007F3466" w:rsidP="007F3466">
            <w:pPr>
              <w:widowControl w:val="0"/>
              <w:tabs>
                <w:tab w:val="left" w:pos="510"/>
                <w:tab w:val="left" w:pos="1531"/>
                <w:tab w:val="left" w:pos="1814"/>
              </w:tabs>
              <w:suppressAutoHyphens/>
              <w:autoSpaceDE w:val="0"/>
              <w:autoSpaceDN w:val="0"/>
              <w:adjustRightInd w:val="0"/>
              <w:spacing w:before="40" w:line="260" w:lineRule="atLeast"/>
              <w:ind w:left="1531" w:hanging="1418"/>
              <w:jc w:val="right"/>
              <w:textAlignment w:val="center"/>
              <w:rPr>
                <w:rFonts w:asciiTheme="majorBidi" w:hAnsiTheme="majorBidi" w:cstheme="majorBidi"/>
                <w:color w:val="000000"/>
                <w:sz w:val="20"/>
              </w:rPr>
            </w:pPr>
            <w:r w:rsidRPr="00440C55">
              <w:rPr>
                <w:rFonts w:asciiTheme="majorBidi" w:hAnsiTheme="majorBidi" w:cstheme="majorBidi"/>
                <w:color w:val="000000"/>
                <w:sz w:val="20"/>
              </w:rPr>
              <w:t xml:space="preserve"> 100.0</w:t>
            </w:r>
          </w:p>
        </w:tc>
      </w:tr>
      <w:tr w:rsidR="007F3466" w:rsidRPr="00E55352" w14:paraId="6BB15A40" w14:textId="77777777" w:rsidTr="005101BC">
        <w:trPr>
          <w:trHeight w:val="240"/>
        </w:trPr>
        <w:tc>
          <w:tcPr>
            <w:tcW w:w="4536" w:type="dxa"/>
            <w:shd w:val="clear" w:color="auto" w:fill="auto"/>
            <w:noWrap/>
            <w:vAlign w:val="bottom"/>
          </w:tcPr>
          <w:p w14:paraId="1CC6FCF4" w14:textId="7A8DAB71" w:rsidR="007F3466" w:rsidRPr="00E55352" w:rsidRDefault="007F3466" w:rsidP="007F3466">
            <w:pPr>
              <w:spacing w:before="40"/>
              <w:rPr>
                <w:rFonts w:asciiTheme="majorBidi" w:eastAsia="Arial" w:hAnsiTheme="majorBidi" w:cstheme="majorBidi"/>
                <w:sz w:val="20"/>
              </w:rPr>
            </w:pPr>
            <w:r w:rsidRPr="00E55352">
              <w:rPr>
                <w:rFonts w:asciiTheme="majorBidi" w:eastAsia="Arial" w:hAnsiTheme="majorBidi" w:cstheme="majorBidi"/>
                <w:sz w:val="20"/>
              </w:rPr>
              <w:t xml:space="preserve">AFI Zlota 83 Sp. z </w:t>
            </w:r>
            <w:proofErr w:type="spellStart"/>
            <w:r w:rsidRPr="00E55352">
              <w:rPr>
                <w:rFonts w:asciiTheme="majorBidi" w:eastAsia="Arial" w:hAnsiTheme="majorBidi" w:cstheme="majorBidi"/>
                <w:sz w:val="20"/>
              </w:rPr>
              <w:t>o.o</w:t>
            </w:r>
            <w:proofErr w:type="spellEnd"/>
            <w:r>
              <w:rPr>
                <w:rFonts w:asciiTheme="majorBidi" w:eastAsia="Arial" w:hAnsiTheme="majorBidi" w:cstheme="majorBidi"/>
                <w:sz w:val="20"/>
              </w:rPr>
              <w:t xml:space="preserve"> (7)</w:t>
            </w:r>
          </w:p>
        </w:tc>
        <w:tc>
          <w:tcPr>
            <w:tcW w:w="2268" w:type="dxa"/>
            <w:shd w:val="clear" w:color="auto" w:fill="auto"/>
            <w:vAlign w:val="bottom"/>
          </w:tcPr>
          <w:p w14:paraId="18E2ECF7" w14:textId="6832BCF0" w:rsidR="007F3466" w:rsidRPr="00E55352" w:rsidRDefault="007F3466" w:rsidP="007F3466">
            <w:pPr>
              <w:widowControl w:val="0"/>
              <w:tabs>
                <w:tab w:val="left" w:pos="510"/>
                <w:tab w:val="left" w:pos="1531"/>
                <w:tab w:val="left" w:pos="1814"/>
              </w:tabs>
              <w:suppressAutoHyphens/>
              <w:autoSpaceDE w:val="0"/>
              <w:autoSpaceDN w:val="0"/>
              <w:adjustRightInd w:val="0"/>
              <w:spacing w:before="40" w:line="260" w:lineRule="atLeast"/>
              <w:ind w:right="113"/>
              <w:textAlignment w:val="center"/>
              <w:rPr>
                <w:rFonts w:asciiTheme="majorBidi" w:hAnsiTheme="majorBidi" w:cstheme="majorBidi"/>
                <w:color w:val="000000"/>
                <w:sz w:val="20"/>
              </w:rPr>
            </w:pPr>
            <w:r w:rsidRPr="00E55352">
              <w:rPr>
                <w:rFonts w:asciiTheme="majorBidi" w:hAnsiTheme="majorBidi" w:cstheme="majorBidi"/>
                <w:color w:val="000000"/>
                <w:sz w:val="20"/>
              </w:rPr>
              <w:t>Poland</w:t>
            </w:r>
          </w:p>
        </w:tc>
        <w:tc>
          <w:tcPr>
            <w:tcW w:w="1417" w:type="dxa"/>
            <w:shd w:val="clear" w:color="auto" w:fill="auto"/>
            <w:vAlign w:val="bottom"/>
          </w:tcPr>
          <w:p w14:paraId="54A98EC7" w14:textId="3A947458" w:rsidR="007F3466" w:rsidRPr="00440C55" w:rsidRDefault="007F3466" w:rsidP="007F3466">
            <w:pPr>
              <w:widowControl w:val="0"/>
              <w:tabs>
                <w:tab w:val="left" w:pos="510"/>
                <w:tab w:val="left" w:pos="1531"/>
                <w:tab w:val="left" w:pos="1814"/>
              </w:tabs>
              <w:suppressAutoHyphens/>
              <w:autoSpaceDE w:val="0"/>
              <w:autoSpaceDN w:val="0"/>
              <w:adjustRightInd w:val="0"/>
              <w:spacing w:before="40" w:line="260" w:lineRule="atLeast"/>
              <w:ind w:left="1531" w:hanging="1418"/>
              <w:jc w:val="right"/>
              <w:textAlignment w:val="center"/>
              <w:rPr>
                <w:rFonts w:asciiTheme="majorBidi" w:hAnsiTheme="majorBidi" w:cstheme="majorBidi"/>
                <w:color w:val="000000"/>
                <w:sz w:val="20"/>
              </w:rPr>
            </w:pPr>
            <w:r w:rsidRPr="00440C55">
              <w:rPr>
                <w:rFonts w:asciiTheme="majorBidi" w:hAnsiTheme="majorBidi" w:cstheme="majorBidi"/>
                <w:color w:val="000000"/>
                <w:sz w:val="20"/>
              </w:rPr>
              <w:t xml:space="preserve"> 100.0</w:t>
            </w:r>
          </w:p>
        </w:tc>
        <w:tc>
          <w:tcPr>
            <w:tcW w:w="1417" w:type="dxa"/>
            <w:shd w:val="clear" w:color="auto" w:fill="auto"/>
            <w:vAlign w:val="bottom"/>
          </w:tcPr>
          <w:p w14:paraId="07D75A56" w14:textId="577A2F81" w:rsidR="007F3466" w:rsidRPr="00440C55" w:rsidRDefault="007F3466" w:rsidP="007F3466">
            <w:pPr>
              <w:widowControl w:val="0"/>
              <w:tabs>
                <w:tab w:val="left" w:pos="510"/>
                <w:tab w:val="left" w:pos="1531"/>
                <w:tab w:val="left" w:pos="1814"/>
              </w:tabs>
              <w:suppressAutoHyphens/>
              <w:autoSpaceDE w:val="0"/>
              <w:autoSpaceDN w:val="0"/>
              <w:adjustRightInd w:val="0"/>
              <w:spacing w:before="40" w:line="260" w:lineRule="atLeast"/>
              <w:ind w:left="1531" w:hanging="1418"/>
              <w:jc w:val="right"/>
              <w:textAlignment w:val="center"/>
              <w:rPr>
                <w:rFonts w:asciiTheme="majorBidi" w:hAnsiTheme="majorBidi" w:cstheme="majorBidi"/>
                <w:color w:val="000000"/>
                <w:sz w:val="20"/>
              </w:rPr>
            </w:pPr>
            <w:r w:rsidRPr="00440C55">
              <w:rPr>
                <w:rFonts w:asciiTheme="majorBidi" w:hAnsiTheme="majorBidi" w:cstheme="majorBidi"/>
                <w:color w:val="000000"/>
                <w:sz w:val="20"/>
              </w:rPr>
              <w:t xml:space="preserve"> 100.0</w:t>
            </w:r>
          </w:p>
        </w:tc>
      </w:tr>
      <w:tr w:rsidR="007F3466" w:rsidRPr="00E55352" w14:paraId="6D159C96" w14:textId="77777777" w:rsidTr="005101BC">
        <w:trPr>
          <w:trHeight w:val="240"/>
        </w:trPr>
        <w:tc>
          <w:tcPr>
            <w:tcW w:w="4536" w:type="dxa"/>
            <w:shd w:val="clear" w:color="auto" w:fill="auto"/>
            <w:noWrap/>
            <w:vAlign w:val="bottom"/>
          </w:tcPr>
          <w:p w14:paraId="5F603E65" w14:textId="3C5E87B7" w:rsidR="007F3466" w:rsidRPr="005230A2" w:rsidRDefault="007F3466" w:rsidP="007F3466">
            <w:pPr>
              <w:spacing w:before="40"/>
              <w:rPr>
                <w:rFonts w:asciiTheme="majorBidi" w:eastAsia="Arial" w:hAnsiTheme="majorBidi" w:cstheme="majorBidi"/>
                <w:b/>
                <w:bCs/>
                <w:sz w:val="20"/>
                <w:lang w:val="de-DE"/>
              </w:rPr>
            </w:pPr>
            <w:r w:rsidRPr="005230A2">
              <w:rPr>
                <w:rFonts w:asciiTheme="majorBidi" w:eastAsia="Arial" w:hAnsiTheme="majorBidi" w:cstheme="majorBidi"/>
                <w:sz w:val="20"/>
                <w:lang w:val="de-DE"/>
              </w:rPr>
              <w:t>AFI Management Sp. z o.o</w:t>
            </w:r>
          </w:p>
        </w:tc>
        <w:tc>
          <w:tcPr>
            <w:tcW w:w="2268" w:type="dxa"/>
            <w:shd w:val="clear" w:color="auto" w:fill="auto"/>
            <w:vAlign w:val="bottom"/>
          </w:tcPr>
          <w:p w14:paraId="0A469BC9" w14:textId="11894D80" w:rsidR="007F3466" w:rsidRPr="00E55352" w:rsidRDefault="007F3466" w:rsidP="007F3466">
            <w:pPr>
              <w:widowControl w:val="0"/>
              <w:tabs>
                <w:tab w:val="left" w:pos="510"/>
                <w:tab w:val="left" w:pos="1531"/>
                <w:tab w:val="left" w:pos="1814"/>
              </w:tabs>
              <w:suppressAutoHyphens/>
              <w:autoSpaceDE w:val="0"/>
              <w:autoSpaceDN w:val="0"/>
              <w:adjustRightInd w:val="0"/>
              <w:spacing w:before="40" w:line="260" w:lineRule="atLeast"/>
              <w:ind w:right="113"/>
              <w:textAlignment w:val="center"/>
              <w:rPr>
                <w:rFonts w:asciiTheme="majorBidi" w:hAnsiTheme="majorBidi" w:cstheme="majorBidi"/>
                <w:color w:val="000000"/>
                <w:sz w:val="20"/>
              </w:rPr>
            </w:pPr>
            <w:r w:rsidRPr="00E55352">
              <w:rPr>
                <w:rFonts w:asciiTheme="majorBidi" w:hAnsiTheme="majorBidi" w:cstheme="majorBidi"/>
                <w:color w:val="000000"/>
                <w:sz w:val="20"/>
              </w:rPr>
              <w:t>Poland</w:t>
            </w:r>
          </w:p>
        </w:tc>
        <w:tc>
          <w:tcPr>
            <w:tcW w:w="1417" w:type="dxa"/>
            <w:shd w:val="clear" w:color="auto" w:fill="auto"/>
            <w:vAlign w:val="bottom"/>
          </w:tcPr>
          <w:p w14:paraId="51D3217F" w14:textId="723911C0" w:rsidR="007F3466" w:rsidRPr="00440C55" w:rsidRDefault="007F3466" w:rsidP="007F3466">
            <w:pPr>
              <w:widowControl w:val="0"/>
              <w:tabs>
                <w:tab w:val="left" w:pos="510"/>
                <w:tab w:val="left" w:pos="1531"/>
                <w:tab w:val="left" w:pos="1814"/>
              </w:tabs>
              <w:suppressAutoHyphens/>
              <w:autoSpaceDE w:val="0"/>
              <w:autoSpaceDN w:val="0"/>
              <w:adjustRightInd w:val="0"/>
              <w:spacing w:before="40" w:line="260" w:lineRule="atLeast"/>
              <w:ind w:left="1531" w:hanging="1418"/>
              <w:jc w:val="right"/>
              <w:textAlignment w:val="center"/>
              <w:rPr>
                <w:rFonts w:asciiTheme="majorBidi" w:hAnsiTheme="majorBidi" w:cstheme="majorBidi"/>
                <w:color w:val="000000"/>
                <w:sz w:val="20"/>
              </w:rPr>
            </w:pPr>
            <w:r w:rsidRPr="00440C55">
              <w:rPr>
                <w:rFonts w:asciiTheme="majorBidi" w:hAnsiTheme="majorBidi" w:cstheme="majorBidi"/>
                <w:color w:val="000000"/>
                <w:sz w:val="20"/>
              </w:rPr>
              <w:t xml:space="preserve"> 100.0</w:t>
            </w:r>
          </w:p>
        </w:tc>
        <w:tc>
          <w:tcPr>
            <w:tcW w:w="1417" w:type="dxa"/>
            <w:shd w:val="clear" w:color="auto" w:fill="auto"/>
            <w:vAlign w:val="bottom"/>
          </w:tcPr>
          <w:p w14:paraId="2BB8D6CF" w14:textId="5AE032C0" w:rsidR="007F3466" w:rsidRPr="00440C55" w:rsidRDefault="007F3466" w:rsidP="007F3466">
            <w:pPr>
              <w:widowControl w:val="0"/>
              <w:tabs>
                <w:tab w:val="left" w:pos="510"/>
                <w:tab w:val="left" w:pos="1531"/>
                <w:tab w:val="left" w:pos="1814"/>
              </w:tabs>
              <w:suppressAutoHyphens/>
              <w:autoSpaceDE w:val="0"/>
              <w:autoSpaceDN w:val="0"/>
              <w:adjustRightInd w:val="0"/>
              <w:spacing w:before="40" w:line="260" w:lineRule="atLeast"/>
              <w:ind w:left="1531" w:hanging="1418"/>
              <w:jc w:val="right"/>
              <w:textAlignment w:val="center"/>
              <w:rPr>
                <w:rFonts w:asciiTheme="majorBidi" w:hAnsiTheme="majorBidi" w:cstheme="majorBidi"/>
                <w:color w:val="000000"/>
                <w:sz w:val="20"/>
              </w:rPr>
            </w:pPr>
            <w:r w:rsidRPr="00440C55">
              <w:rPr>
                <w:rFonts w:asciiTheme="majorBidi" w:hAnsiTheme="majorBidi" w:cstheme="majorBidi"/>
                <w:color w:val="000000"/>
                <w:sz w:val="20"/>
              </w:rPr>
              <w:t xml:space="preserve"> 100.0</w:t>
            </w:r>
          </w:p>
        </w:tc>
      </w:tr>
      <w:tr w:rsidR="007F3466" w:rsidRPr="00E55352" w14:paraId="2E6ED9A7" w14:textId="77777777" w:rsidTr="005101BC">
        <w:trPr>
          <w:trHeight w:val="240"/>
        </w:trPr>
        <w:tc>
          <w:tcPr>
            <w:tcW w:w="4536" w:type="dxa"/>
            <w:shd w:val="clear" w:color="auto" w:fill="auto"/>
            <w:noWrap/>
            <w:vAlign w:val="bottom"/>
          </w:tcPr>
          <w:p w14:paraId="2941ACB1" w14:textId="63EA8E86" w:rsidR="007F3466" w:rsidRPr="00E55352" w:rsidRDefault="007F3466" w:rsidP="007F3466">
            <w:pPr>
              <w:widowControl w:val="0"/>
              <w:tabs>
                <w:tab w:val="left" w:pos="510"/>
                <w:tab w:val="left" w:pos="1531"/>
                <w:tab w:val="left" w:pos="1814"/>
              </w:tabs>
              <w:suppressAutoHyphens/>
              <w:autoSpaceDE w:val="0"/>
              <w:autoSpaceDN w:val="0"/>
              <w:adjustRightInd w:val="0"/>
              <w:spacing w:before="40" w:line="260" w:lineRule="atLeast"/>
              <w:ind w:left="1418" w:right="113" w:hanging="1418"/>
              <w:textAlignment w:val="center"/>
              <w:rPr>
                <w:rFonts w:asciiTheme="majorBidi" w:eastAsia="Arial" w:hAnsiTheme="majorBidi" w:cstheme="majorBidi"/>
                <w:sz w:val="20"/>
              </w:rPr>
            </w:pPr>
            <w:r w:rsidRPr="00E55352">
              <w:rPr>
                <w:rFonts w:asciiTheme="majorBidi" w:eastAsia="Arial" w:hAnsiTheme="majorBidi" w:cstheme="majorBidi"/>
                <w:sz w:val="20"/>
              </w:rPr>
              <w:t xml:space="preserve">AFI Project 1 Sp. z </w:t>
            </w:r>
            <w:proofErr w:type="spellStart"/>
            <w:proofErr w:type="gramStart"/>
            <w:r w:rsidRPr="00E55352">
              <w:rPr>
                <w:rFonts w:asciiTheme="majorBidi" w:eastAsia="Arial" w:hAnsiTheme="majorBidi" w:cstheme="majorBidi"/>
                <w:sz w:val="20"/>
              </w:rPr>
              <w:t>o.o</w:t>
            </w:r>
            <w:proofErr w:type="spellEnd"/>
            <w:proofErr w:type="gramEnd"/>
          </w:p>
        </w:tc>
        <w:tc>
          <w:tcPr>
            <w:tcW w:w="2268" w:type="dxa"/>
            <w:shd w:val="clear" w:color="auto" w:fill="auto"/>
            <w:vAlign w:val="bottom"/>
          </w:tcPr>
          <w:p w14:paraId="578AC4FC" w14:textId="386A8F9C" w:rsidR="007F3466" w:rsidRPr="00E55352" w:rsidRDefault="007F3466" w:rsidP="007F3466">
            <w:pPr>
              <w:widowControl w:val="0"/>
              <w:tabs>
                <w:tab w:val="left" w:pos="510"/>
                <w:tab w:val="left" w:pos="1531"/>
                <w:tab w:val="left" w:pos="1814"/>
              </w:tabs>
              <w:suppressAutoHyphens/>
              <w:autoSpaceDE w:val="0"/>
              <w:autoSpaceDN w:val="0"/>
              <w:adjustRightInd w:val="0"/>
              <w:spacing w:before="40" w:line="260" w:lineRule="atLeast"/>
              <w:ind w:right="113"/>
              <w:textAlignment w:val="center"/>
              <w:rPr>
                <w:rFonts w:asciiTheme="majorBidi" w:hAnsiTheme="majorBidi" w:cstheme="majorBidi"/>
                <w:color w:val="000000"/>
                <w:sz w:val="20"/>
              </w:rPr>
            </w:pPr>
            <w:r w:rsidRPr="00E55352">
              <w:rPr>
                <w:color w:val="000000"/>
                <w:sz w:val="20"/>
              </w:rPr>
              <w:t>Poland</w:t>
            </w:r>
          </w:p>
        </w:tc>
        <w:tc>
          <w:tcPr>
            <w:tcW w:w="1417" w:type="dxa"/>
            <w:shd w:val="clear" w:color="auto" w:fill="auto"/>
            <w:vAlign w:val="bottom"/>
          </w:tcPr>
          <w:p w14:paraId="01B3EAB7" w14:textId="126AF80D" w:rsidR="007F3466" w:rsidRPr="00CD5E4D" w:rsidRDefault="007F3466" w:rsidP="007F3466">
            <w:pPr>
              <w:widowControl w:val="0"/>
              <w:tabs>
                <w:tab w:val="left" w:pos="510"/>
                <w:tab w:val="left" w:pos="1531"/>
                <w:tab w:val="left" w:pos="1814"/>
              </w:tabs>
              <w:suppressAutoHyphens/>
              <w:autoSpaceDE w:val="0"/>
              <w:autoSpaceDN w:val="0"/>
              <w:adjustRightInd w:val="0"/>
              <w:spacing w:before="40" w:line="260" w:lineRule="atLeast"/>
              <w:ind w:left="1531" w:hanging="1418"/>
              <w:jc w:val="right"/>
              <w:textAlignment w:val="center"/>
              <w:rPr>
                <w:rFonts w:asciiTheme="majorBidi" w:hAnsiTheme="majorBidi" w:cstheme="majorBidi"/>
                <w:color w:val="000000"/>
                <w:sz w:val="20"/>
              </w:rPr>
            </w:pPr>
            <w:r w:rsidRPr="00440C55">
              <w:rPr>
                <w:rFonts w:asciiTheme="majorBidi" w:hAnsiTheme="majorBidi" w:cstheme="majorBidi"/>
                <w:color w:val="000000"/>
                <w:sz w:val="20"/>
              </w:rPr>
              <w:t>100.0</w:t>
            </w:r>
          </w:p>
        </w:tc>
        <w:tc>
          <w:tcPr>
            <w:tcW w:w="1417" w:type="dxa"/>
            <w:shd w:val="clear" w:color="auto" w:fill="auto"/>
            <w:vAlign w:val="bottom"/>
          </w:tcPr>
          <w:p w14:paraId="6E4028EC" w14:textId="56CA1520" w:rsidR="007F3466" w:rsidRPr="00E55352" w:rsidRDefault="007F3466" w:rsidP="007F3466">
            <w:pPr>
              <w:widowControl w:val="0"/>
              <w:tabs>
                <w:tab w:val="left" w:pos="510"/>
                <w:tab w:val="left" w:pos="1531"/>
                <w:tab w:val="left" w:pos="1814"/>
              </w:tabs>
              <w:suppressAutoHyphens/>
              <w:autoSpaceDE w:val="0"/>
              <w:autoSpaceDN w:val="0"/>
              <w:adjustRightInd w:val="0"/>
              <w:spacing w:before="40" w:line="260" w:lineRule="atLeast"/>
              <w:ind w:left="1531" w:hanging="1418"/>
              <w:jc w:val="right"/>
              <w:textAlignment w:val="center"/>
              <w:rPr>
                <w:rFonts w:asciiTheme="majorBidi" w:hAnsiTheme="majorBidi" w:cstheme="majorBidi"/>
                <w:color w:val="000000"/>
                <w:sz w:val="20"/>
              </w:rPr>
            </w:pPr>
            <w:r w:rsidRPr="00440C55">
              <w:rPr>
                <w:rFonts w:asciiTheme="majorBidi" w:hAnsiTheme="majorBidi" w:cstheme="majorBidi"/>
                <w:color w:val="000000"/>
                <w:sz w:val="20"/>
              </w:rPr>
              <w:t>100.0</w:t>
            </w:r>
          </w:p>
        </w:tc>
      </w:tr>
      <w:tr w:rsidR="007F3466" w:rsidRPr="00E55352" w14:paraId="15627DD2" w14:textId="77777777" w:rsidTr="005101BC">
        <w:trPr>
          <w:trHeight w:val="240"/>
        </w:trPr>
        <w:tc>
          <w:tcPr>
            <w:tcW w:w="4536" w:type="dxa"/>
            <w:shd w:val="clear" w:color="auto" w:fill="auto"/>
            <w:noWrap/>
            <w:vAlign w:val="bottom"/>
          </w:tcPr>
          <w:p w14:paraId="6DA0A612" w14:textId="2ABB64D7" w:rsidR="007F3466" w:rsidRPr="00E55352" w:rsidRDefault="007F3466" w:rsidP="007F3466">
            <w:pPr>
              <w:widowControl w:val="0"/>
              <w:tabs>
                <w:tab w:val="left" w:pos="510"/>
                <w:tab w:val="left" w:pos="1531"/>
                <w:tab w:val="left" w:pos="1814"/>
              </w:tabs>
              <w:suppressAutoHyphens/>
              <w:autoSpaceDE w:val="0"/>
              <w:autoSpaceDN w:val="0"/>
              <w:adjustRightInd w:val="0"/>
              <w:spacing w:before="40" w:line="260" w:lineRule="atLeast"/>
              <w:ind w:left="1418" w:right="113" w:hanging="1418"/>
              <w:textAlignment w:val="center"/>
              <w:rPr>
                <w:rFonts w:asciiTheme="majorBidi" w:eastAsia="Arial" w:hAnsiTheme="majorBidi" w:cstheme="majorBidi"/>
                <w:sz w:val="20"/>
              </w:rPr>
            </w:pPr>
            <w:r w:rsidRPr="00E55352">
              <w:rPr>
                <w:rFonts w:eastAsia="Arial"/>
                <w:sz w:val="20"/>
              </w:rPr>
              <w:t xml:space="preserve">AFI Project 2 </w:t>
            </w:r>
            <w:r w:rsidRPr="00E55352">
              <w:rPr>
                <w:rFonts w:asciiTheme="majorBidi" w:eastAsia="Arial" w:hAnsiTheme="majorBidi" w:cstheme="majorBidi"/>
                <w:sz w:val="20"/>
              </w:rPr>
              <w:t xml:space="preserve">Sp. z </w:t>
            </w:r>
            <w:proofErr w:type="spellStart"/>
            <w:proofErr w:type="gramStart"/>
            <w:r w:rsidRPr="00E55352">
              <w:rPr>
                <w:rFonts w:asciiTheme="majorBidi" w:eastAsia="Arial" w:hAnsiTheme="majorBidi" w:cstheme="majorBidi"/>
                <w:sz w:val="20"/>
              </w:rPr>
              <w:t>o.o</w:t>
            </w:r>
            <w:proofErr w:type="spellEnd"/>
            <w:proofErr w:type="gramEnd"/>
          </w:p>
        </w:tc>
        <w:tc>
          <w:tcPr>
            <w:tcW w:w="2268" w:type="dxa"/>
            <w:shd w:val="clear" w:color="auto" w:fill="auto"/>
            <w:vAlign w:val="bottom"/>
          </w:tcPr>
          <w:p w14:paraId="470FE88A" w14:textId="7218480C" w:rsidR="007F3466" w:rsidRPr="00E55352" w:rsidRDefault="007F3466" w:rsidP="007F3466">
            <w:pPr>
              <w:widowControl w:val="0"/>
              <w:tabs>
                <w:tab w:val="left" w:pos="510"/>
                <w:tab w:val="left" w:pos="1531"/>
                <w:tab w:val="left" w:pos="1814"/>
              </w:tabs>
              <w:suppressAutoHyphens/>
              <w:autoSpaceDE w:val="0"/>
              <w:autoSpaceDN w:val="0"/>
              <w:adjustRightInd w:val="0"/>
              <w:spacing w:before="40" w:line="260" w:lineRule="atLeast"/>
              <w:ind w:right="113"/>
              <w:textAlignment w:val="center"/>
              <w:rPr>
                <w:rFonts w:asciiTheme="majorBidi" w:hAnsiTheme="majorBidi" w:cstheme="majorBidi"/>
                <w:color w:val="000000"/>
                <w:sz w:val="20"/>
              </w:rPr>
            </w:pPr>
            <w:r w:rsidRPr="00E55352">
              <w:rPr>
                <w:color w:val="000000"/>
                <w:sz w:val="20"/>
              </w:rPr>
              <w:t>Poland</w:t>
            </w:r>
          </w:p>
        </w:tc>
        <w:tc>
          <w:tcPr>
            <w:tcW w:w="1417" w:type="dxa"/>
            <w:shd w:val="clear" w:color="auto" w:fill="auto"/>
            <w:vAlign w:val="bottom"/>
          </w:tcPr>
          <w:p w14:paraId="4858D478" w14:textId="2CBAC398" w:rsidR="007F3466" w:rsidRPr="00CD5E4D" w:rsidRDefault="007F3466" w:rsidP="007F3466">
            <w:pPr>
              <w:widowControl w:val="0"/>
              <w:tabs>
                <w:tab w:val="left" w:pos="510"/>
                <w:tab w:val="left" w:pos="1531"/>
                <w:tab w:val="left" w:pos="1814"/>
              </w:tabs>
              <w:suppressAutoHyphens/>
              <w:autoSpaceDE w:val="0"/>
              <w:autoSpaceDN w:val="0"/>
              <w:adjustRightInd w:val="0"/>
              <w:spacing w:before="40" w:line="260" w:lineRule="atLeast"/>
              <w:ind w:left="1531" w:hanging="1418"/>
              <w:jc w:val="right"/>
              <w:textAlignment w:val="center"/>
              <w:rPr>
                <w:rFonts w:asciiTheme="majorBidi" w:hAnsiTheme="majorBidi" w:cstheme="majorBidi"/>
                <w:color w:val="000000"/>
                <w:sz w:val="20"/>
              </w:rPr>
            </w:pPr>
            <w:r w:rsidRPr="00440C55">
              <w:rPr>
                <w:rFonts w:asciiTheme="majorBidi" w:hAnsiTheme="majorBidi" w:cstheme="majorBidi"/>
                <w:color w:val="000000"/>
                <w:sz w:val="20"/>
              </w:rPr>
              <w:t>100.0</w:t>
            </w:r>
          </w:p>
        </w:tc>
        <w:tc>
          <w:tcPr>
            <w:tcW w:w="1417" w:type="dxa"/>
            <w:shd w:val="clear" w:color="auto" w:fill="auto"/>
            <w:vAlign w:val="bottom"/>
          </w:tcPr>
          <w:p w14:paraId="12DBCD5F" w14:textId="1292797D" w:rsidR="007F3466" w:rsidRPr="00E55352" w:rsidRDefault="007F3466" w:rsidP="007F3466">
            <w:pPr>
              <w:widowControl w:val="0"/>
              <w:tabs>
                <w:tab w:val="left" w:pos="510"/>
                <w:tab w:val="left" w:pos="1531"/>
                <w:tab w:val="left" w:pos="1814"/>
              </w:tabs>
              <w:suppressAutoHyphens/>
              <w:autoSpaceDE w:val="0"/>
              <w:autoSpaceDN w:val="0"/>
              <w:adjustRightInd w:val="0"/>
              <w:spacing w:before="40" w:line="260" w:lineRule="atLeast"/>
              <w:ind w:left="1531" w:hanging="1418"/>
              <w:jc w:val="right"/>
              <w:textAlignment w:val="center"/>
              <w:rPr>
                <w:rFonts w:asciiTheme="majorBidi" w:hAnsiTheme="majorBidi" w:cstheme="majorBidi"/>
                <w:color w:val="000000"/>
                <w:sz w:val="20"/>
              </w:rPr>
            </w:pPr>
            <w:r w:rsidRPr="00440C55">
              <w:rPr>
                <w:rFonts w:asciiTheme="majorBidi" w:hAnsiTheme="majorBidi" w:cstheme="majorBidi"/>
                <w:color w:val="000000"/>
                <w:sz w:val="20"/>
              </w:rPr>
              <w:t>100.0</w:t>
            </w:r>
          </w:p>
        </w:tc>
      </w:tr>
      <w:tr w:rsidR="007F3466" w:rsidRPr="00E55352" w14:paraId="14DA051D" w14:textId="77777777" w:rsidTr="005101BC">
        <w:trPr>
          <w:trHeight w:val="240"/>
        </w:trPr>
        <w:tc>
          <w:tcPr>
            <w:tcW w:w="4536" w:type="dxa"/>
            <w:shd w:val="clear" w:color="auto" w:fill="auto"/>
            <w:noWrap/>
            <w:vAlign w:val="bottom"/>
          </w:tcPr>
          <w:p w14:paraId="7E819FA0" w14:textId="27F707D0" w:rsidR="007F3466" w:rsidRPr="00E55352" w:rsidRDefault="007F3466" w:rsidP="007F3466">
            <w:pPr>
              <w:widowControl w:val="0"/>
              <w:tabs>
                <w:tab w:val="left" w:pos="510"/>
                <w:tab w:val="left" w:pos="1531"/>
                <w:tab w:val="left" w:pos="1814"/>
              </w:tabs>
              <w:suppressAutoHyphens/>
              <w:autoSpaceDE w:val="0"/>
              <w:autoSpaceDN w:val="0"/>
              <w:adjustRightInd w:val="0"/>
              <w:spacing w:before="40" w:line="260" w:lineRule="atLeast"/>
              <w:ind w:left="1418" w:right="113" w:hanging="1418"/>
              <w:textAlignment w:val="center"/>
              <w:rPr>
                <w:rFonts w:asciiTheme="majorBidi" w:eastAsia="Arial" w:hAnsiTheme="majorBidi" w:cstheme="majorBidi"/>
                <w:sz w:val="20"/>
              </w:rPr>
            </w:pPr>
            <w:r w:rsidRPr="00E55352">
              <w:rPr>
                <w:rFonts w:eastAsia="Arial"/>
                <w:sz w:val="20"/>
              </w:rPr>
              <w:t xml:space="preserve">AFI Project 3 </w:t>
            </w:r>
            <w:r w:rsidRPr="00E55352">
              <w:rPr>
                <w:rFonts w:asciiTheme="majorBidi" w:eastAsia="Arial" w:hAnsiTheme="majorBidi" w:cstheme="majorBidi"/>
                <w:sz w:val="20"/>
              </w:rPr>
              <w:t xml:space="preserve">Sp. z </w:t>
            </w:r>
            <w:proofErr w:type="spellStart"/>
            <w:r w:rsidRPr="00E55352">
              <w:rPr>
                <w:rFonts w:asciiTheme="majorBidi" w:eastAsia="Arial" w:hAnsiTheme="majorBidi" w:cstheme="majorBidi"/>
                <w:sz w:val="20"/>
              </w:rPr>
              <w:t>o.o</w:t>
            </w:r>
            <w:proofErr w:type="spellEnd"/>
            <w:r>
              <w:rPr>
                <w:rFonts w:asciiTheme="majorBidi" w:eastAsia="Arial" w:hAnsiTheme="majorBidi" w:cstheme="majorBidi"/>
                <w:sz w:val="20"/>
              </w:rPr>
              <w:t xml:space="preserve"> (7)</w:t>
            </w:r>
          </w:p>
        </w:tc>
        <w:tc>
          <w:tcPr>
            <w:tcW w:w="2268" w:type="dxa"/>
            <w:shd w:val="clear" w:color="auto" w:fill="auto"/>
            <w:vAlign w:val="bottom"/>
          </w:tcPr>
          <w:p w14:paraId="4DD5C21F" w14:textId="181AA4EF" w:rsidR="007F3466" w:rsidRPr="00E55352" w:rsidRDefault="007F3466" w:rsidP="007F3466">
            <w:pPr>
              <w:widowControl w:val="0"/>
              <w:tabs>
                <w:tab w:val="left" w:pos="510"/>
                <w:tab w:val="left" w:pos="1531"/>
                <w:tab w:val="left" w:pos="1814"/>
              </w:tabs>
              <w:suppressAutoHyphens/>
              <w:autoSpaceDE w:val="0"/>
              <w:autoSpaceDN w:val="0"/>
              <w:adjustRightInd w:val="0"/>
              <w:spacing w:before="40" w:line="260" w:lineRule="atLeast"/>
              <w:ind w:right="113"/>
              <w:textAlignment w:val="center"/>
              <w:rPr>
                <w:rFonts w:asciiTheme="majorBidi" w:hAnsiTheme="majorBidi" w:cstheme="majorBidi"/>
                <w:color w:val="000000"/>
                <w:sz w:val="20"/>
              </w:rPr>
            </w:pPr>
            <w:r w:rsidRPr="00E55352">
              <w:rPr>
                <w:color w:val="000000"/>
                <w:sz w:val="20"/>
              </w:rPr>
              <w:t>Poland</w:t>
            </w:r>
          </w:p>
        </w:tc>
        <w:tc>
          <w:tcPr>
            <w:tcW w:w="1417" w:type="dxa"/>
            <w:shd w:val="clear" w:color="auto" w:fill="auto"/>
            <w:vAlign w:val="bottom"/>
          </w:tcPr>
          <w:p w14:paraId="1C8508FD" w14:textId="13EE72E4" w:rsidR="007F3466" w:rsidRPr="00CD5E4D" w:rsidRDefault="007F3466" w:rsidP="007F3466">
            <w:pPr>
              <w:widowControl w:val="0"/>
              <w:tabs>
                <w:tab w:val="left" w:pos="510"/>
                <w:tab w:val="left" w:pos="1531"/>
                <w:tab w:val="left" w:pos="1814"/>
              </w:tabs>
              <w:suppressAutoHyphens/>
              <w:autoSpaceDE w:val="0"/>
              <w:autoSpaceDN w:val="0"/>
              <w:adjustRightInd w:val="0"/>
              <w:spacing w:before="40" w:line="260" w:lineRule="atLeast"/>
              <w:ind w:left="1531" w:hanging="1418"/>
              <w:jc w:val="right"/>
              <w:textAlignment w:val="center"/>
              <w:rPr>
                <w:rFonts w:asciiTheme="majorBidi" w:hAnsiTheme="majorBidi" w:cstheme="majorBidi"/>
                <w:color w:val="000000"/>
                <w:sz w:val="20"/>
              </w:rPr>
            </w:pPr>
            <w:r w:rsidRPr="00440C55">
              <w:rPr>
                <w:rFonts w:asciiTheme="majorBidi" w:hAnsiTheme="majorBidi" w:cstheme="majorBidi"/>
                <w:color w:val="000000"/>
                <w:sz w:val="20"/>
              </w:rPr>
              <w:t>100.0</w:t>
            </w:r>
          </w:p>
        </w:tc>
        <w:tc>
          <w:tcPr>
            <w:tcW w:w="1417" w:type="dxa"/>
            <w:shd w:val="clear" w:color="auto" w:fill="auto"/>
            <w:vAlign w:val="bottom"/>
          </w:tcPr>
          <w:p w14:paraId="36B690B3" w14:textId="207FFEEA" w:rsidR="007F3466" w:rsidRPr="00E55352" w:rsidRDefault="007F3466" w:rsidP="007F3466">
            <w:pPr>
              <w:widowControl w:val="0"/>
              <w:tabs>
                <w:tab w:val="left" w:pos="510"/>
                <w:tab w:val="left" w:pos="1531"/>
                <w:tab w:val="left" w:pos="1814"/>
              </w:tabs>
              <w:suppressAutoHyphens/>
              <w:autoSpaceDE w:val="0"/>
              <w:autoSpaceDN w:val="0"/>
              <w:adjustRightInd w:val="0"/>
              <w:spacing w:before="40" w:line="260" w:lineRule="atLeast"/>
              <w:ind w:left="1531" w:hanging="1418"/>
              <w:jc w:val="right"/>
              <w:textAlignment w:val="center"/>
              <w:rPr>
                <w:rFonts w:asciiTheme="majorBidi" w:hAnsiTheme="majorBidi" w:cstheme="majorBidi"/>
                <w:color w:val="000000"/>
                <w:sz w:val="20"/>
              </w:rPr>
            </w:pPr>
            <w:r w:rsidRPr="00440C55">
              <w:rPr>
                <w:rFonts w:asciiTheme="majorBidi" w:hAnsiTheme="majorBidi" w:cstheme="majorBidi"/>
                <w:color w:val="000000"/>
                <w:sz w:val="20"/>
              </w:rPr>
              <w:t>100.0</w:t>
            </w:r>
          </w:p>
        </w:tc>
      </w:tr>
      <w:tr w:rsidR="007F3466" w:rsidRPr="00E55352" w14:paraId="19B2D63D" w14:textId="77777777" w:rsidTr="005101BC">
        <w:trPr>
          <w:trHeight w:val="240"/>
        </w:trPr>
        <w:tc>
          <w:tcPr>
            <w:tcW w:w="4536" w:type="dxa"/>
            <w:shd w:val="clear" w:color="auto" w:fill="auto"/>
            <w:noWrap/>
            <w:vAlign w:val="bottom"/>
          </w:tcPr>
          <w:p w14:paraId="0B02D419" w14:textId="4AF3707B" w:rsidR="007F3466" w:rsidRPr="00E55352" w:rsidRDefault="007F3466" w:rsidP="007F3466">
            <w:pPr>
              <w:widowControl w:val="0"/>
              <w:tabs>
                <w:tab w:val="left" w:pos="510"/>
                <w:tab w:val="left" w:pos="1531"/>
                <w:tab w:val="left" w:pos="1814"/>
              </w:tabs>
              <w:suppressAutoHyphens/>
              <w:autoSpaceDE w:val="0"/>
              <w:autoSpaceDN w:val="0"/>
              <w:adjustRightInd w:val="0"/>
              <w:spacing w:before="40" w:line="260" w:lineRule="atLeast"/>
              <w:ind w:left="1418" w:right="113" w:hanging="1418"/>
              <w:textAlignment w:val="center"/>
              <w:rPr>
                <w:rFonts w:asciiTheme="majorBidi" w:eastAsia="Arial" w:hAnsiTheme="majorBidi" w:cstheme="majorBidi"/>
                <w:sz w:val="20"/>
              </w:rPr>
            </w:pPr>
            <w:r w:rsidRPr="00E55352">
              <w:rPr>
                <w:rFonts w:eastAsia="Arial"/>
                <w:sz w:val="20"/>
              </w:rPr>
              <w:t xml:space="preserve">AFI Project 4 </w:t>
            </w:r>
            <w:r w:rsidRPr="00E55352">
              <w:rPr>
                <w:rFonts w:asciiTheme="majorBidi" w:eastAsia="Arial" w:hAnsiTheme="majorBidi" w:cstheme="majorBidi"/>
                <w:sz w:val="20"/>
              </w:rPr>
              <w:t xml:space="preserve">Sp. z </w:t>
            </w:r>
            <w:proofErr w:type="spellStart"/>
            <w:r w:rsidRPr="00E55352">
              <w:rPr>
                <w:rFonts w:asciiTheme="majorBidi" w:eastAsia="Arial" w:hAnsiTheme="majorBidi" w:cstheme="majorBidi"/>
                <w:sz w:val="20"/>
              </w:rPr>
              <w:t>o.o</w:t>
            </w:r>
            <w:proofErr w:type="spellEnd"/>
            <w:r>
              <w:rPr>
                <w:rFonts w:asciiTheme="majorBidi" w:eastAsia="Arial" w:hAnsiTheme="majorBidi" w:cstheme="majorBidi"/>
                <w:sz w:val="20"/>
              </w:rPr>
              <w:t xml:space="preserve"> (4)</w:t>
            </w:r>
          </w:p>
        </w:tc>
        <w:tc>
          <w:tcPr>
            <w:tcW w:w="2268" w:type="dxa"/>
            <w:shd w:val="clear" w:color="auto" w:fill="auto"/>
            <w:vAlign w:val="bottom"/>
          </w:tcPr>
          <w:p w14:paraId="068F7D28" w14:textId="00F1C714" w:rsidR="007F3466" w:rsidRPr="00E55352" w:rsidRDefault="007F3466" w:rsidP="007F3466">
            <w:pPr>
              <w:widowControl w:val="0"/>
              <w:tabs>
                <w:tab w:val="left" w:pos="510"/>
                <w:tab w:val="left" w:pos="1531"/>
                <w:tab w:val="left" w:pos="1814"/>
              </w:tabs>
              <w:suppressAutoHyphens/>
              <w:autoSpaceDE w:val="0"/>
              <w:autoSpaceDN w:val="0"/>
              <w:adjustRightInd w:val="0"/>
              <w:spacing w:before="40" w:line="260" w:lineRule="atLeast"/>
              <w:ind w:right="113"/>
              <w:textAlignment w:val="center"/>
              <w:rPr>
                <w:rFonts w:asciiTheme="majorBidi" w:hAnsiTheme="majorBidi" w:cstheme="majorBidi"/>
                <w:color w:val="000000"/>
                <w:sz w:val="20"/>
              </w:rPr>
            </w:pPr>
            <w:r w:rsidRPr="00E55352">
              <w:rPr>
                <w:color w:val="000000"/>
                <w:sz w:val="20"/>
              </w:rPr>
              <w:t>Poland</w:t>
            </w:r>
          </w:p>
        </w:tc>
        <w:tc>
          <w:tcPr>
            <w:tcW w:w="1417" w:type="dxa"/>
            <w:shd w:val="clear" w:color="auto" w:fill="auto"/>
            <w:vAlign w:val="bottom"/>
          </w:tcPr>
          <w:p w14:paraId="49C1123D" w14:textId="3DBA520C" w:rsidR="007F3466" w:rsidRPr="00CD5E4D" w:rsidRDefault="007F3466" w:rsidP="007F3466">
            <w:pPr>
              <w:widowControl w:val="0"/>
              <w:tabs>
                <w:tab w:val="left" w:pos="510"/>
                <w:tab w:val="left" w:pos="1531"/>
                <w:tab w:val="left" w:pos="1814"/>
              </w:tabs>
              <w:suppressAutoHyphens/>
              <w:autoSpaceDE w:val="0"/>
              <w:autoSpaceDN w:val="0"/>
              <w:adjustRightInd w:val="0"/>
              <w:spacing w:before="40" w:line="260" w:lineRule="atLeast"/>
              <w:ind w:left="1531" w:hanging="1418"/>
              <w:jc w:val="right"/>
              <w:textAlignment w:val="center"/>
              <w:rPr>
                <w:rFonts w:asciiTheme="majorBidi" w:hAnsiTheme="majorBidi" w:cstheme="majorBidi"/>
                <w:color w:val="000000"/>
                <w:sz w:val="20"/>
              </w:rPr>
            </w:pPr>
            <w:r w:rsidRPr="00440C55">
              <w:rPr>
                <w:rFonts w:asciiTheme="majorBidi" w:hAnsiTheme="majorBidi" w:cstheme="majorBidi"/>
                <w:color w:val="000000"/>
                <w:sz w:val="20"/>
              </w:rPr>
              <w:t>100.0</w:t>
            </w:r>
          </w:p>
        </w:tc>
        <w:tc>
          <w:tcPr>
            <w:tcW w:w="1417" w:type="dxa"/>
            <w:shd w:val="clear" w:color="auto" w:fill="auto"/>
            <w:vAlign w:val="bottom"/>
          </w:tcPr>
          <w:p w14:paraId="0EE59C88" w14:textId="1892FD57" w:rsidR="007F3466" w:rsidRPr="00E55352" w:rsidRDefault="007F3466" w:rsidP="007F3466">
            <w:pPr>
              <w:widowControl w:val="0"/>
              <w:tabs>
                <w:tab w:val="left" w:pos="510"/>
                <w:tab w:val="left" w:pos="1531"/>
                <w:tab w:val="left" w:pos="1814"/>
              </w:tabs>
              <w:suppressAutoHyphens/>
              <w:autoSpaceDE w:val="0"/>
              <w:autoSpaceDN w:val="0"/>
              <w:adjustRightInd w:val="0"/>
              <w:spacing w:before="40" w:line="260" w:lineRule="atLeast"/>
              <w:ind w:left="1531" w:hanging="1418"/>
              <w:jc w:val="right"/>
              <w:textAlignment w:val="center"/>
              <w:rPr>
                <w:rFonts w:asciiTheme="majorBidi" w:hAnsiTheme="majorBidi" w:cstheme="majorBidi"/>
                <w:color w:val="000000"/>
                <w:sz w:val="20"/>
              </w:rPr>
            </w:pPr>
            <w:r w:rsidRPr="00440C55">
              <w:rPr>
                <w:rFonts w:asciiTheme="majorBidi" w:hAnsiTheme="majorBidi" w:cstheme="majorBidi"/>
                <w:color w:val="000000"/>
                <w:sz w:val="20"/>
              </w:rPr>
              <w:t>100.0</w:t>
            </w:r>
          </w:p>
        </w:tc>
      </w:tr>
      <w:tr w:rsidR="007F3466" w:rsidRPr="00E55352" w14:paraId="5F7FCE59" w14:textId="77777777" w:rsidTr="005101BC">
        <w:trPr>
          <w:trHeight w:val="240"/>
        </w:trPr>
        <w:tc>
          <w:tcPr>
            <w:tcW w:w="4536" w:type="dxa"/>
            <w:shd w:val="clear" w:color="auto" w:fill="auto"/>
            <w:noWrap/>
            <w:vAlign w:val="bottom"/>
          </w:tcPr>
          <w:p w14:paraId="7CD1AAEA" w14:textId="782F082E" w:rsidR="007F3466" w:rsidRPr="00E55352" w:rsidRDefault="007F3466" w:rsidP="007F3466">
            <w:pPr>
              <w:widowControl w:val="0"/>
              <w:tabs>
                <w:tab w:val="left" w:pos="510"/>
                <w:tab w:val="left" w:pos="1531"/>
                <w:tab w:val="left" w:pos="1814"/>
              </w:tabs>
              <w:suppressAutoHyphens/>
              <w:autoSpaceDE w:val="0"/>
              <w:autoSpaceDN w:val="0"/>
              <w:adjustRightInd w:val="0"/>
              <w:spacing w:before="40" w:line="260" w:lineRule="atLeast"/>
              <w:ind w:left="1418" w:right="113" w:hanging="1418"/>
              <w:textAlignment w:val="center"/>
              <w:rPr>
                <w:rFonts w:asciiTheme="majorBidi" w:eastAsia="Arial" w:hAnsiTheme="majorBidi" w:cstheme="majorBidi"/>
                <w:sz w:val="20"/>
              </w:rPr>
            </w:pPr>
            <w:r w:rsidRPr="00E55352">
              <w:rPr>
                <w:rFonts w:eastAsia="Arial"/>
                <w:sz w:val="20"/>
              </w:rPr>
              <w:t xml:space="preserve">AFI Project 5 </w:t>
            </w:r>
            <w:r w:rsidRPr="00E55352">
              <w:rPr>
                <w:rFonts w:asciiTheme="majorBidi" w:eastAsia="Arial" w:hAnsiTheme="majorBidi" w:cstheme="majorBidi"/>
                <w:sz w:val="20"/>
              </w:rPr>
              <w:t xml:space="preserve">Sp. z </w:t>
            </w:r>
            <w:proofErr w:type="spellStart"/>
            <w:r w:rsidRPr="00E55352">
              <w:rPr>
                <w:rFonts w:asciiTheme="majorBidi" w:eastAsia="Arial" w:hAnsiTheme="majorBidi" w:cstheme="majorBidi"/>
                <w:sz w:val="20"/>
              </w:rPr>
              <w:t>o.o</w:t>
            </w:r>
            <w:proofErr w:type="spellEnd"/>
            <w:r>
              <w:rPr>
                <w:rFonts w:asciiTheme="majorBidi" w:eastAsia="Arial" w:hAnsiTheme="majorBidi" w:cstheme="majorBidi"/>
                <w:sz w:val="20"/>
              </w:rPr>
              <w:t xml:space="preserve"> (4)</w:t>
            </w:r>
          </w:p>
        </w:tc>
        <w:tc>
          <w:tcPr>
            <w:tcW w:w="2268" w:type="dxa"/>
            <w:shd w:val="clear" w:color="auto" w:fill="auto"/>
            <w:vAlign w:val="bottom"/>
          </w:tcPr>
          <w:p w14:paraId="1296BB29" w14:textId="3CB52BDD" w:rsidR="007F3466" w:rsidRPr="00E55352" w:rsidRDefault="007F3466" w:rsidP="007F3466">
            <w:pPr>
              <w:widowControl w:val="0"/>
              <w:tabs>
                <w:tab w:val="left" w:pos="510"/>
                <w:tab w:val="left" w:pos="1531"/>
                <w:tab w:val="left" w:pos="1814"/>
              </w:tabs>
              <w:suppressAutoHyphens/>
              <w:autoSpaceDE w:val="0"/>
              <w:autoSpaceDN w:val="0"/>
              <w:adjustRightInd w:val="0"/>
              <w:spacing w:before="40" w:line="260" w:lineRule="atLeast"/>
              <w:ind w:right="113"/>
              <w:textAlignment w:val="center"/>
              <w:rPr>
                <w:rFonts w:asciiTheme="majorBidi" w:hAnsiTheme="majorBidi" w:cstheme="majorBidi"/>
                <w:color w:val="000000"/>
                <w:sz w:val="20"/>
              </w:rPr>
            </w:pPr>
            <w:r w:rsidRPr="00E55352">
              <w:rPr>
                <w:color w:val="000000"/>
                <w:sz w:val="20"/>
              </w:rPr>
              <w:t>Poland</w:t>
            </w:r>
          </w:p>
        </w:tc>
        <w:tc>
          <w:tcPr>
            <w:tcW w:w="1417" w:type="dxa"/>
            <w:shd w:val="clear" w:color="auto" w:fill="auto"/>
            <w:vAlign w:val="bottom"/>
          </w:tcPr>
          <w:p w14:paraId="3B96D9F4" w14:textId="2FEA5932" w:rsidR="007F3466" w:rsidRPr="00CD5E4D" w:rsidRDefault="007F3466" w:rsidP="007F3466">
            <w:pPr>
              <w:widowControl w:val="0"/>
              <w:tabs>
                <w:tab w:val="left" w:pos="510"/>
                <w:tab w:val="left" w:pos="1531"/>
                <w:tab w:val="left" w:pos="1814"/>
              </w:tabs>
              <w:suppressAutoHyphens/>
              <w:autoSpaceDE w:val="0"/>
              <w:autoSpaceDN w:val="0"/>
              <w:adjustRightInd w:val="0"/>
              <w:spacing w:before="40" w:line="260" w:lineRule="atLeast"/>
              <w:ind w:left="1531" w:hanging="1418"/>
              <w:jc w:val="right"/>
              <w:textAlignment w:val="center"/>
              <w:rPr>
                <w:rFonts w:asciiTheme="majorBidi" w:hAnsiTheme="majorBidi" w:cstheme="majorBidi"/>
                <w:color w:val="000000"/>
                <w:sz w:val="20"/>
              </w:rPr>
            </w:pPr>
            <w:r w:rsidRPr="00440C55">
              <w:rPr>
                <w:rFonts w:asciiTheme="majorBidi" w:hAnsiTheme="majorBidi" w:cstheme="majorBidi"/>
                <w:color w:val="000000"/>
                <w:sz w:val="20"/>
              </w:rPr>
              <w:t>100.0</w:t>
            </w:r>
          </w:p>
        </w:tc>
        <w:tc>
          <w:tcPr>
            <w:tcW w:w="1417" w:type="dxa"/>
            <w:shd w:val="clear" w:color="auto" w:fill="auto"/>
            <w:vAlign w:val="bottom"/>
          </w:tcPr>
          <w:p w14:paraId="2534391D" w14:textId="5BBCE1DD" w:rsidR="007F3466" w:rsidRPr="00E55352" w:rsidRDefault="007F3466" w:rsidP="007F3466">
            <w:pPr>
              <w:widowControl w:val="0"/>
              <w:tabs>
                <w:tab w:val="left" w:pos="510"/>
                <w:tab w:val="left" w:pos="1531"/>
                <w:tab w:val="left" w:pos="1814"/>
              </w:tabs>
              <w:suppressAutoHyphens/>
              <w:autoSpaceDE w:val="0"/>
              <w:autoSpaceDN w:val="0"/>
              <w:adjustRightInd w:val="0"/>
              <w:spacing w:before="40" w:line="260" w:lineRule="atLeast"/>
              <w:ind w:left="1531" w:hanging="1418"/>
              <w:jc w:val="right"/>
              <w:textAlignment w:val="center"/>
              <w:rPr>
                <w:rFonts w:asciiTheme="majorBidi" w:hAnsiTheme="majorBidi" w:cstheme="majorBidi"/>
                <w:color w:val="000000"/>
                <w:sz w:val="20"/>
              </w:rPr>
            </w:pPr>
            <w:r w:rsidRPr="00440C55">
              <w:rPr>
                <w:rFonts w:asciiTheme="majorBidi" w:hAnsiTheme="majorBidi" w:cstheme="majorBidi"/>
                <w:color w:val="000000"/>
                <w:sz w:val="20"/>
              </w:rPr>
              <w:t>100.0</w:t>
            </w:r>
          </w:p>
        </w:tc>
      </w:tr>
      <w:tr w:rsidR="007F3466" w:rsidRPr="00E55352" w14:paraId="62845E20" w14:textId="77777777" w:rsidTr="005101BC">
        <w:trPr>
          <w:trHeight w:val="240"/>
        </w:trPr>
        <w:tc>
          <w:tcPr>
            <w:tcW w:w="4536" w:type="dxa"/>
            <w:shd w:val="clear" w:color="auto" w:fill="auto"/>
            <w:noWrap/>
            <w:vAlign w:val="bottom"/>
          </w:tcPr>
          <w:p w14:paraId="451C0ABE" w14:textId="3F59C353" w:rsidR="007F3466" w:rsidRPr="00E55352" w:rsidRDefault="007F3466" w:rsidP="007F3466">
            <w:pPr>
              <w:widowControl w:val="0"/>
              <w:tabs>
                <w:tab w:val="left" w:pos="510"/>
                <w:tab w:val="left" w:pos="1531"/>
                <w:tab w:val="left" w:pos="1814"/>
              </w:tabs>
              <w:suppressAutoHyphens/>
              <w:autoSpaceDE w:val="0"/>
              <w:autoSpaceDN w:val="0"/>
              <w:adjustRightInd w:val="0"/>
              <w:spacing w:before="40" w:line="260" w:lineRule="atLeast"/>
              <w:ind w:left="1418" w:right="113" w:hanging="1418"/>
              <w:textAlignment w:val="center"/>
              <w:rPr>
                <w:rFonts w:asciiTheme="majorBidi" w:eastAsia="Arial" w:hAnsiTheme="majorBidi" w:cstheme="majorBidi"/>
                <w:sz w:val="20"/>
              </w:rPr>
            </w:pPr>
            <w:r w:rsidRPr="00E55352">
              <w:rPr>
                <w:rFonts w:eastAsia="Arial"/>
                <w:sz w:val="20"/>
              </w:rPr>
              <w:t xml:space="preserve">AFI Project 6 </w:t>
            </w:r>
            <w:r w:rsidRPr="00E55352">
              <w:rPr>
                <w:rFonts w:asciiTheme="majorBidi" w:eastAsia="Arial" w:hAnsiTheme="majorBidi" w:cstheme="majorBidi"/>
                <w:sz w:val="20"/>
              </w:rPr>
              <w:t xml:space="preserve">Sp. z </w:t>
            </w:r>
            <w:proofErr w:type="spellStart"/>
            <w:r w:rsidRPr="00E55352">
              <w:rPr>
                <w:rFonts w:asciiTheme="majorBidi" w:eastAsia="Arial" w:hAnsiTheme="majorBidi" w:cstheme="majorBidi"/>
                <w:sz w:val="20"/>
              </w:rPr>
              <w:t>o.o</w:t>
            </w:r>
            <w:proofErr w:type="spellEnd"/>
            <w:r>
              <w:rPr>
                <w:rFonts w:asciiTheme="majorBidi" w:eastAsia="Arial" w:hAnsiTheme="majorBidi" w:cstheme="majorBidi"/>
                <w:sz w:val="20"/>
              </w:rPr>
              <w:t xml:space="preserve"> (4)</w:t>
            </w:r>
          </w:p>
        </w:tc>
        <w:tc>
          <w:tcPr>
            <w:tcW w:w="2268" w:type="dxa"/>
            <w:shd w:val="clear" w:color="auto" w:fill="auto"/>
            <w:vAlign w:val="bottom"/>
          </w:tcPr>
          <w:p w14:paraId="5FD4EFC4" w14:textId="27C5E7ED" w:rsidR="007F3466" w:rsidRPr="00E55352" w:rsidRDefault="007F3466" w:rsidP="007F3466">
            <w:pPr>
              <w:widowControl w:val="0"/>
              <w:tabs>
                <w:tab w:val="left" w:pos="510"/>
                <w:tab w:val="left" w:pos="1531"/>
                <w:tab w:val="left" w:pos="1814"/>
              </w:tabs>
              <w:suppressAutoHyphens/>
              <w:autoSpaceDE w:val="0"/>
              <w:autoSpaceDN w:val="0"/>
              <w:adjustRightInd w:val="0"/>
              <w:spacing w:before="40" w:line="260" w:lineRule="atLeast"/>
              <w:ind w:right="113"/>
              <w:textAlignment w:val="center"/>
              <w:rPr>
                <w:rFonts w:asciiTheme="majorBidi" w:hAnsiTheme="majorBidi" w:cstheme="majorBidi"/>
                <w:color w:val="000000"/>
                <w:sz w:val="20"/>
              </w:rPr>
            </w:pPr>
            <w:r w:rsidRPr="00E55352">
              <w:rPr>
                <w:color w:val="000000"/>
                <w:sz w:val="20"/>
              </w:rPr>
              <w:t>Poland</w:t>
            </w:r>
          </w:p>
        </w:tc>
        <w:tc>
          <w:tcPr>
            <w:tcW w:w="1417" w:type="dxa"/>
            <w:shd w:val="clear" w:color="auto" w:fill="auto"/>
            <w:vAlign w:val="bottom"/>
          </w:tcPr>
          <w:p w14:paraId="06FF1CC1" w14:textId="4C6CADE7" w:rsidR="007F3466" w:rsidRPr="00CD5E4D" w:rsidRDefault="007F3466" w:rsidP="007F3466">
            <w:pPr>
              <w:widowControl w:val="0"/>
              <w:tabs>
                <w:tab w:val="left" w:pos="510"/>
                <w:tab w:val="left" w:pos="1531"/>
                <w:tab w:val="left" w:pos="1814"/>
              </w:tabs>
              <w:suppressAutoHyphens/>
              <w:autoSpaceDE w:val="0"/>
              <w:autoSpaceDN w:val="0"/>
              <w:adjustRightInd w:val="0"/>
              <w:spacing w:before="40" w:line="260" w:lineRule="atLeast"/>
              <w:ind w:left="1531" w:hanging="1418"/>
              <w:jc w:val="right"/>
              <w:textAlignment w:val="center"/>
              <w:rPr>
                <w:rFonts w:asciiTheme="majorBidi" w:hAnsiTheme="majorBidi" w:cstheme="majorBidi"/>
                <w:color w:val="000000"/>
                <w:sz w:val="20"/>
              </w:rPr>
            </w:pPr>
            <w:r w:rsidRPr="00440C55">
              <w:rPr>
                <w:rFonts w:asciiTheme="majorBidi" w:hAnsiTheme="majorBidi" w:cstheme="majorBidi"/>
                <w:color w:val="000000"/>
                <w:sz w:val="20"/>
              </w:rPr>
              <w:t>100.0</w:t>
            </w:r>
          </w:p>
        </w:tc>
        <w:tc>
          <w:tcPr>
            <w:tcW w:w="1417" w:type="dxa"/>
            <w:shd w:val="clear" w:color="auto" w:fill="auto"/>
            <w:vAlign w:val="bottom"/>
          </w:tcPr>
          <w:p w14:paraId="03FED6D5" w14:textId="292EB992" w:rsidR="007F3466" w:rsidRPr="00E55352" w:rsidRDefault="007F3466" w:rsidP="007F3466">
            <w:pPr>
              <w:widowControl w:val="0"/>
              <w:tabs>
                <w:tab w:val="left" w:pos="510"/>
                <w:tab w:val="left" w:pos="1531"/>
                <w:tab w:val="left" w:pos="1814"/>
              </w:tabs>
              <w:suppressAutoHyphens/>
              <w:autoSpaceDE w:val="0"/>
              <w:autoSpaceDN w:val="0"/>
              <w:adjustRightInd w:val="0"/>
              <w:spacing w:before="40" w:line="260" w:lineRule="atLeast"/>
              <w:ind w:left="1531" w:hanging="1418"/>
              <w:jc w:val="right"/>
              <w:textAlignment w:val="center"/>
              <w:rPr>
                <w:rFonts w:asciiTheme="majorBidi" w:hAnsiTheme="majorBidi" w:cstheme="majorBidi"/>
                <w:color w:val="000000"/>
                <w:sz w:val="20"/>
              </w:rPr>
            </w:pPr>
            <w:r w:rsidRPr="00440C55">
              <w:rPr>
                <w:rFonts w:asciiTheme="majorBidi" w:hAnsiTheme="majorBidi" w:cstheme="majorBidi"/>
                <w:color w:val="000000"/>
                <w:sz w:val="20"/>
              </w:rPr>
              <w:t>100.0</w:t>
            </w:r>
          </w:p>
        </w:tc>
      </w:tr>
      <w:tr w:rsidR="007F3466" w:rsidRPr="00E55352" w14:paraId="4CBB3129" w14:textId="77777777" w:rsidTr="005101BC">
        <w:trPr>
          <w:trHeight w:val="240"/>
        </w:trPr>
        <w:tc>
          <w:tcPr>
            <w:tcW w:w="4536" w:type="dxa"/>
            <w:shd w:val="clear" w:color="auto" w:fill="auto"/>
            <w:noWrap/>
            <w:vAlign w:val="bottom"/>
          </w:tcPr>
          <w:p w14:paraId="0B1BED09" w14:textId="71A70F4E" w:rsidR="007F3466" w:rsidRPr="00E55352" w:rsidRDefault="007F3466" w:rsidP="007F3466">
            <w:pPr>
              <w:widowControl w:val="0"/>
              <w:tabs>
                <w:tab w:val="left" w:pos="510"/>
                <w:tab w:val="left" w:pos="1531"/>
                <w:tab w:val="left" w:pos="1814"/>
              </w:tabs>
              <w:suppressAutoHyphens/>
              <w:autoSpaceDE w:val="0"/>
              <w:autoSpaceDN w:val="0"/>
              <w:adjustRightInd w:val="0"/>
              <w:spacing w:before="40" w:line="260" w:lineRule="atLeast"/>
              <w:ind w:left="1418" w:right="113" w:hanging="1418"/>
              <w:textAlignment w:val="center"/>
              <w:rPr>
                <w:rFonts w:asciiTheme="majorBidi" w:eastAsia="Arial" w:hAnsiTheme="majorBidi" w:cstheme="majorBidi"/>
                <w:sz w:val="20"/>
              </w:rPr>
            </w:pPr>
            <w:r w:rsidRPr="00E55352">
              <w:rPr>
                <w:rFonts w:eastAsia="Arial"/>
                <w:sz w:val="20"/>
              </w:rPr>
              <w:t xml:space="preserve">AFI Project 7 </w:t>
            </w:r>
            <w:r w:rsidRPr="00E55352">
              <w:rPr>
                <w:rFonts w:asciiTheme="majorBidi" w:eastAsia="Arial" w:hAnsiTheme="majorBidi" w:cstheme="majorBidi"/>
                <w:sz w:val="20"/>
              </w:rPr>
              <w:t xml:space="preserve">Sp. z </w:t>
            </w:r>
            <w:proofErr w:type="spellStart"/>
            <w:r w:rsidRPr="00E55352">
              <w:rPr>
                <w:rFonts w:asciiTheme="majorBidi" w:eastAsia="Arial" w:hAnsiTheme="majorBidi" w:cstheme="majorBidi"/>
                <w:sz w:val="20"/>
              </w:rPr>
              <w:t>o.o</w:t>
            </w:r>
            <w:proofErr w:type="spellEnd"/>
            <w:r>
              <w:rPr>
                <w:rFonts w:asciiTheme="majorBidi" w:eastAsia="Arial" w:hAnsiTheme="majorBidi" w:cstheme="majorBidi"/>
                <w:sz w:val="20"/>
              </w:rPr>
              <w:t xml:space="preserve"> (7)</w:t>
            </w:r>
          </w:p>
        </w:tc>
        <w:tc>
          <w:tcPr>
            <w:tcW w:w="2268" w:type="dxa"/>
            <w:shd w:val="clear" w:color="auto" w:fill="auto"/>
            <w:vAlign w:val="bottom"/>
          </w:tcPr>
          <w:p w14:paraId="49612BF7" w14:textId="6350E18A" w:rsidR="007F3466" w:rsidRPr="00E55352" w:rsidRDefault="007F3466" w:rsidP="007F3466">
            <w:pPr>
              <w:widowControl w:val="0"/>
              <w:tabs>
                <w:tab w:val="left" w:pos="510"/>
                <w:tab w:val="left" w:pos="1531"/>
                <w:tab w:val="left" w:pos="1814"/>
              </w:tabs>
              <w:suppressAutoHyphens/>
              <w:autoSpaceDE w:val="0"/>
              <w:autoSpaceDN w:val="0"/>
              <w:adjustRightInd w:val="0"/>
              <w:spacing w:before="40" w:line="260" w:lineRule="atLeast"/>
              <w:ind w:right="113"/>
              <w:textAlignment w:val="center"/>
              <w:rPr>
                <w:rFonts w:asciiTheme="majorBidi" w:hAnsiTheme="majorBidi" w:cstheme="majorBidi"/>
                <w:color w:val="000000"/>
                <w:sz w:val="20"/>
              </w:rPr>
            </w:pPr>
            <w:r w:rsidRPr="00E55352">
              <w:rPr>
                <w:color w:val="000000"/>
                <w:sz w:val="20"/>
              </w:rPr>
              <w:t>Poland</w:t>
            </w:r>
          </w:p>
        </w:tc>
        <w:tc>
          <w:tcPr>
            <w:tcW w:w="1417" w:type="dxa"/>
            <w:shd w:val="clear" w:color="auto" w:fill="auto"/>
            <w:vAlign w:val="bottom"/>
          </w:tcPr>
          <w:p w14:paraId="2FE07753" w14:textId="00584F7D" w:rsidR="007F3466" w:rsidRPr="00CD5E4D" w:rsidRDefault="007F3466" w:rsidP="007F3466">
            <w:pPr>
              <w:widowControl w:val="0"/>
              <w:tabs>
                <w:tab w:val="left" w:pos="510"/>
                <w:tab w:val="left" w:pos="1531"/>
                <w:tab w:val="left" w:pos="1814"/>
              </w:tabs>
              <w:suppressAutoHyphens/>
              <w:autoSpaceDE w:val="0"/>
              <w:autoSpaceDN w:val="0"/>
              <w:adjustRightInd w:val="0"/>
              <w:spacing w:before="40" w:line="260" w:lineRule="atLeast"/>
              <w:ind w:left="1531" w:hanging="1418"/>
              <w:jc w:val="right"/>
              <w:textAlignment w:val="center"/>
              <w:rPr>
                <w:rFonts w:asciiTheme="majorBidi" w:hAnsiTheme="majorBidi" w:cstheme="majorBidi"/>
                <w:color w:val="000000"/>
                <w:sz w:val="20"/>
              </w:rPr>
            </w:pPr>
            <w:r w:rsidRPr="00440C55">
              <w:rPr>
                <w:rFonts w:asciiTheme="majorBidi" w:hAnsiTheme="majorBidi" w:cstheme="majorBidi"/>
                <w:color w:val="000000"/>
                <w:sz w:val="20"/>
              </w:rPr>
              <w:t>100.0</w:t>
            </w:r>
          </w:p>
        </w:tc>
        <w:tc>
          <w:tcPr>
            <w:tcW w:w="1417" w:type="dxa"/>
            <w:shd w:val="clear" w:color="auto" w:fill="auto"/>
            <w:vAlign w:val="bottom"/>
          </w:tcPr>
          <w:p w14:paraId="514E87C3" w14:textId="76B57E8D" w:rsidR="007F3466" w:rsidRPr="00E55352" w:rsidRDefault="007F3466" w:rsidP="007F3466">
            <w:pPr>
              <w:widowControl w:val="0"/>
              <w:tabs>
                <w:tab w:val="left" w:pos="510"/>
                <w:tab w:val="left" w:pos="1531"/>
                <w:tab w:val="left" w:pos="1814"/>
              </w:tabs>
              <w:suppressAutoHyphens/>
              <w:autoSpaceDE w:val="0"/>
              <w:autoSpaceDN w:val="0"/>
              <w:adjustRightInd w:val="0"/>
              <w:spacing w:before="40" w:line="260" w:lineRule="atLeast"/>
              <w:ind w:left="1531" w:hanging="1418"/>
              <w:jc w:val="right"/>
              <w:textAlignment w:val="center"/>
              <w:rPr>
                <w:rFonts w:asciiTheme="majorBidi" w:hAnsiTheme="majorBidi" w:cstheme="majorBidi"/>
                <w:color w:val="000000"/>
                <w:sz w:val="20"/>
              </w:rPr>
            </w:pPr>
            <w:r w:rsidRPr="00440C55">
              <w:rPr>
                <w:rFonts w:asciiTheme="majorBidi" w:hAnsiTheme="majorBidi" w:cstheme="majorBidi"/>
                <w:color w:val="000000"/>
                <w:sz w:val="20"/>
              </w:rPr>
              <w:t>100.0</w:t>
            </w:r>
          </w:p>
        </w:tc>
      </w:tr>
      <w:tr w:rsidR="007F3466" w:rsidRPr="00E55352" w14:paraId="32822AD7" w14:textId="77777777" w:rsidTr="005101BC">
        <w:trPr>
          <w:trHeight w:val="240"/>
        </w:trPr>
        <w:tc>
          <w:tcPr>
            <w:tcW w:w="4536" w:type="dxa"/>
            <w:shd w:val="clear" w:color="auto" w:fill="auto"/>
            <w:noWrap/>
            <w:vAlign w:val="bottom"/>
          </w:tcPr>
          <w:p w14:paraId="4459CC42" w14:textId="31032078" w:rsidR="007F3466" w:rsidRPr="00E55352" w:rsidRDefault="007F3466" w:rsidP="007F3466">
            <w:pPr>
              <w:widowControl w:val="0"/>
              <w:tabs>
                <w:tab w:val="left" w:pos="510"/>
                <w:tab w:val="left" w:pos="1531"/>
                <w:tab w:val="left" w:pos="1814"/>
              </w:tabs>
              <w:suppressAutoHyphens/>
              <w:autoSpaceDE w:val="0"/>
              <w:autoSpaceDN w:val="0"/>
              <w:adjustRightInd w:val="0"/>
              <w:spacing w:before="40" w:line="260" w:lineRule="atLeast"/>
              <w:ind w:left="1418" w:right="113" w:hanging="1418"/>
              <w:textAlignment w:val="center"/>
              <w:rPr>
                <w:rFonts w:asciiTheme="majorBidi" w:eastAsia="Arial" w:hAnsiTheme="majorBidi" w:cstheme="majorBidi"/>
                <w:sz w:val="20"/>
              </w:rPr>
            </w:pPr>
            <w:r w:rsidRPr="00E55352">
              <w:rPr>
                <w:rFonts w:eastAsia="Arial"/>
                <w:sz w:val="20"/>
              </w:rPr>
              <w:t xml:space="preserve">AFI Project </w:t>
            </w:r>
            <w:r>
              <w:rPr>
                <w:rFonts w:eastAsia="Arial"/>
                <w:sz w:val="20"/>
              </w:rPr>
              <w:t>8</w:t>
            </w:r>
            <w:r w:rsidRPr="00E55352">
              <w:rPr>
                <w:rFonts w:eastAsia="Arial"/>
                <w:sz w:val="20"/>
              </w:rPr>
              <w:t xml:space="preserve"> </w:t>
            </w:r>
            <w:r w:rsidRPr="00E55352">
              <w:rPr>
                <w:rFonts w:asciiTheme="majorBidi" w:eastAsia="Arial" w:hAnsiTheme="majorBidi" w:cstheme="majorBidi"/>
                <w:sz w:val="20"/>
              </w:rPr>
              <w:t xml:space="preserve">Sp. z </w:t>
            </w:r>
            <w:proofErr w:type="spellStart"/>
            <w:r w:rsidRPr="00E55352">
              <w:rPr>
                <w:rFonts w:asciiTheme="majorBidi" w:eastAsia="Arial" w:hAnsiTheme="majorBidi" w:cstheme="majorBidi"/>
                <w:sz w:val="20"/>
              </w:rPr>
              <w:t>o.o</w:t>
            </w:r>
            <w:proofErr w:type="spellEnd"/>
            <w:r>
              <w:rPr>
                <w:rFonts w:asciiTheme="majorBidi" w:eastAsia="Arial" w:hAnsiTheme="majorBidi" w:cstheme="majorBidi"/>
                <w:sz w:val="20"/>
              </w:rPr>
              <w:t xml:space="preserve"> (7)</w:t>
            </w:r>
          </w:p>
        </w:tc>
        <w:tc>
          <w:tcPr>
            <w:tcW w:w="2268" w:type="dxa"/>
            <w:shd w:val="clear" w:color="auto" w:fill="auto"/>
            <w:vAlign w:val="bottom"/>
          </w:tcPr>
          <w:p w14:paraId="43FDDC10" w14:textId="661A215E" w:rsidR="007F3466" w:rsidRPr="00E55352" w:rsidRDefault="007F3466" w:rsidP="007F3466">
            <w:pPr>
              <w:widowControl w:val="0"/>
              <w:tabs>
                <w:tab w:val="left" w:pos="510"/>
                <w:tab w:val="left" w:pos="1531"/>
                <w:tab w:val="left" w:pos="1814"/>
              </w:tabs>
              <w:suppressAutoHyphens/>
              <w:autoSpaceDE w:val="0"/>
              <w:autoSpaceDN w:val="0"/>
              <w:adjustRightInd w:val="0"/>
              <w:spacing w:before="40" w:line="260" w:lineRule="atLeast"/>
              <w:ind w:right="113"/>
              <w:textAlignment w:val="center"/>
              <w:rPr>
                <w:rFonts w:asciiTheme="majorBidi" w:hAnsiTheme="majorBidi" w:cstheme="majorBidi"/>
                <w:color w:val="000000"/>
                <w:sz w:val="20"/>
              </w:rPr>
            </w:pPr>
            <w:r w:rsidRPr="00E55352">
              <w:rPr>
                <w:color w:val="000000"/>
                <w:sz w:val="20"/>
              </w:rPr>
              <w:t>Poland</w:t>
            </w:r>
          </w:p>
        </w:tc>
        <w:tc>
          <w:tcPr>
            <w:tcW w:w="1417" w:type="dxa"/>
            <w:shd w:val="clear" w:color="auto" w:fill="auto"/>
            <w:vAlign w:val="bottom"/>
          </w:tcPr>
          <w:p w14:paraId="7CF034B7" w14:textId="56EE1659" w:rsidR="007F3466" w:rsidRPr="00CD5E4D" w:rsidRDefault="007F3466" w:rsidP="007F3466">
            <w:pPr>
              <w:widowControl w:val="0"/>
              <w:tabs>
                <w:tab w:val="left" w:pos="510"/>
                <w:tab w:val="left" w:pos="1531"/>
                <w:tab w:val="left" w:pos="1814"/>
              </w:tabs>
              <w:suppressAutoHyphens/>
              <w:autoSpaceDE w:val="0"/>
              <w:autoSpaceDN w:val="0"/>
              <w:adjustRightInd w:val="0"/>
              <w:spacing w:before="40" w:line="260" w:lineRule="atLeast"/>
              <w:ind w:left="1531" w:hanging="1418"/>
              <w:jc w:val="right"/>
              <w:textAlignment w:val="center"/>
              <w:rPr>
                <w:rFonts w:asciiTheme="majorBidi" w:hAnsiTheme="majorBidi" w:cstheme="majorBidi"/>
                <w:color w:val="000000"/>
                <w:sz w:val="20"/>
              </w:rPr>
            </w:pPr>
            <w:r w:rsidRPr="00440C55">
              <w:rPr>
                <w:rFonts w:asciiTheme="majorBidi" w:hAnsiTheme="majorBidi" w:cstheme="majorBidi"/>
                <w:color w:val="000000"/>
                <w:sz w:val="20"/>
              </w:rPr>
              <w:t>100.0</w:t>
            </w:r>
          </w:p>
        </w:tc>
        <w:tc>
          <w:tcPr>
            <w:tcW w:w="1417" w:type="dxa"/>
            <w:shd w:val="clear" w:color="auto" w:fill="auto"/>
            <w:vAlign w:val="bottom"/>
          </w:tcPr>
          <w:p w14:paraId="262347B1" w14:textId="382F0914" w:rsidR="007F3466" w:rsidRPr="00E55352" w:rsidRDefault="007F3466" w:rsidP="007F3466">
            <w:pPr>
              <w:widowControl w:val="0"/>
              <w:tabs>
                <w:tab w:val="left" w:pos="510"/>
                <w:tab w:val="left" w:pos="1531"/>
                <w:tab w:val="left" w:pos="1814"/>
              </w:tabs>
              <w:suppressAutoHyphens/>
              <w:autoSpaceDE w:val="0"/>
              <w:autoSpaceDN w:val="0"/>
              <w:adjustRightInd w:val="0"/>
              <w:spacing w:before="40" w:line="260" w:lineRule="atLeast"/>
              <w:ind w:left="1531" w:hanging="1418"/>
              <w:jc w:val="right"/>
              <w:textAlignment w:val="center"/>
              <w:rPr>
                <w:rFonts w:asciiTheme="majorBidi" w:hAnsiTheme="majorBidi" w:cstheme="majorBidi"/>
                <w:color w:val="000000"/>
                <w:sz w:val="20"/>
              </w:rPr>
            </w:pPr>
            <w:r w:rsidRPr="00440C55">
              <w:rPr>
                <w:rFonts w:asciiTheme="majorBidi" w:hAnsiTheme="majorBidi" w:cstheme="majorBidi"/>
                <w:color w:val="000000"/>
                <w:sz w:val="20"/>
              </w:rPr>
              <w:t>100.0</w:t>
            </w:r>
          </w:p>
        </w:tc>
      </w:tr>
      <w:tr w:rsidR="007F3466" w:rsidRPr="00CD5E4D" w14:paraId="63932A54" w14:textId="77777777" w:rsidTr="005101BC">
        <w:trPr>
          <w:trHeight w:val="240"/>
        </w:trPr>
        <w:tc>
          <w:tcPr>
            <w:tcW w:w="4536" w:type="dxa"/>
            <w:shd w:val="clear" w:color="auto" w:fill="auto"/>
            <w:noWrap/>
            <w:vAlign w:val="bottom"/>
          </w:tcPr>
          <w:p w14:paraId="237C88C7" w14:textId="4DEC875D" w:rsidR="007F3466" w:rsidRPr="007A4AEE" w:rsidRDefault="007F3466" w:rsidP="007F3466">
            <w:pPr>
              <w:widowControl w:val="0"/>
              <w:tabs>
                <w:tab w:val="left" w:pos="510"/>
                <w:tab w:val="left" w:pos="1531"/>
                <w:tab w:val="left" w:pos="1814"/>
              </w:tabs>
              <w:suppressAutoHyphens/>
              <w:autoSpaceDE w:val="0"/>
              <w:autoSpaceDN w:val="0"/>
              <w:adjustRightInd w:val="0"/>
              <w:spacing w:before="40" w:line="260" w:lineRule="atLeast"/>
              <w:ind w:left="1418" w:right="113" w:hanging="1418"/>
              <w:textAlignment w:val="center"/>
              <w:rPr>
                <w:rFonts w:eastAsia="Arial"/>
                <w:sz w:val="20"/>
              </w:rPr>
            </w:pPr>
            <w:r w:rsidRPr="00E55352">
              <w:rPr>
                <w:rFonts w:eastAsia="Arial"/>
                <w:sz w:val="20"/>
              </w:rPr>
              <w:t xml:space="preserve">AFI Project </w:t>
            </w:r>
            <w:r>
              <w:rPr>
                <w:rFonts w:eastAsia="Arial"/>
                <w:sz w:val="20"/>
              </w:rPr>
              <w:t>9</w:t>
            </w:r>
            <w:r w:rsidRPr="00E55352">
              <w:rPr>
                <w:rFonts w:eastAsia="Arial"/>
                <w:sz w:val="20"/>
              </w:rPr>
              <w:t xml:space="preserve"> </w:t>
            </w:r>
            <w:r w:rsidRPr="007A4AEE">
              <w:rPr>
                <w:rFonts w:eastAsia="Arial"/>
                <w:sz w:val="20"/>
              </w:rPr>
              <w:t xml:space="preserve">Sp. z </w:t>
            </w:r>
            <w:proofErr w:type="spellStart"/>
            <w:r w:rsidRPr="007A4AEE">
              <w:rPr>
                <w:rFonts w:eastAsia="Arial"/>
                <w:sz w:val="20"/>
              </w:rPr>
              <w:t>o.o</w:t>
            </w:r>
            <w:proofErr w:type="spellEnd"/>
            <w:r w:rsidR="002365DE">
              <w:rPr>
                <w:rFonts w:eastAsia="Arial"/>
                <w:sz w:val="20"/>
              </w:rPr>
              <w:t xml:space="preserve"> (4)</w:t>
            </w:r>
          </w:p>
        </w:tc>
        <w:tc>
          <w:tcPr>
            <w:tcW w:w="2268" w:type="dxa"/>
            <w:shd w:val="clear" w:color="auto" w:fill="auto"/>
            <w:vAlign w:val="bottom"/>
          </w:tcPr>
          <w:p w14:paraId="7B981208" w14:textId="77777777" w:rsidR="007F3466" w:rsidRPr="00E55352" w:rsidRDefault="007F3466" w:rsidP="007F3466">
            <w:pPr>
              <w:widowControl w:val="0"/>
              <w:tabs>
                <w:tab w:val="left" w:pos="510"/>
                <w:tab w:val="left" w:pos="1531"/>
                <w:tab w:val="left" w:pos="1814"/>
              </w:tabs>
              <w:suppressAutoHyphens/>
              <w:autoSpaceDE w:val="0"/>
              <w:autoSpaceDN w:val="0"/>
              <w:adjustRightInd w:val="0"/>
              <w:spacing w:before="40" w:line="260" w:lineRule="atLeast"/>
              <w:ind w:right="113"/>
              <w:textAlignment w:val="center"/>
              <w:rPr>
                <w:color w:val="000000"/>
                <w:sz w:val="20"/>
              </w:rPr>
            </w:pPr>
            <w:r w:rsidRPr="00E55352">
              <w:rPr>
                <w:color w:val="000000"/>
                <w:sz w:val="20"/>
              </w:rPr>
              <w:t>Poland</w:t>
            </w:r>
          </w:p>
        </w:tc>
        <w:tc>
          <w:tcPr>
            <w:tcW w:w="1417" w:type="dxa"/>
            <w:shd w:val="clear" w:color="auto" w:fill="auto"/>
            <w:vAlign w:val="bottom"/>
          </w:tcPr>
          <w:p w14:paraId="13F8B1A6" w14:textId="77777777" w:rsidR="007F3466" w:rsidRPr="007A4AEE" w:rsidRDefault="007F3466" w:rsidP="007F3466">
            <w:pPr>
              <w:widowControl w:val="0"/>
              <w:tabs>
                <w:tab w:val="left" w:pos="510"/>
                <w:tab w:val="left" w:pos="1531"/>
                <w:tab w:val="left" w:pos="1814"/>
              </w:tabs>
              <w:suppressAutoHyphens/>
              <w:autoSpaceDE w:val="0"/>
              <w:autoSpaceDN w:val="0"/>
              <w:adjustRightInd w:val="0"/>
              <w:spacing w:before="40" w:line="260" w:lineRule="atLeast"/>
              <w:ind w:left="1531" w:hanging="1418"/>
              <w:jc w:val="right"/>
              <w:textAlignment w:val="center"/>
              <w:rPr>
                <w:rFonts w:asciiTheme="majorBidi" w:hAnsiTheme="majorBidi" w:cstheme="majorBidi"/>
                <w:color w:val="000000"/>
                <w:sz w:val="20"/>
              </w:rPr>
            </w:pPr>
            <w:r w:rsidRPr="00440C55">
              <w:rPr>
                <w:rFonts w:asciiTheme="majorBidi" w:hAnsiTheme="majorBidi" w:cstheme="majorBidi"/>
                <w:color w:val="000000"/>
                <w:sz w:val="20"/>
              </w:rPr>
              <w:t>100.0</w:t>
            </w:r>
          </w:p>
        </w:tc>
        <w:tc>
          <w:tcPr>
            <w:tcW w:w="1417" w:type="dxa"/>
            <w:shd w:val="clear" w:color="auto" w:fill="auto"/>
            <w:vAlign w:val="bottom"/>
          </w:tcPr>
          <w:p w14:paraId="46C3E0C8" w14:textId="77777777" w:rsidR="007F3466" w:rsidRPr="007A4AEE" w:rsidRDefault="007F3466" w:rsidP="007F3466">
            <w:pPr>
              <w:widowControl w:val="0"/>
              <w:tabs>
                <w:tab w:val="left" w:pos="510"/>
                <w:tab w:val="left" w:pos="1531"/>
                <w:tab w:val="left" w:pos="1814"/>
              </w:tabs>
              <w:suppressAutoHyphens/>
              <w:autoSpaceDE w:val="0"/>
              <w:autoSpaceDN w:val="0"/>
              <w:adjustRightInd w:val="0"/>
              <w:spacing w:before="40" w:line="260" w:lineRule="atLeast"/>
              <w:ind w:left="1531" w:hanging="1418"/>
              <w:jc w:val="right"/>
              <w:textAlignment w:val="center"/>
              <w:rPr>
                <w:rFonts w:asciiTheme="majorBidi" w:hAnsiTheme="majorBidi" w:cstheme="majorBidi"/>
                <w:color w:val="000000"/>
                <w:sz w:val="20"/>
              </w:rPr>
            </w:pPr>
            <w:r w:rsidRPr="00440C55">
              <w:rPr>
                <w:rFonts w:asciiTheme="majorBidi" w:hAnsiTheme="majorBidi" w:cstheme="majorBidi"/>
                <w:color w:val="000000"/>
                <w:sz w:val="20"/>
              </w:rPr>
              <w:t>100.0</w:t>
            </w:r>
          </w:p>
        </w:tc>
      </w:tr>
      <w:tr w:rsidR="007F3466" w:rsidRPr="00CD5E4D" w14:paraId="637E7BED" w14:textId="77777777" w:rsidTr="005101BC">
        <w:trPr>
          <w:trHeight w:val="240"/>
        </w:trPr>
        <w:tc>
          <w:tcPr>
            <w:tcW w:w="4536" w:type="dxa"/>
            <w:shd w:val="clear" w:color="auto" w:fill="auto"/>
            <w:noWrap/>
            <w:vAlign w:val="bottom"/>
          </w:tcPr>
          <w:p w14:paraId="1FCBB1E8" w14:textId="20A3F1B8" w:rsidR="007F3466" w:rsidRPr="007A4AEE" w:rsidRDefault="007F3466" w:rsidP="007F3466">
            <w:pPr>
              <w:widowControl w:val="0"/>
              <w:tabs>
                <w:tab w:val="left" w:pos="510"/>
                <w:tab w:val="left" w:pos="1531"/>
                <w:tab w:val="left" w:pos="1814"/>
              </w:tabs>
              <w:suppressAutoHyphens/>
              <w:autoSpaceDE w:val="0"/>
              <w:autoSpaceDN w:val="0"/>
              <w:adjustRightInd w:val="0"/>
              <w:spacing w:before="40" w:line="260" w:lineRule="atLeast"/>
              <w:ind w:left="1418" w:right="113" w:hanging="1418"/>
              <w:textAlignment w:val="center"/>
              <w:rPr>
                <w:rFonts w:eastAsia="Arial"/>
                <w:sz w:val="20"/>
              </w:rPr>
            </w:pPr>
            <w:r w:rsidRPr="00E55352">
              <w:rPr>
                <w:rFonts w:eastAsia="Arial"/>
                <w:sz w:val="20"/>
              </w:rPr>
              <w:t xml:space="preserve">AFI Project </w:t>
            </w:r>
            <w:r>
              <w:rPr>
                <w:rFonts w:eastAsia="Arial"/>
                <w:sz w:val="20"/>
              </w:rPr>
              <w:t>10</w:t>
            </w:r>
            <w:r w:rsidRPr="00E55352">
              <w:rPr>
                <w:rFonts w:eastAsia="Arial"/>
                <w:sz w:val="20"/>
              </w:rPr>
              <w:t xml:space="preserve"> </w:t>
            </w:r>
            <w:r w:rsidRPr="007A4AEE">
              <w:rPr>
                <w:rFonts w:eastAsia="Arial"/>
                <w:sz w:val="20"/>
              </w:rPr>
              <w:t xml:space="preserve">Sp. z </w:t>
            </w:r>
            <w:proofErr w:type="spellStart"/>
            <w:r w:rsidRPr="007A4AEE">
              <w:rPr>
                <w:rFonts w:eastAsia="Arial"/>
                <w:sz w:val="20"/>
              </w:rPr>
              <w:t>o.o</w:t>
            </w:r>
            <w:proofErr w:type="spellEnd"/>
            <w:r w:rsidRPr="007A4AEE">
              <w:rPr>
                <w:rFonts w:eastAsia="Arial"/>
                <w:sz w:val="20"/>
              </w:rPr>
              <w:t xml:space="preserve"> </w:t>
            </w:r>
            <w:r>
              <w:rPr>
                <w:rFonts w:eastAsia="Arial"/>
                <w:sz w:val="20"/>
              </w:rPr>
              <w:t>(4)</w:t>
            </w:r>
          </w:p>
        </w:tc>
        <w:tc>
          <w:tcPr>
            <w:tcW w:w="2268" w:type="dxa"/>
            <w:shd w:val="clear" w:color="auto" w:fill="auto"/>
            <w:vAlign w:val="bottom"/>
          </w:tcPr>
          <w:p w14:paraId="6474DF81" w14:textId="77777777" w:rsidR="007F3466" w:rsidRPr="00E55352" w:rsidRDefault="007F3466" w:rsidP="007F3466">
            <w:pPr>
              <w:widowControl w:val="0"/>
              <w:tabs>
                <w:tab w:val="left" w:pos="510"/>
                <w:tab w:val="left" w:pos="1531"/>
                <w:tab w:val="left" w:pos="1814"/>
              </w:tabs>
              <w:suppressAutoHyphens/>
              <w:autoSpaceDE w:val="0"/>
              <w:autoSpaceDN w:val="0"/>
              <w:adjustRightInd w:val="0"/>
              <w:spacing w:before="40" w:line="260" w:lineRule="atLeast"/>
              <w:ind w:right="113"/>
              <w:textAlignment w:val="center"/>
              <w:rPr>
                <w:color w:val="000000"/>
                <w:sz w:val="20"/>
              </w:rPr>
            </w:pPr>
            <w:r w:rsidRPr="00E55352">
              <w:rPr>
                <w:color w:val="000000"/>
                <w:sz w:val="20"/>
              </w:rPr>
              <w:t>Poland</w:t>
            </w:r>
          </w:p>
        </w:tc>
        <w:tc>
          <w:tcPr>
            <w:tcW w:w="1417" w:type="dxa"/>
            <w:shd w:val="clear" w:color="auto" w:fill="auto"/>
            <w:vAlign w:val="bottom"/>
          </w:tcPr>
          <w:p w14:paraId="72AF49FA" w14:textId="77777777" w:rsidR="007F3466" w:rsidRPr="007A4AEE" w:rsidDel="00FD0AE5" w:rsidRDefault="007F3466" w:rsidP="007F3466">
            <w:pPr>
              <w:widowControl w:val="0"/>
              <w:tabs>
                <w:tab w:val="left" w:pos="510"/>
                <w:tab w:val="left" w:pos="1531"/>
                <w:tab w:val="left" w:pos="1814"/>
              </w:tabs>
              <w:suppressAutoHyphens/>
              <w:autoSpaceDE w:val="0"/>
              <w:autoSpaceDN w:val="0"/>
              <w:adjustRightInd w:val="0"/>
              <w:spacing w:before="40" w:line="260" w:lineRule="atLeast"/>
              <w:ind w:left="1531" w:hanging="1418"/>
              <w:jc w:val="right"/>
              <w:textAlignment w:val="center"/>
              <w:rPr>
                <w:rFonts w:asciiTheme="majorBidi" w:hAnsiTheme="majorBidi" w:cstheme="majorBidi"/>
                <w:color w:val="000000"/>
                <w:sz w:val="20"/>
              </w:rPr>
            </w:pPr>
            <w:r w:rsidRPr="00440C55">
              <w:rPr>
                <w:rFonts w:asciiTheme="majorBidi" w:hAnsiTheme="majorBidi" w:cstheme="majorBidi"/>
                <w:color w:val="000000"/>
                <w:sz w:val="20"/>
              </w:rPr>
              <w:t>100.0</w:t>
            </w:r>
          </w:p>
        </w:tc>
        <w:tc>
          <w:tcPr>
            <w:tcW w:w="1417" w:type="dxa"/>
            <w:shd w:val="clear" w:color="auto" w:fill="auto"/>
            <w:vAlign w:val="bottom"/>
          </w:tcPr>
          <w:p w14:paraId="49B5EE29" w14:textId="77777777" w:rsidR="007F3466" w:rsidRPr="007A4AEE" w:rsidRDefault="007F3466" w:rsidP="007F3466">
            <w:pPr>
              <w:widowControl w:val="0"/>
              <w:tabs>
                <w:tab w:val="left" w:pos="510"/>
                <w:tab w:val="left" w:pos="1531"/>
                <w:tab w:val="left" w:pos="1814"/>
              </w:tabs>
              <w:suppressAutoHyphens/>
              <w:autoSpaceDE w:val="0"/>
              <w:autoSpaceDN w:val="0"/>
              <w:adjustRightInd w:val="0"/>
              <w:spacing w:before="40" w:line="260" w:lineRule="atLeast"/>
              <w:ind w:left="1531" w:hanging="1418"/>
              <w:jc w:val="right"/>
              <w:textAlignment w:val="center"/>
              <w:rPr>
                <w:rFonts w:asciiTheme="majorBidi" w:hAnsiTheme="majorBidi" w:cstheme="majorBidi"/>
                <w:color w:val="000000"/>
                <w:sz w:val="20"/>
              </w:rPr>
            </w:pPr>
            <w:r w:rsidRPr="00440C55">
              <w:rPr>
                <w:rFonts w:asciiTheme="majorBidi" w:hAnsiTheme="majorBidi" w:cstheme="majorBidi"/>
                <w:color w:val="000000"/>
                <w:sz w:val="20"/>
              </w:rPr>
              <w:t>100.0</w:t>
            </w:r>
          </w:p>
        </w:tc>
      </w:tr>
      <w:tr w:rsidR="007F3466" w:rsidRPr="00CD5E4D" w14:paraId="11492E13" w14:textId="77777777" w:rsidTr="005101BC">
        <w:trPr>
          <w:trHeight w:val="240"/>
        </w:trPr>
        <w:tc>
          <w:tcPr>
            <w:tcW w:w="4536" w:type="dxa"/>
            <w:shd w:val="clear" w:color="auto" w:fill="auto"/>
            <w:noWrap/>
            <w:vAlign w:val="bottom"/>
          </w:tcPr>
          <w:p w14:paraId="0665158F" w14:textId="1DCA3F3F" w:rsidR="007F3466" w:rsidRPr="007A4AEE" w:rsidRDefault="007F3466" w:rsidP="007F3466">
            <w:pPr>
              <w:widowControl w:val="0"/>
              <w:tabs>
                <w:tab w:val="left" w:pos="510"/>
                <w:tab w:val="left" w:pos="1531"/>
                <w:tab w:val="left" w:pos="1814"/>
              </w:tabs>
              <w:suppressAutoHyphens/>
              <w:autoSpaceDE w:val="0"/>
              <w:autoSpaceDN w:val="0"/>
              <w:adjustRightInd w:val="0"/>
              <w:spacing w:before="40" w:line="260" w:lineRule="atLeast"/>
              <w:ind w:left="1418" w:right="113" w:hanging="1418"/>
              <w:textAlignment w:val="center"/>
              <w:rPr>
                <w:rFonts w:eastAsia="Arial"/>
                <w:sz w:val="20"/>
              </w:rPr>
            </w:pPr>
            <w:r w:rsidRPr="00E55352">
              <w:rPr>
                <w:rFonts w:eastAsia="Arial"/>
                <w:sz w:val="20"/>
              </w:rPr>
              <w:t xml:space="preserve">AFI Project </w:t>
            </w:r>
            <w:r>
              <w:rPr>
                <w:rFonts w:eastAsia="Arial"/>
                <w:sz w:val="20"/>
              </w:rPr>
              <w:t>11</w:t>
            </w:r>
            <w:r w:rsidRPr="00E55352">
              <w:rPr>
                <w:rFonts w:eastAsia="Arial"/>
                <w:sz w:val="20"/>
              </w:rPr>
              <w:t xml:space="preserve"> </w:t>
            </w:r>
            <w:r w:rsidRPr="007A4AEE">
              <w:rPr>
                <w:rFonts w:eastAsia="Arial"/>
                <w:sz w:val="20"/>
              </w:rPr>
              <w:t xml:space="preserve">Sp. z </w:t>
            </w:r>
            <w:proofErr w:type="spellStart"/>
            <w:r w:rsidRPr="007A4AEE">
              <w:rPr>
                <w:rFonts w:eastAsia="Arial"/>
                <w:sz w:val="20"/>
              </w:rPr>
              <w:t>o.o</w:t>
            </w:r>
            <w:proofErr w:type="spellEnd"/>
            <w:r w:rsidRPr="007A4AEE">
              <w:rPr>
                <w:rFonts w:eastAsia="Arial"/>
                <w:sz w:val="20"/>
              </w:rPr>
              <w:t xml:space="preserve"> (</w:t>
            </w:r>
            <w:r>
              <w:rPr>
                <w:rFonts w:eastAsia="Arial"/>
                <w:sz w:val="20"/>
              </w:rPr>
              <w:t>7</w:t>
            </w:r>
            <w:r w:rsidRPr="007A4AEE">
              <w:rPr>
                <w:rFonts w:eastAsia="Arial"/>
                <w:sz w:val="20"/>
              </w:rPr>
              <w:t>)</w:t>
            </w:r>
          </w:p>
        </w:tc>
        <w:tc>
          <w:tcPr>
            <w:tcW w:w="2268" w:type="dxa"/>
            <w:shd w:val="clear" w:color="auto" w:fill="auto"/>
            <w:vAlign w:val="bottom"/>
          </w:tcPr>
          <w:p w14:paraId="6EF8B5FC" w14:textId="77777777" w:rsidR="007F3466" w:rsidRPr="00E55352" w:rsidRDefault="007F3466" w:rsidP="007F3466">
            <w:pPr>
              <w:widowControl w:val="0"/>
              <w:tabs>
                <w:tab w:val="left" w:pos="510"/>
                <w:tab w:val="left" w:pos="1531"/>
                <w:tab w:val="left" w:pos="1814"/>
              </w:tabs>
              <w:suppressAutoHyphens/>
              <w:autoSpaceDE w:val="0"/>
              <w:autoSpaceDN w:val="0"/>
              <w:adjustRightInd w:val="0"/>
              <w:spacing w:before="40" w:line="260" w:lineRule="atLeast"/>
              <w:ind w:right="113"/>
              <w:textAlignment w:val="center"/>
              <w:rPr>
                <w:color w:val="000000"/>
                <w:sz w:val="20"/>
              </w:rPr>
            </w:pPr>
            <w:r w:rsidRPr="00E55352">
              <w:rPr>
                <w:color w:val="000000"/>
                <w:sz w:val="20"/>
              </w:rPr>
              <w:t>Poland</w:t>
            </w:r>
          </w:p>
        </w:tc>
        <w:tc>
          <w:tcPr>
            <w:tcW w:w="1417" w:type="dxa"/>
            <w:shd w:val="clear" w:color="auto" w:fill="auto"/>
            <w:vAlign w:val="bottom"/>
          </w:tcPr>
          <w:p w14:paraId="566A76BD" w14:textId="77777777" w:rsidR="007F3466" w:rsidRPr="007A4AEE" w:rsidDel="00FD0AE5" w:rsidRDefault="007F3466" w:rsidP="007F3466">
            <w:pPr>
              <w:widowControl w:val="0"/>
              <w:tabs>
                <w:tab w:val="left" w:pos="510"/>
                <w:tab w:val="left" w:pos="1531"/>
                <w:tab w:val="left" w:pos="1814"/>
              </w:tabs>
              <w:suppressAutoHyphens/>
              <w:autoSpaceDE w:val="0"/>
              <w:autoSpaceDN w:val="0"/>
              <w:adjustRightInd w:val="0"/>
              <w:spacing w:before="40" w:line="260" w:lineRule="atLeast"/>
              <w:ind w:left="1531" w:hanging="1418"/>
              <w:jc w:val="right"/>
              <w:textAlignment w:val="center"/>
              <w:rPr>
                <w:rFonts w:asciiTheme="majorBidi" w:hAnsiTheme="majorBidi" w:cstheme="majorBidi"/>
                <w:color w:val="000000"/>
                <w:sz w:val="20"/>
              </w:rPr>
            </w:pPr>
            <w:r w:rsidRPr="00440C55">
              <w:rPr>
                <w:rFonts w:asciiTheme="majorBidi" w:hAnsiTheme="majorBidi" w:cstheme="majorBidi"/>
                <w:color w:val="000000"/>
                <w:sz w:val="20"/>
              </w:rPr>
              <w:t>100.0</w:t>
            </w:r>
          </w:p>
        </w:tc>
        <w:tc>
          <w:tcPr>
            <w:tcW w:w="1417" w:type="dxa"/>
            <w:shd w:val="clear" w:color="auto" w:fill="auto"/>
            <w:vAlign w:val="bottom"/>
          </w:tcPr>
          <w:p w14:paraId="4D5A039B" w14:textId="77777777" w:rsidR="007F3466" w:rsidRPr="007A4AEE" w:rsidRDefault="007F3466" w:rsidP="007F3466">
            <w:pPr>
              <w:widowControl w:val="0"/>
              <w:tabs>
                <w:tab w:val="left" w:pos="510"/>
                <w:tab w:val="left" w:pos="1531"/>
                <w:tab w:val="left" w:pos="1814"/>
              </w:tabs>
              <w:suppressAutoHyphens/>
              <w:autoSpaceDE w:val="0"/>
              <w:autoSpaceDN w:val="0"/>
              <w:adjustRightInd w:val="0"/>
              <w:spacing w:before="40" w:line="260" w:lineRule="atLeast"/>
              <w:ind w:left="1531" w:hanging="1418"/>
              <w:jc w:val="right"/>
              <w:textAlignment w:val="center"/>
              <w:rPr>
                <w:rFonts w:asciiTheme="majorBidi" w:hAnsiTheme="majorBidi" w:cstheme="majorBidi"/>
                <w:color w:val="000000"/>
                <w:sz w:val="20"/>
              </w:rPr>
            </w:pPr>
            <w:r w:rsidRPr="00440C55">
              <w:rPr>
                <w:rFonts w:asciiTheme="majorBidi" w:hAnsiTheme="majorBidi" w:cstheme="majorBidi"/>
                <w:color w:val="000000"/>
                <w:sz w:val="20"/>
              </w:rPr>
              <w:t>100.0</w:t>
            </w:r>
          </w:p>
        </w:tc>
      </w:tr>
      <w:tr w:rsidR="007F3466" w:rsidRPr="009C4587" w14:paraId="65343B1A" w14:textId="77777777" w:rsidTr="005101BC">
        <w:trPr>
          <w:trHeight w:val="240"/>
        </w:trPr>
        <w:tc>
          <w:tcPr>
            <w:tcW w:w="4536" w:type="dxa"/>
            <w:shd w:val="clear" w:color="auto" w:fill="auto"/>
            <w:noWrap/>
            <w:vAlign w:val="bottom"/>
          </w:tcPr>
          <w:p w14:paraId="571DCB50" w14:textId="6BC0E296" w:rsidR="007F3466" w:rsidRPr="004C1174" w:rsidRDefault="007F3466" w:rsidP="007F3466">
            <w:pPr>
              <w:widowControl w:val="0"/>
              <w:tabs>
                <w:tab w:val="left" w:pos="510"/>
                <w:tab w:val="left" w:pos="1531"/>
                <w:tab w:val="left" w:pos="1814"/>
              </w:tabs>
              <w:suppressAutoHyphens/>
              <w:autoSpaceDE w:val="0"/>
              <w:autoSpaceDN w:val="0"/>
              <w:adjustRightInd w:val="0"/>
              <w:spacing w:before="40" w:line="260" w:lineRule="atLeast"/>
              <w:ind w:left="1418" w:right="113" w:hanging="1418"/>
              <w:textAlignment w:val="center"/>
              <w:rPr>
                <w:rFonts w:eastAsia="Arial"/>
                <w:sz w:val="20"/>
              </w:rPr>
            </w:pPr>
            <w:r w:rsidRPr="004C1174">
              <w:rPr>
                <w:rFonts w:eastAsia="Arial"/>
                <w:sz w:val="20"/>
              </w:rPr>
              <w:t xml:space="preserve">AFI Project 12 Sp. z </w:t>
            </w:r>
            <w:proofErr w:type="spellStart"/>
            <w:r w:rsidRPr="004C1174">
              <w:rPr>
                <w:rFonts w:eastAsia="Arial"/>
                <w:sz w:val="20"/>
              </w:rPr>
              <w:t>o.o</w:t>
            </w:r>
            <w:proofErr w:type="spellEnd"/>
            <w:r w:rsidRPr="004C1174">
              <w:rPr>
                <w:rFonts w:eastAsia="Arial"/>
                <w:sz w:val="20"/>
              </w:rPr>
              <w:t xml:space="preserve"> (4)</w:t>
            </w:r>
          </w:p>
        </w:tc>
        <w:tc>
          <w:tcPr>
            <w:tcW w:w="2268" w:type="dxa"/>
            <w:shd w:val="clear" w:color="auto" w:fill="auto"/>
            <w:vAlign w:val="bottom"/>
          </w:tcPr>
          <w:p w14:paraId="2D0DAB55" w14:textId="6128F8EE" w:rsidR="007F3466" w:rsidRPr="004C1174" w:rsidRDefault="007F3466" w:rsidP="007F3466">
            <w:pPr>
              <w:widowControl w:val="0"/>
              <w:tabs>
                <w:tab w:val="left" w:pos="510"/>
                <w:tab w:val="left" w:pos="1531"/>
                <w:tab w:val="left" w:pos="1814"/>
              </w:tabs>
              <w:suppressAutoHyphens/>
              <w:autoSpaceDE w:val="0"/>
              <w:autoSpaceDN w:val="0"/>
              <w:adjustRightInd w:val="0"/>
              <w:spacing w:before="40" w:line="260" w:lineRule="atLeast"/>
              <w:ind w:right="113"/>
              <w:textAlignment w:val="center"/>
              <w:rPr>
                <w:color w:val="000000"/>
                <w:sz w:val="20"/>
              </w:rPr>
            </w:pPr>
            <w:r w:rsidRPr="004C1174">
              <w:rPr>
                <w:color w:val="000000"/>
                <w:sz w:val="20"/>
              </w:rPr>
              <w:t>Poland</w:t>
            </w:r>
          </w:p>
        </w:tc>
        <w:tc>
          <w:tcPr>
            <w:tcW w:w="1417" w:type="dxa"/>
            <w:shd w:val="clear" w:color="auto" w:fill="auto"/>
            <w:vAlign w:val="bottom"/>
          </w:tcPr>
          <w:p w14:paraId="0072AB9B" w14:textId="7BE2A9EF" w:rsidR="007F3466" w:rsidRPr="004C1174" w:rsidRDefault="007F3466" w:rsidP="007F3466">
            <w:pPr>
              <w:widowControl w:val="0"/>
              <w:tabs>
                <w:tab w:val="left" w:pos="510"/>
                <w:tab w:val="left" w:pos="1531"/>
                <w:tab w:val="left" w:pos="1814"/>
              </w:tabs>
              <w:suppressAutoHyphens/>
              <w:autoSpaceDE w:val="0"/>
              <w:autoSpaceDN w:val="0"/>
              <w:adjustRightInd w:val="0"/>
              <w:spacing w:before="40" w:line="260" w:lineRule="atLeast"/>
              <w:ind w:left="1531" w:hanging="1418"/>
              <w:jc w:val="right"/>
              <w:textAlignment w:val="center"/>
              <w:rPr>
                <w:rFonts w:asciiTheme="majorBidi" w:hAnsiTheme="majorBidi" w:cstheme="majorBidi"/>
                <w:color w:val="000000"/>
                <w:sz w:val="20"/>
              </w:rPr>
            </w:pPr>
            <w:r w:rsidRPr="004C1174">
              <w:rPr>
                <w:rFonts w:asciiTheme="majorBidi" w:hAnsiTheme="majorBidi" w:cstheme="majorBidi"/>
                <w:color w:val="000000"/>
                <w:sz w:val="20"/>
              </w:rPr>
              <w:t>100.0</w:t>
            </w:r>
          </w:p>
        </w:tc>
        <w:tc>
          <w:tcPr>
            <w:tcW w:w="1417" w:type="dxa"/>
            <w:shd w:val="clear" w:color="auto" w:fill="auto"/>
            <w:vAlign w:val="bottom"/>
          </w:tcPr>
          <w:p w14:paraId="4A2E16F9" w14:textId="3A7AD92B" w:rsidR="007F3466" w:rsidRPr="004C1174" w:rsidRDefault="004C1174" w:rsidP="007F3466">
            <w:pPr>
              <w:widowControl w:val="0"/>
              <w:tabs>
                <w:tab w:val="left" w:pos="510"/>
                <w:tab w:val="left" w:pos="1531"/>
                <w:tab w:val="left" w:pos="1814"/>
              </w:tabs>
              <w:suppressAutoHyphens/>
              <w:autoSpaceDE w:val="0"/>
              <w:autoSpaceDN w:val="0"/>
              <w:adjustRightInd w:val="0"/>
              <w:spacing w:before="40" w:line="260" w:lineRule="atLeast"/>
              <w:ind w:left="1531" w:hanging="1418"/>
              <w:jc w:val="right"/>
              <w:textAlignment w:val="center"/>
              <w:rPr>
                <w:rFonts w:asciiTheme="majorBidi" w:hAnsiTheme="majorBidi" w:cstheme="majorBidi"/>
                <w:color w:val="000000"/>
                <w:sz w:val="20"/>
                <w:lang w:bidi="he-IL"/>
              </w:rPr>
            </w:pPr>
            <w:r w:rsidRPr="004C1174">
              <w:rPr>
                <w:rFonts w:asciiTheme="majorBidi" w:hAnsiTheme="majorBidi" w:cstheme="majorBidi" w:hint="cs"/>
                <w:color w:val="000000"/>
                <w:sz w:val="20"/>
                <w:rtl/>
                <w:lang w:bidi="he-IL"/>
              </w:rPr>
              <w:t>100.0</w:t>
            </w:r>
          </w:p>
        </w:tc>
      </w:tr>
      <w:tr w:rsidR="007F3466" w:rsidRPr="00CD5E4D" w14:paraId="1B31008A" w14:textId="77777777" w:rsidTr="005101BC">
        <w:trPr>
          <w:trHeight w:val="240"/>
        </w:trPr>
        <w:tc>
          <w:tcPr>
            <w:tcW w:w="4536" w:type="dxa"/>
            <w:shd w:val="clear" w:color="auto" w:fill="auto"/>
            <w:noWrap/>
            <w:vAlign w:val="bottom"/>
          </w:tcPr>
          <w:p w14:paraId="3F793D6F" w14:textId="77777777" w:rsidR="007F3466" w:rsidRPr="007A4AEE" w:rsidRDefault="007F3466" w:rsidP="007F3466">
            <w:pPr>
              <w:widowControl w:val="0"/>
              <w:tabs>
                <w:tab w:val="left" w:pos="510"/>
                <w:tab w:val="left" w:pos="1531"/>
                <w:tab w:val="left" w:pos="1814"/>
              </w:tabs>
              <w:suppressAutoHyphens/>
              <w:autoSpaceDE w:val="0"/>
              <w:autoSpaceDN w:val="0"/>
              <w:adjustRightInd w:val="0"/>
              <w:spacing w:before="40" w:line="260" w:lineRule="atLeast"/>
              <w:ind w:left="1418" w:right="113" w:hanging="1418"/>
              <w:textAlignment w:val="center"/>
              <w:rPr>
                <w:rFonts w:eastAsia="Arial"/>
                <w:sz w:val="20"/>
              </w:rPr>
            </w:pPr>
            <w:r w:rsidRPr="007A4AEE">
              <w:rPr>
                <w:rFonts w:eastAsia="Arial"/>
                <w:sz w:val="20"/>
              </w:rPr>
              <w:t xml:space="preserve">Varnell Investments Sp. z </w:t>
            </w:r>
            <w:proofErr w:type="spellStart"/>
            <w:proofErr w:type="gramStart"/>
            <w:r w:rsidRPr="007A4AEE">
              <w:rPr>
                <w:rFonts w:eastAsia="Arial"/>
                <w:sz w:val="20"/>
              </w:rPr>
              <w:t>o.o</w:t>
            </w:r>
            <w:proofErr w:type="spellEnd"/>
            <w:proofErr w:type="gramEnd"/>
          </w:p>
        </w:tc>
        <w:tc>
          <w:tcPr>
            <w:tcW w:w="2268" w:type="dxa"/>
            <w:shd w:val="clear" w:color="auto" w:fill="auto"/>
            <w:vAlign w:val="bottom"/>
          </w:tcPr>
          <w:p w14:paraId="29369D73" w14:textId="77777777" w:rsidR="007F3466" w:rsidRPr="00E55352" w:rsidRDefault="007F3466" w:rsidP="007F3466">
            <w:pPr>
              <w:widowControl w:val="0"/>
              <w:tabs>
                <w:tab w:val="left" w:pos="510"/>
                <w:tab w:val="left" w:pos="1531"/>
                <w:tab w:val="left" w:pos="1814"/>
              </w:tabs>
              <w:suppressAutoHyphens/>
              <w:autoSpaceDE w:val="0"/>
              <w:autoSpaceDN w:val="0"/>
              <w:adjustRightInd w:val="0"/>
              <w:spacing w:before="40" w:line="260" w:lineRule="atLeast"/>
              <w:ind w:right="113"/>
              <w:textAlignment w:val="center"/>
              <w:rPr>
                <w:color w:val="000000"/>
                <w:sz w:val="20"/>
              </w:rPr>
            </w:pPr>
            <w:r w:rsidRPr="007A4AEE">
              <w:rPr>
                <w:color w:val="000000"/>
                <w:sz w:val="20"/>
              </w:rPr>
              <w:t>Poland</w:t>
            </w:r>
          </w:p>
        </w:tc>
        <w:tc>
          <w:tcPr>
            <w:tcW w:w="1417" w:type="dxa"/>
            <w:shd w:val="clear" w:color="auto" w:fill="auto"/>
            <w:vAlign w:val="bottom"/>
          </w:tcPr>
          <w:p w14:paraId="2F42FB40" w14:textId="77777777" w:rsidR="007F3466" w:rsidRPr="007A4AEE" w:rsidDel="00FD0AE5" w:rsidRDefault="007F3466" w:rsidP="007F3466">
            <w:pPr>
              <w:widowControl w:val="0"/>
              <w:tabs>
                <w:tab w:val="left" w:pos="510"/>
                <w:tab w:val="left" w:pos="1531"/>
                <w:tab w:val="left" w:pos="1814"/>
              </w:tabs>
              <w:suppressAutoHyphens/>
              <w:autoSpaceDE w:val="0"/>
              <w:autoSpaceDN w:val="0"/>
              <w:adjustRightInd w:val="0"/>
              <w:spacing w:before="40" w:line="260" w:lineRule="atLeast"/>
              <w:ind w:left="1531" w:hanging="1418"/>
              <w:jc w:val="right"/>
              <w:textAlignment w:val="center"/>
              <w:rPr>
                <w:rFonts w:asciiTheme="majorBidi" w:hAnsiTheme="majorBidi" w:cstheme="majorBidi"/>
                <w:color w:val="000000"/>
                <w:sz w:val="20"/>
              </w:rPr>
            </w:pPr>
            <w:r w:rsidRPr="00440C55">
              <w:rPr>
                <w:rFonts w:asciiTheme="majorBidi" w:hAnsiTheme="majorBidi" w:cstheme="majorBidi"/>
                <w:color w:val="000000"/>
                <w:sz w:val="20"/>
              </w:rPr>
              <w:t xml:space="preserve"> 100.0</w:t>
            </w:r>
          </w:p>
        </w:tc>
        <w:tc>
          <w:tcPr>
            <w:tcW w:w="1417" w:type="dxa"/>
            <w:shd w:val="clear" w:color="auto" w:fill="auto"/>
            <w:vAlign w:val="bottom"/>
          </w:tcPr>
          <w:p w14:paraId="37ADA21D" w14:textId="77777777" w:rsidR="007F3466" w:rsidRPr="007A4AEE" w:rsidRDefault="007F3466" w:rsidP="007F3466">
            <w:pPr>
              <w:widowControl w:val="0"/>
              <w:tabs>
                <w:tab w:val="left" w:pos="510"/>
                <w:tab w:val="left" w:pos="1531"/>
                <w:tab w:val="left" w:pos="1814"/>
              </w:tabs>
              <w:suppressAutoHyphens/>
              <w:autoSpaceDE w:val="0"/>
              <w:autoSpaceDN w:val="0"/>
              <w:adjustRightInd w:val="0"/>
              <w:spacing w:before="40" w:line="260" w:lineRule="atLeast"/>
              <w:ind w:left="1531" w:hanging="1418"/>
              <w:jc w:val="right"/>
              <w:textAlignment w:val="center"/>
              <w:rPr>
                <w:rFonts w:asciiTheme="majorBidi" w:hAnsiTheme="majorBidi" w:cstheme="majorBidi"/>
                <w:color w:val="000000"/>
                <w:sz w:val="20"/>
              </w:rPr>
            </w:pPr>
            <w:r w:rsidRPr="00440C55">
              <w:rPr>
                <w:rFonts w:asciiTheme="majorBidi" w:hAnsiTheme="majorBidi" w:cstheme="majorBidi"/>
                <w:color w:val="000000"/>
                <w:sz w:val="20"/>
              </w:rPr>
              <w:t xml:space="preserve"> 100.0</w:t>
            </w:r>
          </w:p>
        </w:tc>
      </w:tr>
      <w:tr w:rsidR="007F3466" w:rsidRPr="00CD5E4D" w14:paraId="29035E68" w14:textId="77777777" w:rsidTr="005101BC">
        <w:trPr>
          <w:trHeight w:val="240"/>
        </w:trPr>
        <w:tc>
          <w:tcPr>
            <w:tcW w:w="4536" w:type="dxa"/>
            <w:shd w:val="clear" w:color="auto" w:fill="auto"/>
            <w:noWrap/>
            <w:vAlign w:val="bottom"/>
          </w:tcPr>
          <w:p w14:paraId="41EE64FB" w14:textId="5AFF1BFF" w:rsidR="007F3466" w:rsidRPr="007A4AEE" w:rsidRDefault="007F3466" w:rsidP="007F3466">
            <w:pPr>
              <w:widowControl w:val="0"/>
              <w:tabs>
                <w:tab w:val="left" w:pos="510"/>
                <w:tab w:val="left" w:pos="1531"/>
                <w:tab w:val="left" w:pos="1814"/>
              </w:tabs>
              <w:suppressAutoHyphens/>
              <w:autoSpaceDE w:val="0"/>
              <w:autoSpaceDN w:val="0"/>
              <w:adjustRightInd w:val="0"/>
              <w:spacing w:before="40" w:line="260" w:lineRule="atLeast"/>
              <w:ind w:left="1418" w:right="113" w:hanging="1418"/>
              <w:textAlignment w:val="center"/>
              <w:rPr>
                <w:rFonts w:eastAsia="Arial"/>
                <w:sz w:val="20"/>
              </w:rPr>
            </w:pPr>
            <w:proofErr w:type="spellStart"/>
            <w:r w:rsidRPr="000A6BDB">
              <w:rPr>
                <w:rFonts w:eastAsia="Arial"/>
                <w:sz w:val="20"/>
              </w:rPr>
              <w:t>Carnea</w:t>
            </w:r>
            <w:proofErr w:type="spellEnd"/>
            <w:r w:rsidRPr="000A6BDB">
              <w:rPr>
                <w:rFonts w:eastAsia="Arial"/>
                <w:sz w:val="20"/>
              </w:rPr>
              <w:t xml:space="preserve"> 2 sp. z </w:t>
            </w:r>
            <w:proofErr w:type="spellStart"/>
            <w:r w:rsidRPr="000A6BDB">
              <w:rPr>
                <w:rFonts w:eastAsia="Arial"/>
                <w:sz w:val="20"/>
              </w:rPr>
              <w:t>o.o.</w:t>
            </w:r>
            <w:proofErr w:type="spellEnd"/>
            <w:r w:rsidRPr="007A4AEE">
              <w:rPr>
                <w:rFonts w:eastAsia="Arial"/>
                <w:sz w:val="20"/>
              </w:rPr>
              <w:t xml:space="preserve"> </w:t>
            </w:r>
            <w:r>
              <w:rPr>
                <w:rFonts w:eastAsia="Arial"/>
                <w:sz w:val="20"/>
              </w:rPr>
              <w:t>(4)</w:t>
            </w:r>
          </w:p>
        </w:tc>
        <w:tc>
          <w:tcPr>
            <w:tcW w:w="2268" w:type="dxa"/>
            <w:shd w:val="clear" w:color="auto" w:fill="auto"/>
            <w:vAlign w:val="bottom"/>
          </w:tcPr>
          <w:p w14:paraId="71A4C985" w14:textId="77777777" w:rsidR="007F3466" w:rsidRPr="00E55352" w:rsidRDefault="007F3466" w:rsidP="007F3466">
            <w:pPr>
              <w:widowControl w:val="0"/>
              <w:tabs>
                <w:tab w:val="left" w:pos="510"/>
                <w:tab w:val="left" w:pos="1531"/>
                <w:tab w:val="left" w:pos="1814"/>
              </w:tabs>
              <w:suppressAutoHyphens/>
              <w:autoSpaceDE w:val="0"/>
              <w:autoSpaceDN w:val="0"/>
              <w:adjustRightInd w:val="0"/>
              <w:spacing w:before="40" w:line="260" w:lineRule="atLeast"/>
              <w:ind w:right="113"/>
              <w:textAlignment w:val="center"/>
              <w:rPr>
                <w:color w:val="000000"/>
                <w:sz w:val="20"/>
              </w:rPr>
            </w:pPr>
            <w:r w:rsidRPr="00E55352">
              <w:rPr>
                <w:color w:val="000000"/>
                <w:sz w:val="20"/>
              </w:rPr>
              <w:t>Poland</w:t>
            </w:r>
          </w:p>
        </w:tc>
        <w:tc>
          <w:tcPr>
            <w:tcW w:w="1417" w:type="dxa"/>
            <w:shd w:val="clear" w:color="auto" w:fill="auto"/>
            <w:vAlign w:val="bottom"/>
          </w:tcPr>
          <w:p w14:paraId="59D3F970" w14:textId="77777777" w:rsidR="007F3466" w:rsidRPr="007A4AEE" w:rsidDel="00FD0AE5" w:rsidRDefault="007F3466" w:rsidP="007F3466">
            <w:pPr>
              <w:widowControl w:val="0"/>
              <w:tabs>
                <w:tab w:val="left" w:pos="510"/>
                <w:tab w:val="left" w:pos="1531"/>
                <w:tab w:val="left" w:pos="1814"/>
              </w:tabs>
              <w:suppressAutoHyphens/>
              <w:autoSpaceDE w:val="0"/>
              <w:autoSpaceDN w:val="0"/>
              <w:adjustRightInd w:val="0"/>
              <w:spacing w:before="40" w:line="260" w:lineRule="atLeast"/>
              <w:ind w:left="1531" w:hanging="1418"/>
              <w:jc w:val="right"/>
              <w:textAlignment w:val="center"/>
              <w:rPr>
                <w:rFonts w:asciiTheme="majorBidi" w:hAnsiTheme="majorBidi" w:cstheme="majorBidi"/>
                <w:color w:val="000000"/>
                <w:sz w:val="20"/>
              </w:rPr>
            </w:pPr>
            <w:r w:rsidRPr="00440C55">
              <w:rPr>
                <w:rFonts w:asciiTheme="majorBidi" w:hAnsiTheme="majorBidi" w:cstheme="majorBidi"/>
                <w:color w:val="000000"/>
                <w:sz w:val="20"/>
              </w:rPr>
              <w:t>100.0</w:t>
            </w:r>
          </w:p>
        </w:tc>
        <w:tc>
          <w:tcPr>
            <w:tcW w:w="1417" w:type="dxa"/>
            <w:shd w:val="clear" w:color="auto" w:fill="auto"/>
            <w:vAlign w:val="bottom"/>
          </w:tcPr>
          <w:p w14:paraId="34151CEC" w14:textId="77777777" w:rsidR="007F3466" w:rsidRPr="007A4AEE" w:rsidRDefault="007F3466" w:rsidP="007F3466">
            <w:pPr>
              <w:widowControl w:val="0"/>
              <w:tabs>
                <w:tab w:val="left" w:pos="510"/>
                <w:tab w:val="left" w:pos="1531"/>
                <w:tab w:val="left" w:pos="1814"/>
              </w:tabs>
              <w:suppressAutoHyphens/>
              <w:autoSpaceDE w:val="0"/>
              <w:autoSpaceDN w:val="0"/>
              <w:adjustRightInd w:val="0"/>
              <w:spacing w:before="40" w:line="260" w:lineRule="atLeast"/>
              <w:ind w:left="1531" w:hanging="1418"/>
              <w:jc w:val="right"/>
              <w:textAlignment w:val="center"/>
              <w:rPr>
                <w:rFonts w:asciiTheme="majorBidi" w:hAnsiTheme="majorBidi" w:cstheme="majorBidi"/>
                <w:color w:val="000000"/>
                <w:sz w:val="20"/>
              </w:rPr>
            </w:pPr>
            <w:r w:rsidRPr="00440C55">
              <w:rPr>
                <w:rFonts w:asciiTheme="majorBidi" w:hAnsiTheme="majorBidi" w:cstheme="majorBidi"/>
                <w:color w:val="000000"/>
                <w:sz w:val="20"/>
              </w:rPr>
              <w:t>100.0</w:t>
            </w:r>
          </w:p>
        </w:tc>
      </w:tr>
      <w:tr w:rsidR="007F3466" w:rsidRPr="00CD5E4D" w14:paraId="51B69B81" w14:textId="77777777" w:rsidTr="005101BC">
        <w:trPr>
          <w:trHeight w:val="240"/>
        </w:trPr>
        <w:tc>
          <w:tcPr>
            <w:tcW w:w="4536" w:type="dxa"/>
            <w:shd w:val="clear" w:color="auto" w:fill="auto"/>
            <w:noWrap/>
            <w:vAlign w:val="bottom"/>
          </w:tcPr>
          <w:p w14:paraId="01497900" w14:textId="03718D04" w:rsidR="007F3466" w:rsidRPr="007A4AEE" w:rsidRDefault="007F3466" w:rsidP="007F3466">
            <w:pPr>
              <w:widowControl w:val="0"/>
              <w:tabs>
                <w:tab w:val="left" w:pos="510"/>
                <w:tab w:val="left" w:pos="1531"/>
                <w:tab w:val="left" w:pos="1814"/>
              </w:tabs>
              <w:suppressAutoHyphens/>
              <w:autoSpaceDE w:val="0"/>
              <w:autoSpaceDN w:val="0"/>
              <w:adjustRightInd w:val="0"/>
              <w:spacing w:before="40" w:line="260" w:lineRule="atLeast"/>
              <w:ind w:left="1418" w:right="113" w:hanging="1418"/>
              <w:textAlignment w:val="center"/>
              <w:rPr>
                <w:rFonts w:eastAsia="Arial"/>
                <w:sz w:val="20"/>
                <w:rtl/>
                <w:lang w:bidi="he-IL"/>
              </w:rPr>
            </w:pPr>
            <w:r w:rsidRPr="000A6BDB">
              <w:rPr>
                <w:rFonts w:eastAsia="Arial"/>
                <w:sz w:val="20"/>
              </w:rPr>
              <w:t xml:space="preserve">AFI </w:t>
            </w:r>
            <w:proofErr w:type="spellStart"/>
            <w:r w:rsidRPr="000A6BDB">
              <w:rPr>
                <w:rFonts w:eastAsia="Arial"/>
                <w:sz w:val="20"/>
              </w:rPr>
              <w:t>Lazurowa</w:t>
            </w:r>
            <w:proofErr w:type="spellEnd"/>
            <w:r w:rsidRPr="000A6BDB">
              <w:rPr>
                <w:rFonts w:eastAsia="Arial"/>
                <w:sz w:val="20"/>
              </w:rPr>
              <w:t xml:space="preserve"> sp. z </w:t>
            </w:r>
            <w:proofErr w:type="spellStart"/>
            <w:r w:rsidRPr="000A6BDB">
              <w:rPr>
                <w:rFonts w:eastAsia="Arial"/>
                <w:sz w:val="20"/>
              </w:rPr>
              <w:t>o.o.</w:t>
            </w:r>
            <w:proofErr w:type="spellEnd"/>
            <w:r w:rsidRPr="007A4AEE">
              <w:rPr>
                <w:rFonts w:eastAsia="Arial"/>
                <w:sz w:val="20"/>
              </w:rPr>
              <w:t xml:space="preserve"> </w:t>
            </w:r>
            <w:r>
              <w:rPr>
                <w:rFonts w:eastAsia="Arial"/>
                <w:sz w:val="20"/>
              </w:rPr>
              <w:t>(4)</w:t>
            </w:r>
          </w:p>
        </w:tc>
        <w:tc>
          <w:tcPr>
            <w:tcW w:w="2268" w:type="dxa"/>
            <w:shd w:val="clear" w:color="auto" w:fill="auto"/>
            <w:vAlign w:val="bottom"/>
          </w:tcPr>
          <w:p w14:paraId="7AB3B7D5" w14:textId="77777777" w:rsidR="007F3466" w:rsidRPr="00E55352" w:rsidRDefault="007F3466" w:rsidP="007F3466">
            <w:pPr>
              <w:widowControl w:val="0"/>
              <w:tabs>
                <w:tab w:val="left" w:pos="510"/>
                <w:tab w:val="left" w:pos="1531"/>
                <w:tab w:val="left" w:pos="1814"/>
              </w:tabs>
              <w:suppressAutoHyphens/>
              <w:autoSpaceDE w:val="0"/>
              <w:autoSpaceDN w:val="0"/>
              <w:adjustRightInd w:val="0"/>
              <w:spacing w:before="40" w:line="260" w:lineRule="atLeast"/>
              <w:ind w:right="113"/>
              <w:textAlignment w:val="center"/>
              <w:rPr>
                <w:color w:val="000000"/>
                <w:sz w:val="20"/>
              </w:rPr>
            </w:pPr>
            <w:r w:rsidRPr="00E55352">
              <w:rPr>
                <w:color w:val="000000"/>
                <w:sz w:val="20"/>
              </w:rPr>
              <w:t>Poland</w:t>
            </w:r>
          </w:p>
        </w:tc>
        <w:tc>
          <w:tcPr>
            <w:tcW w:w="1417" w:type="dxa"/>
            <w:shd w:val="clear" w:color="auto" w:fill="auto"/>
            <w:vAlign w:val="bottom"/>
          </w:tcPr>
          <w:p w14:paraId="5BA0677B" w14:textId="77777777" w:rsidR="007F3466" w:rsidRPr="007A4AEE" w:rsidDel="00FD0AE5" w:rsidRDefault="007F3466" w:rsidP="007F3466">
            <w:pPr>
              <w:widowControl w:val="0"/>
              <w:tabs>
                <w:tab w:val="left" w:pos="510"/>
                <w:tab w:val="left" w:pos="1531"/>
                <w:tab w:val="left" w:pos="1814"/>
              </w:tabs>
              <w:suppressAutoHyphens/>
              <w:autoSpaceDE w:val="0"/>
              <w:autoSpaceDN w:val="0"/>
              <w:adjustRightInd w:val="0"/>
              <w:spacing w:before="40" w:line="260" w:lineRule="atLeast"/>
              <w:ind w:left="1531" w:hanging="1418"/>
              <w:jc w:val="right"/>
              <w:textAlignment w:val="center"/>
              <w:rPr>
                <w:rFonts w:asciiTheme="majorBidi" w:hAnsiTheme="majorBidi" w:cstheme="majorBidi"/>
                <w:color w:val="000000"/>
                <w:sz w:val="20"/>
              </w:rPr>
            </w:pPr>
            <w:r w:rsidRPr="00440C55">
              <w:rPr>
                <w:rFonts w:asciiTheme="majorBidi" w:hAnsiTheme="majorBidi" w:cstheme="majorBidi"/>
                <w:color w:val="000000"/>
                <w:sz w:val="20"/>
              </w:rPr>
              <w:t>100.0</w:t>
            </w:r>
          </w:p>
        </w:tc>
        <w:tc>
          <w:tcPr>
            <w:tcW w:w="1417" w:type="dxa"/>
            <w:shd w:val="clear" w:color="auto" w:fill="auto"/>
            <w:vAlign w:val="bottom"/>
          </w:tcPr>
          <w:p w14:paraId="33AEBDDD" w14:textId="77777777" w:rsidR="007F3466" w:rsidRPr="007A4AEE" w:rsidRDefault="007F3466" w:rsidP="007F3466">
            <w:pPr>
              <w:widowControl w:val="0"/>
              <w:tabs>
                <w:tab w:val="left" w:pos="510"/>
                <w:tab w:val="left" w:pos="1531"/>
                <w:tab w:val="left" w:pos="1814"/>
              </w:tabs>
              <w:suppressAutoHyphens/>
              <w:autoSpaceDE w:val="0"/>
              <w:autoSpaceDN w:val="0"/>
              <w:adjustRightInd w:val="0"/>
              <w:spacing w:before="40" w:line="260" w:lineRule="atLeast"/>
              <w:ind w:left="1531" w:hanging="1418"/>
              <w:jc w:val="right"/>
              <w:textAlignment w:val="center"/>
              <w:rPr>
                <w:rFonts w:asciiTheme="majorBidi" w:hAnsiTheme="majorBidi" w:cstheme="majorBidi"/>
                <w:color w:val="000000"/>
                <w:sz w:val="20"/>
              </w:rPr>
            </w:pPr>
            <w:r w:rsidRPr="00440C55">
              <w:rPr>
                <w:rFonts w:asciiTheme="majorBidi" w:hAnsiTheme="majorBidi" w:cstheme="majorBidi"/>
                <w:color w:val="000000"/>
                <w:sz w:val="20"/>
              </w:rPr>
              <w:t>100.0</w:t>
            </w:r>
          </w:p>
        </w:tc>
      </w:tr>
      <w:tr w:rsidR="007F3466" w:rsidRPr="00CD5E4D" w14:paraId="0F8D05A6" w14:textId="77777777" w:rsidTr="005101BC">
        <w:trPr>
          <w:trHeight w:val="240"/>
        </w:trPr>
        <w:tc>
          <w:tcPr>
            <w:tcW w:w="4536" w:type="dxa"/>
            <w:shd w:val="clear" w:color="auto" w:fill="auto"/>
            <w:noWrap/>
            <w:vAlign w:val="bottom"/>
          </w:tcPr>
          <w:p w14:paraId="657883FF" w14:textId="77777777" w:rsidR="007F3466" w:rsidRPr="00B173C1" w:rsidRDefault="007F3466" w:rsidP="007F3466">
            <w:pPr>
              <w:widowControl w:val="0"/>
              <w:tabs>
                <w:tab w:val="left" w:pos="510"/>
                <w:tab w:val="left" w:pos="1531"/>
                <w:tab w:val="left" w:pos="1814"/>
              </w:tabs>
              <w:suppressAutoHyphens/>
              <w:autoSpaceDE w:val="0"/>
              <w:autoSpaceDN w:val="0"/>
              <w:adjustRightInd w:val="0"/>
              <w:spacing w:before="40" w:line="260" w:lineRule="atLeast"/>
              <w:ind w:left="1418" w:right="113" w:hanging="1418"/>
              <w:textAlignment w:val="center"/>
              <w:rPr>
                <w:rFonts w:eastAsia="Arial"/>
                <w:sz w:val="20"/>
              </w:rPr>
            </w:pPr>
            <w:r w:rsidRPr="00B173C1">
              <w:rPr>
                <w:rFonts w:eastAsia="Arial"/>
                <w:sz w:val="20"/>
              </w:rPr>
              <w:t xml:space="preserve">Pebworth sp. z </w:t>
            </w:r>
            <w:proofErr w:type="spellStart"/>
            <w:r w:rsidRPr="00B173C1">
              <w:rPr>
                <w:rFonts w:eastAsia="Arial"/>
                <w:sz w:val="20"/>
              </w:rPr>
              <w:t>o.o.</w:t>
            </w:r>
            <w:proofErr w:type="spellEnd"/>
          </w:p>
        </w:tc>
        <w:tc>
          <w:tcPr>
            <w:tcW w:w="2268" w:type="dxa"/>
            <w:shd w:val="clear" w:color="auto" w:fill="auto"/>
            <w:vAlign w:val="bottom"/>
          </w:tcPr>
          <w:p w14:paraId="5B6CA933" w14:textId="77777777" w:rsidR="007F3466" w:rsidRPr="00E55352" w:rsidRDefault="007F3466" w:rsidP="007F3466">
            <w:pPr>
              <w:widowControl w:val="0"/>
              <w:tabs>
                <w:tab w:val="left" w:pos="510"/>
                <w:tab w:val="left" w:pos="1531"/>
                <w:tab w:val="left" w:pos="1814"/>
              </w:tabs>
              <w:suppressAutoHyphens/>
              <w:autoSpaceDE w:val="0"/>
              <w:autoSpaceDN w:val="0"/>
              <w:adjustRightInd w:val="0"/>
              <w:spacing w:before="40" w:line="260" w:lineRule="atLeast"/>
              <w:ind w:right="113"/>
              <w:textAlignment w:val="center"/>
              <w:rPr>
                <w:color w:val="000000"/>
                <w:sz w:val="20"/>
              </w:rPr>
            </w:pPr>
            <w:r w:rsidRPr="00E55352">
              <w:rPr>
                <w:color w:val="000000"/>
                <w:sz w:val="20"/>
              </w:rPr>
              <w:t>Poland</w:t>
            </w:r>
          </w:p>
        </w:tc>
        <w:tc>
          <w:tcPr>
            <w:tcW w:w="1417" w:type="dxa"/>
            <w:shd w:val="clear" w:color="auto" w:fill="auto"/>
            <w:vAlign w:val="bottom"/>
          </w:tcPr>
          <w:p w14:paraId="72A3E204" w14:textId="77777777" w:rsidR="007F3466" w:rsidRPr="007A4AEE" w:rsidDel="00FD0AE5" w:rsidRDefault="007F3466" w:rsidP="007F3466">
            <w:pPr>
              <w:widowControl w:val="0"/>
              <w:tabs>
                <w:tab w:val="left" w:pos="510"/>
                <w:tab w:val="left" w:pos="1531"/>
                <w:tab w:val="left" w:pos="1814"/>
              </w:tabs>
              <w:suppressAutoHyphens/>
              <w:autoSpaceDE w:val="0"/>
              <w:autoSpaceDN w:val="0"/>
              <w:adjustRightInd w:val="0"/>
              <w:spacing w:before="40" w:line="260" w:lineRule="atLeast"/>
              <w:ind w:left="1531" w:hanging="1418"/>
              <w:jc w:val="right"/>
              <w:textAlignment w:val="center"/>
              <w:rPr>
                <w:rFonts w:asciiTheme="majorBidi" w:hAnsiTheme="majorBidi" w:cstheme="majorBidi"/>
                <w:color w:val="000000"/>
                <w:sz w:val="20"/>
              </w:rPr>
            </w:pPr>
            <w:r w:rsidRPr="00440C55">
              <w:rPr>
                <w:rFonts w:asciiTheme="majorBidi" w:hAnsiTheme="majorBidi" w:cstheme="majorBidi"/>
                <w:color w:val="000000"/>
                <w:sz w:val="20"/>
              </w:rPr>
              <w:t>100.0</w:t>
            </w:r>
          </w:p>
        </w:tc>
        <w:tc>
          <w:tcPr>
            <w:tcW w:w="1417" w:type="dxa"/>
            <w:shd w:val="clear" w:color="auto" w:fill="auto"/>
            <w:vAlign w:val="bottom"/>
          </w:tcPr>
          <w:p w14:paraId="1422A127" w14:textId="77777777" w:rsidR="007F3466" w:rsidRPr="007A4AEE" w:rsidRDefault="007F3466" w:rsidP="007F3466">
            <w:pPr>
              <w:widowControl w:val="0"/>
              <w:tabs>
                <w:tab w:val="left" w:pos="510"/>
                <w:tab w:val="left" w:pos="1531"/>
                <w:tab w:val="left" w:pos="1814"/>
              </w:tabs>
              <w:suppressAutoHyphens/>
              <w:autoSpaceDE w:val="0"/>
              <w:autoSpaceDN w:val="0"/>
              <w:adjustRightInd w:val="0"/>
              <w:spacing w:before="40" w:line="260" w:lineRule="atLeast"/>
              <w:ind w:left="1531" w:hanging="1418"/>
              <w:jc w:val="right"/>
              <w:textAlignment w:val="center"/>
              <w:rPr>
                <w:rFonts w:asciiTheme="majorBidi" w:hAnsiTheme="majorBidi" w:cstheme="majorBidi"/>
                <w:color w:val="000000"/>
                <w:sz w:val="20"/>
              </w:rPr>
            </w:pPr>
            <w:r w:rsidRPr="00440C55">
              <w:rPr>
                <w:rFonts w:asciiTheme="majorBidi" w:hAnsiTheme="majorBidi" w:cstheme="majorBidi"/>
                <w:color w:val="000000"/>
                <w:sz w:val="20"/>
              </w:rPr>
              <w:t>100.0</w:t>
            </w:r>
          </w:p>
        </w:tc>
      </w:tr>
      <w:tr w:rsidR="007F3466" w:rsidRPr="00CD5E4D" w14:paraId="4A71AD80" w14:textId="77777777" w:rsidTr="005101BC">
        <w:trPr>
          <w:trHeight w:val="240"/>
        </w:trPr>
        <w:tc>
          <w:tcPr>
            <w:tcW w:w="4536" w:type="dxa"/>
            <w:shd w:val="clear" w:color="auto" w:fill="auto"/>
            <w:noWrap/>
            <w:vAlign w:val="bottom"/>
          </w:tcPr>
          <w:p w14:paraId="301E78CA" w14:textId="560D4EE3" w:rsidR="007F3466" w:rsidRPr="00B173C1" w:rsidRDefault="007F3466" w:rsidP="007F3466">
            <w:pPr>
              <w:widowControl w:val="0"/>
              <w:tabs>
                <w:tab w:val="left" w:pos="510"/>
                <w:tab w:val="left" w:pos="1531"/>
                <w:tab w:val="left" w:pos="1814"/>
              </w:tabs>
              <w:suppressAutoHyphens/>
              <w:autoSpaceDE w:val="0"/>
              <w:autoSpaceDN w:val="0"/>
              <w:adjustRightInd w:val="0"/>
              <w:spacing w:before="40" w:line="260" w:lineRule="atLeast"/>
              <w:ind w:left="1418" w:right="113" w:hanging="1418"/>
              <w:textAlignment w:val="center"/>
              <w:rPr>
                <w:rFonts w:eastAsia="Arial"/>
                <w:sz w:val="20"/>
                <w:lang w:val="de-DE"/>
              </w:rPr>
            </w:pPr>
            <w:r w:rsidRPr="00B173C1">
              <w:rPr>
                <w:rFonts w:eastAsia="Arial"/>
                <w:sz w:val="20"/>
                <w:lang w:val="de-DE"/>
              </w:rPr>
              <w:t>Projekt Echo – 138 sp. z o.o.</w:t>
            </w:r>
          </w:p>
        </w:tc>
        <w:tc>
          <w:tcPr>
            <w:tcW w:w="2268" w:type="dxa"/>
            <w:shd w:val="clear" w:color="auto" w:fill="auto"/>
            <w:vAlign w:val="bottom"/>
          </w:tcPr>
          <w:p w14:paraId="1C0C9BCD" w14:textId="77777777" w:rsidR="007F3466" w:rsidRPr="007F3466" w:rsidRDefault="007F3466" w:rsidP="007F3466">
            <w:pPr>
              <w:widowControl w:val="0"/>
              <w:tabs>
                <w:tab w:val="left" w:pos="510"/>
                <w:tab w:val="left" w:pos="1531"/>
                <w:tab w:val="left" w:pos="1814"/>
              </w:tabs>
              <w:suppressAutoHyphens/>
              <w:autoSpaceDE w:val="0"/>
              <w:autoSpaceDN w:val="0"/>
              <w:adjustRightInd w:val="0"/>
              <w:spacing w:before="40" w:line="260" w:lineRule="atLeast"/>
              <w:ind w:right="113"/>
              <w:textAlignment w:val="center"/>
              <w:rPr>
                <w:color w:val="000000"/>
                <w:sz w:val="20"/>
              </w:rPr>
            </w:pPr>
            <w:r w:rsidRPr="007F3466">
              <w:rPr>
                <w:color w:val="000000"/>
                <w:sz w:val="20"/>
              </w:rPr>
              <w:t>Poland</w:t>
            </w:r>
          </w:p>
        </w:tc>
        <w:tc>
          <w:tcPr>
            <w:tcW w:w="1417" w:type="dxa"/>
            <w:shd w:val="clear" w:color="auto" w:fill="auto"/>
            <w:vAlign w:val="bottom"/>
          </w:tcPr>
          <w:p w14:paraId="2AC1C6B7" w14:textId="00F9BA90" w:rsidR="007F3466" w:rsidRPr="007F3466" w:rsidDel="00FD0AE5" w:rsidRDefault="007F3466" w:rsidP="007F3466">
            <w:pPr>
              <w:widowControl w:val="0"/>
              <w:tabs>
                <w:tab w:val="left" w:pos="510"/>
                <w:tab w:val="left" w:pos="1531"/>
                <w:tab w:val="left" w:pos="1814"/>
              </w:tabs>
              <w:suppressAutoHyphens/>
              <w:autoSpaceDE w:val="0"/>
              <w:autoSpaceDN w:val="0"/>
              <w:adjustRightInd w:val="0"/>
              <w:spacing w:before="40" w:line="260" w:lineRule="atLeast"/>
              <w:ind w:left="1531" w:hanging="1418"/>
              <w:jc w:val="right"/>
              <w:textAlignment w:val="center"/>
              <w:rPr>
                <w:rFonts w:asciiTheme="majorBidi" w:hAnsiTheme="majorBidi" w:cstheme="majorBidi"/>
                <w:color w:val="000000"/>
                <w:sz w:val="20"/>
                <w:lang w:bidi="he-IL"/>
              </w:rPr>
            </w:pPr>
            <w:r w:rsidRPr="007F3466">
              <w:rPr>
                <w:rFonts w:asciiTheme="majorBidi" w:hAnsiTheme="majorBidi" w:cstheme="majorBidi"/>
                <w:color w:val="000000"/>
                <w:sz w:val="20"/>
                <w:lang w:bidi="he-IL"/>
              </w:rPr>
              <w:t>70.0</w:t>
            </w:r>
          </w:p>
        </w:tc>
        <w:tc>
          <w:tcPr>
            <w:tcW w:w="1417" w:type="dxa"/>
            <w:shd w:val="clear" w:color="auto" w:fill="auto"/>
            <w:vAlign w:val="bottom"/>
          </w:tcPr>
          <w:p w14:paraId="66F119A5" w14:textId="77777777" w:rsidR="007F3466" w:rsidRPr="007F3466" w:rsidRDefault="007F3466" w:rsidP="007F3466">
            <w:pPr>
              <w:widowControl w:val="0"/>
              <w:tabs>
                <w:tab w:val="left" w:pos="510"/>
                <w:tab w:val="left" w:pos="1531"/>
                <w:tab w:val="left" w:pos="1814"/>
              </w:tabs>
              <w:suppressAutoHyphens/>
              <w:autoSpaceDE w:val="0"/>
              <w:autoSpaceDN w:val="0"/>
              <w:adjustRightInd w:val="0"/>
              <w:spacing w:before="40" w:line="260" w:lineRule="atLeast"/>
              <w:ind w:left="1531" w:hanging="1418"/>
              <w:jc w:val="right"/>
              <w:textAlignment w:val="center"/>
              <w:rPr>
                <w:rFonts w:asciiTheme="majorBidi" w:hAnsiTheme="majorBidi" w:cstheme="majorBidi"/>
                <w:color w:val="000000"/>
                <w:sz w:val="20"/>
              </w:rPr>
            </w:pPr>
            <w:r w:rsidRPr="007F3466">
              <w:rPr>
                <w:rFonts w:asciiTheme="majorBidi" w:hAnsiTheme="majorBidi" w:cstheme="majorBidi"/>
                <w:color w:val="000000"/>
                <w:sz w:val="20"/>
              </w:rPr>
              <w:t>70.0</w:t>
            </w:r>
          </w:p>
        </w:tc>
      </w:tr>
      <w:tr w:rsidR="007F3466" w:rsidRPr="00CD5E4D" w14:paraId="11A28D45" w14:textId="77777777" w:rsidTr="005101BC">
        <w:trPr>
          <w:trHeight w:val="240"/>
        </w:trPr>
        <w:tc>
          <w:tcPr>
            <w:tcW w:w="4536" w:type="dxa"/>
            <w:shd w:val="clear" w:color="auto" w:fill="auto"/>
            <w:noWrap/>
            <w:vAlign w:val="bottom"/>
          </w:tcPr>
          <w:p w14:paraId="0619EA2F" w14:textId="1F7A960C" w:rsidR="007F3466" w:rsidRPr="00B173C1" w:rsidRDefault="007F3466" w:rsidP="007F3466">
            <w:pPr>
              <w:spacing w:line="220" w:lineRule="exact"/>
              <w:rPr>
                <w:sz w:val="20"/>
              </w:rPr>
            </w:pPr>
            <w:r w:rsidRPr="00B173C1">
              <w:rPr>
                <w:sz w:val="20"/>
              </w:rPr>
              <w:t xml:space="preserve">Projekt Towarowa 22 sp. z </w:t>
            </w:r>
            <w:proofErr w:type="spellStart"/>
            <w:r w:rsidRPr="00B173C1">
              <w:rPr>
                <w:sz w:val="20"/>
              </w:rPr>
              <w:t>o.o.</w:t>
            </w:r>
            <w:proofErr w:type="spellEnd"/>
            <w:r w:rsidRPr="00B173C1">
              <w:rPr>
                <w:sz w:val="20"/>
              </w:rPr>
              <w:t xml:space="preserve"> </w:t>
            </w:r>
            <w:r w:rsidR="00B173C1">
              <w:rPr>
                <w:sz w:val="20"/>
              </w:rPr>
              <w:t xml:space="preserve"> (6)</w:t>
            </w:r>
          </w:p>
        </w:tc>
        <w:tc>
          <w:tcPr>
            <w:tcW w:w="2268" w:type="dxa"/>
            <w:shd w:val="clear" w:color="auto" w:fill="auto"/>
            <w:vAlign w:val="bottom"/>
          </w:tcPr>
          <w:p w14:paraId="2B39C905" w14:textId="77777777" w:rsidR="007F3466" w:rsidRPr="00E55352" w:rsidRDefault="007F3466" w:rsidP="007F3466">
            <w:pPr>
              <w:widowControl w:val="0"/>
              <w:tabs>
                <w:tab w:val="left" w:pos="510"/>
                <w:tab w:val="left" w:pos="1531"/>
                <w:tab w:val="left" w:pos="1814"/>
              </w:tabs>
              <w:suppressAutoHyphens/>
              <w:autoSpaceDE w:val="0"/>
              <w:autoSpaceDN w:val="0"/>
              <w:adjustRightInd w:val="0"/>
              <w:spacing w:before="40" w:line="260" w:lineRule="atLeast"/>
              <w:ind w:right="113"/>
              <w:textAlignment w:val="center"/>
              <w:rPr>
                <w:color w:val="000000"/>
                <w:sz w:val="20"/>
              </w:rPr>
            </w:pPr>
            <w:r w:rsidRPr="00E55352">
              <w:rPr>
                <w:color w:val="000000"/>
                <w:sz w:val="20"/>
              </w:rPr>
              <w:t>Poland</w:t>
            </w:r>
          </w:p>
        </w:tc>
        <w:tc>
          <w:tcPr>
            <w:tcW w:w="1417" w:type="dxa"/>
            <w:shd w:val="clear" w:color="auto" w:fill="auto"/>
            <w:vAlign w:val="bottom"/>
          </w:tcPr>
          <w:p w14:paraId="62E18447" w14:textId="77777777" w:rsidR="007F3466" w:rsidRPr="007A4AEE" w:rsidDel="00FD0AE5" w:rsidRDefault="007F3466" w:rsidP="007F3466">
            <w:pPr>
              <w:widowControl w:val="0"/>
              <w:tabs>
                <w:tab w:val="left" w:pos="510"/>
                <w:tab w:val="left" w:pos="1531"/>
                <w:tab w:val="left" w:pos="1814"/>
              </w:tabs>
              <w:suppressAutoHyphens/>
              <w:autoSpaceDE w:val="0"/>
              <w:autoSpaceDN w:val="0"/>
              <w:adjustRightInd w:val="0"/>
              <w:spacing w:before="40" w:line="260" w:lineRule="atLeast"/>
              <w:ind w:left="1531" w:hanging="1418"/>
              <w:jc w:val="right"/>
              <w:textAlignment w:val="center"/>
              <w:rPr>
                <w:rFonts w:asciiTheme="majorBidi" w:hAnsiTheme="majorBidi" w:cstheme="majorBidi"/>
                <w:color w:val="000000"/>
                <w:sz w:val="20"/>
              </w:rPr>
            </w:pPr>
            <w:r>
              <w:rPr>
                <w:rFonts w:asciiTheme="majorBidi" w:hAnsiTheme="majorBidi" w:cstheme="majorBidi"/>
                <w:color w:val="000000"/>
                <w:sz w:val="20"/>
              </w:rPr>
              <w:t>70.0</w:t>
            </w:r>
          </w:p>
        </w:tc>
        <w:tc>
          <w:tcPr>
            <w:tcW w:w="1417" w:type="dxa"/>
            <w:shd w:val="clear" w:color="auto" w:fill="auto"/>
            <w:vAlign w:val="bottom"/>
          </w:tcPr>
          <w:p w14:paraId="009C923B" w14:textId="77777777" w:rsidR="007F3466" w:rsidRPr="007A4AEE" w:rsidRDefault="007F3466" w:rsidP="007F3466">
            <w:pPr>
              <w:widowControl w:val="0"/>
              <w:tabs>
                <w:tab w:val="left" w:pos="510"/>
                <w:tab w:val="left" w:pos="1531"/>
                <w:tab w:val="left" w:pos="1814"/>
              </w:tabs>
              <w:suppressAutoHyphens/>
              <w:autoSpaceDE w:val="0"/>
              <w:autoSpaceDN w:val="0"/>
              <w:adjustRightInd w:val="0"/>
              <w:spacing w:before="40" w:line="260" w:lineRule="atLeast"/>
              <w:ind w:left="1531" w:hanging="1418"/>
              <w:jc w:val="right"/>
              <w:textAlignment w:val="center"/>
              <w:rPr>
                <w:rFonts w:asciiTheme="majorBidi" w:hAnsiTheme="majorBidi" w:cstheme="majorBidi"/>
                <w:color w:val="000000"/>
                <w:sz w:val="20"/>
              </w:rPr>
            </w:pPr>
            <w:r>
              <w:rPr>
                <w:rFonts w:asciiTheme="majorBidi" w:hAnsiTheme="majorBidi" w:cstheme="majorBidi"/>
                <w:color w:val="000000"/>
                <w:sz w:val="20"/>
              </w:rPr>
              <w:t>70.0</w:t>
            </w:r>
          </w:p>
        </w:tc>
      </w:tr>
      <w:tr w:rsidR="007F3466" w:rsidRPr="00CD5E4D" w14:paraId="0562E6F1" w14:textId="77777777" w:rsidTr="005101BC">
        <w:trPr>
          <w:trHeight w:val="240"/>
        </w:trPr>
        <w:tc>
          <w:tcPr>
            <w:tcW w:w="4536" w:type="dxa"/>
            <w:shd w:val="clear" w:color="auto" w:fill="auto"/>
            <w:noWrap/>
            <w:vAlign w:val="bottom"/>
          </w:tcPr>
          <w:p w14:paraId="725E9F64" w14:textId="12152185" w:rsidR="007F3466" w:rsidRPr="004C1431" w:rsidRDefault="007F3466" w:rsidP="007F3466">
            <w:pPr>
              <w:spacing w:line="220" w:lineRule="exact"/>
              <w:rPr>
                <w:sz w:val="20"/>
                <w:lang w:val="de-DE"/>
              </w:rPr>
            </w:pPr>
            <w:r w:rsidRPr="004C1431">
              <w:rPr>
                <w:sz w:val="20"/>
                <w:lang w:val="de-DE"/>
              </w:rPr>
              <w:t>T22 Budynek B sp. z o.o.</w:t>
            </w:r>
            <w:r w:rsidR="00B173C1" w:rsidRPr="004C1431">
              <w:rPr>
                <w:sz w:val="20"/>
                <w:lang w:val="de-DE"/>
              </w:rPr>
              <w:t xml:space="preserve"> (6)</w:t>
            </w:r>
          </w:p>
        </w:tc>
        <w:tc>
          <w:tcPr>
            <w:tcW w:w="2268" w:type="dxa"/>
            <w:shd w:val="clear" w:color="auto" w:fill="auto"/>
            <w:vAlign w:val="bottom"/>
          </w:tcPr>
          <w:p w14:paraId="3315B75D" w14:textId="23CC3551" w:rsidR="007F3466" w:rsidRPr="00E55352" w:rsidRDefault="007F3466" w:rsidP="007F3466">
            <w:pPr>
              <w:widowControl w:val="0"/>
              <w:tabs>
                <w:tab w:val="left" w:pos="510"/>
                <w:tab w:val="left" w:pos="1531"/>
                <w:tab w:val="left" w:pos="1814"/>
              </w:tabs>
              <w:suppressAutoHyphens/>
              <w:autoSpaceDE w:val="0"/>
              <w:autoSpaceDN w:val="0"/>
              <w:adjustRightInd w:val="0"/>
              <w:spacing w:before="40" w:line="260" w:lineRule="atLeast"/>
              <w:ind w:right="113"/>
              <w:textAlignment w:val="center"/>
              <w:rPr>
                <w:color w:val="000000"/>
                <w:sz w:val="20"/>
              </w:rPr>
            </w:pPr>
            <w:r w:rsidRPr="00E55352">
              <w:rPr>
                <w:color w:val="000000"/>
                <w:sz w:val="20"/>
              </w:rPr>
              <w:t>Poland</w:t>
            </w:r>
          </w:p>
        </w:tc>
        <w:tc>
          <w:tcPr>
            <w:tcW w:w="1417" w:type="dxa"/>
            <w:shd w:val="clear" w:color="auto" w:fill="auto"/>
            <w:vAlign w:val="bottom"/>
          </w:tcPr>
          <w:p w14:paraId="63284453" w14:textId="6C2619D9" w:rsidR="007F3466" w:rsidRPr="00440C55" w:rsidRDefault="007F3466" w:rsidP="007F3466">
            <w:pPr>
              <w:widowControl w:val="0"/>
              <w:tabs>
                <w:tab w:val="left" w:pos="510"/>
                <w:tab w:val="left" w:pos="1531"/>
                <w:tab w:val="left" w:pos="1814"/>
              </w:tabs>
              <w:suppressAutoHyphens/>
              <w:autoSpaceDE w:val="0"/>
              <w:autoSpaceDN w:val="0"/>
              <w:adjustRightInd w:val="0"/>
              <w:spacing w:before="40" w:line="260" w:lineRule="atLeast"/>
              <w:ind w:left="1531" w:hanging="1418"/>
              <w:jc w:val="right"/>
              <w:textAlignment w:val="center"/>
              <w:rPr>
                <w:rFonts w:asciiTheme="majorBidi" w:hAnsiTheme="majorBidi" w:cstheme="majorBidi"/>
                <w:color w:val="000000"/>
                <w:sz w:val="20"/>
              </w:rPr>
            </w:pPr>
            <w:r>
              <w:rPr>
                <w:rFonts w:asciiTheme="majorBidi" w:hAnsiTheme="majorBidi" w:cstheme="majorBidi"/>
                <w:color w:val="000000"/>
                <w:sz w:val="20"/>
              </w:rPr>
              <w:t>70.0</w:t>
            </w:r>
          </w:p>
        </w:tc>
        <w:tc>
          <w:tcPr>
            <w:tcW w:w="1417" w:type="dxa"/>
            <w:shd w:val="clear" w:color="auto" w:fill="auto"/>
            <w:vAlign w:val="bottom"/>
          </w:tcPr>
          <w:p w14:paraId="1AD20051" w14:textId="12BD5063" w:rsidR="007F3466" w:rsidRDefault="007F3466" w:rsidP="007F3466">
            <w:pPr>
              <w:widowControl w:val="0"/>
              <w:tabs>
                <w:tab w:val="left" w:pos="510"/>
                <w:tab w:val="left" w:pos="1531"/>
                <w:tab w:val="left" w:pos="1814"/>
              </w:tabs>
              <w:suppressAutoHyphens/>
              <w:autoSpaceDE w:val="0"/>
              <w:autoSpaceDN w:val="0"/>
              <w:adjustRightInd w:val="0"/>
              <w:spacing w:before="40" w:line="260" w:lineRule="atLeast"/>
              <w:ind w:left="1531" w:hanging="1418"/>
              <w:jc w:val="right"/>
              <w:textAlignment w:val="center"/>
              <w:rPr>
                <w:rFonts w:asciiTheme="majorBidi" w:hAnsiTheme="majorBidi" w:cstheme="majorBidi"/>
                <w:color w:val="000000"/>
                <w:sz w:val="20"/>
                <w:lang w:bidi="he-IL"/>
              </w:rPr>
            </w:pPr>
            <w:r>
              <w:rPr>
                <w:rFonts w:asciiTheme="majorBidi" w:hAnsiTheme="majorBidi" w:cstheme="majorBidi" w:hint="cs"/>
                <w:color w:val="000000"/>
                <w:sz w:val="20"/>
                <w:rtl/>
                <w:lang w:bidi="he-IL"/>
              </w:rPr>
              <w:t>-</w:t>
            </w:r>
          </w:p>
        </w:tc>
      </w:tr>
      <w:tr w:rsidR="007F3466" w:rsidRPr="00CD5E4D" w14:paraId="59D96621" w14:textId="77777777" w:rsidTr="005101BC">
        <w:trPr>
          <w:trHeight w:val="240"/>
        </w:trPr>
        <w:tc>
          <w:tcPr>
            <w:tcW w:w="4536" w:type="dxa"/>
            <w:shd w:val="clear" w:color="auto" w:fill="auto"/>
            <w:noWrap/>
            <w:vAlign w:val="bottom"/>
          </w:tcPr>
          <w:p w14:paraId="4D03E5AC" w14:textId="07E36079" w:rsidR="007F3466" w:rsidRPr="00B173C1" w:rsidRDefault="007F3466" w:rsidP="007F3466">
            <w:pPr>
              <w:spacing w:line="220" w:lineRule="exact"/>
              <w:rPr>
                <w:sz w:val="20"/>
              </w:rPr>
            </w:pPr>
            <w:r w:rsidRPr="00B173C1">
              <w:rPr>
                <w:sz w:val="20"/>
              </w:rPr>
              <w:t xml:space="preserve">AFI Advisory sp. z </w:t>
            </w:r>
            <w:proofErr w:type="spellStart"/>
            <w:r w:rsidRPr="00B173C1">
              <w:rPr>
                <w:sz w:val="20"/>
              </w:rPr>
              <w:t>o.o.</w:t>
            </w:r>
            <w:proofErr w:type="spellEnd"/>
          </w:p>
        </w:tc>
        <w:tc>
          <w:tcPr>
            <w:tcW w:w="2268" w:type="dxa"/>
            <w:shd w:val="clear" w:color="auto" w:fill="auto"/>
            <w:vAlign w:val="bottom"/>
          </w:tcPr>
          <w:p w14:paraId="298EC3FD" w14:textId="2A87AC38" w:rsidR="007F3466" w:rsidRPr="00E55352" w:rsidRDefault="007F3466" w:rsidP="007F3466">
            <w:pPr>
              <w:widowControl w:val="0"/>
              <w:tabs>
                <w:tab w:val="left" w:pos="510"/>
                <w:tab w:val="left" w:pos="1531"/>
                <w:tab w:val="left" w:pos="1814"/>
              </w:tabs>
              <w:suppressAutoHyphens/>
              <w:autoSpaceDE w:val="0"/>
              <w:autoSpaceDN w:val="0"/>
              <w:adjustRightInd w:val="0"/>
              <w:spacing w:before="40" w:line="260" w:lineRule="atLeast"/>
              <w:ind w:right="113"/>
              <w:textAlignment w:val="center"/>
              <w:rPr>
                <w:color w:val="000000"/>
                <w:sz w:val="20"/>
              </w:rPr>
            </w:pPr>
            <w:r w:rsidRPr="00E55352">
              <w:rPr>
                <w:color w:val="000000"/>
                <w:sz w:val="20"/>
              </w:rPr>
              <w:t>Poland</w:t>
            </w:r>
          </w:p>
        </w:tc>
        <w:tc>
          <w:tcPr>
            <w:tcW w:w="1417" w:type="dxa"/>
            <w:shd w:val="clear" w:color="auto" w:fill="auto"/>
            <w:vAlign w:val="bottom"/>
          </w:tcPr>
          <w:p w14:paraId="650185D8" w14:textId="31E6B1F1" w:rsidR="007F3466" w:rsidRDefault="007F3466" w:rsidP="007F3466">
            <w:pPr>
              <w:widowControl w:val="0"/>
              <w:tabs>
                <w:tab w:val="left" w:pos="510"/>
                <w:tab w:val="left" w:pos="1531"/>
                <w:tab w:val="left" w:pos="1814"/>
              </w:tabs>
              <w:suppressAutoHyphens/>
              <w:autoSpaceDE w:val="0"/>
              <w:autoSpaceDN w:val="0"/>
              <w:adjustRightInd w:val="0"/>
              <w:spacing w:before="40" w:line="260" w:lineRule="atLeast"/>
              <w:ind w:left="1531" w:hanging="1418"/>
              <w:jc w:val="right"/>
              <w:textAlignment w:val="center"/>
              <w:rPr>
                <w:rFonts w:asciiTheme="majorBidi" w:hAnsiTheme="majorBidi" w:cstheme="majorBidi"/>
                <w:color w:val="000000"/>
                <w:sz w:val="20"/>
              </w:rPr>
            </w:pPr>
            <w:r w:rsidRPr="00440C55">
              <w:rPr>
                <w:rFonts w:asciiTheme="majorBidi" w:hAnsiTheme="majorBidi" w:cstheme="majorBidi"/>
                <w:color w:val="000000"/>
                <w:sz w:val="20"/>
              </w:rPr>
              <w:t>100.0</w:t>
            </w:r>
          </w:p>
        </w:tc>
        <w:tc>
          <w:tcPr>
            <w:tcW w:w="1417" w:type="dxa"/>
            <w:shd w:val="clear" w:color="auto" w:fill="auto"/>
            <w:vAlign w:val="bottom"/>
          </w:tcPr>
          <w:p w14:paraId="06788D82" w14:textId="18E03544" w:rsidR="007F3466" w:rsidRDefault="007F3466" w:rsidP="007F3466">
            <w:pPr>
              <w:widowControl w:val="0"/>
              <w:tabs>
                <w:tab w:val="left" w:pos="510"/>
                <w:tab w:val="left" w:pos="1531"/>
                <w:tab w:val="left" w:pos="1814"/>
              </w:tabs>
              <w:suppressAutoHyphens/>
              <w:autoSpaceDE w:val="0"/>
              <w:autoSpaceDN w:val="0"/>
              <w:adjustRightInd w:val="0"/>
              <w:spacing w:before="40" w:line="260" w:lineRule="atLeast"/>
              <w:ind w:left="1531" w:hanging="1418"/>
              <w:jc w:val="right"/>
              <w:textAlignment w:val="center"/>
              <w:rPr>
                <w:rFonts w:asciiTheme="majorBidi" w:hAnsiTheme="majorBidi" w:cstheme="majorBidi"/>
                <w:color w:val="000000"/>
                <w:sz w:val="20"/>
              </w:rPr>
            </w:pPr>
            <w:r>
              <w:rPr>
                <w:rFonts w:asciiTheme="majorBidi" w:hAnsiTheme="majorBidi" w:cstheme="majorBidi"/>
                <w:color w:val="000000"/>
                <w:sz w:val="20"/>
              </w:rPr>
              <w:t>100.0</w:t>
            </w:r>
          </w:p>
        </w:tc>
      </w:tr>
    </w:tbl>
    <w:p w14:paraId="7A519C5F" w14:textId="77777777" w:rsidR="00D85F46" w:rsidRPr="00D85F46" w:rsidRDefault="00D85F46" w:rsidP="0057335A">
      <w:pPr>
        <w:rPr>
          <w:b/>
          <w:bCs/>
          <w:sz w:val="22"/>
          <w:szCs w:val="22"/>
        </w:rPr>
      </w:pPr>
    </w:p>
    <w:p w14:paraId="57305AA2" w14:textId="6984D3C9" w:rsidR="00993C77" w:rsidRPr="00D85F46" w:rsidRDefault="00CE395F" w:rsidP="0057335A">
      <w:pPr>
        <w:rPr>
          <w:b/>
          <w:bCs/>
          <w:sz w:val="22"/>
          <w:szCs w:val="22"/>
          <w:lang w:bidi="he-IL"/>
        </w:rPr>
      </w:pPr>
      <w:r w:rsidRPr="00D85F46">
        <w:rPr>
          <w:b/>
          <w:bCs/>
          <w:sz w:val="22"/>
          <w:szCs w:val="22"/>
        </w:rPr>
        <w:t xml:space="preserve">Note </w:t>
      </w:r>
      <w:r w:rsidR="00C7020E" w:rsidRPr="00D85F46">
        <w:rPr>
          <w:b/>
          <w:bCs/>
          <w:sz w:val="22"/>
          <w:szCs w:val="22"/>
        </w:rPr>
        <w:t>2</w:t>
      </w:r>
      <w:r w:rsidR="00C7020E">
        <w:rPr>
          <w:b/>
          <w:bCs/>
          <w:sz w:val="22"/>
          <w:szCs w:val="22"/>
          <w:lang w:bidi="he-IL"/>
        </w:rPr>
        <w:t>5</w:t>
      </w:r>
      <w:r w:rsidR="00215FA4">
        <w:rPr>
          <w:b/>
          <w:bCs/>
          <w:sz w:val="22"/>
          <w:szCs w:val="22"/>
          <w:lang w:bidi="he-IL"/>
        </w:rPr>
        <w:t xml:space="preserve"> </w:t>
      </w:r>
      <w:r w:rsidRPr="00D85F46">
        <w:rPr>
          <w:b/>
          <w:bCs/>
          <w:sz w:val="22"/>
          <w:szCs w:val="22"/>
        </w:rPr>
        <w:t>- Group Entities (cont’d)</w:t>
      </w:r>
    </w:p>
    <w:p w14:paraId="7511D190" w14:textId="5991687F" w:rsidR="00C35D07" w:rsidRPr="004D3B75" w:rsidRDefault="00C35D07" w:rsidP="004D3B75">
      <w:pPr>
        <w:rPr>
          <w:sz w:val="22"/>
          <w:szCs w:val="22"/>
        </w:rPr>
      </w:pPr>
    </w:p>
    <w:tbl>
      <w:tblPr>
        <w:tblW w:w="9637" w:type="dxa"/>
        <w:tblLook w:val="06A0" w:firstRow="1" w:lastRow="0" w:firstColumn="1" w:lastColumn="0" w:noHBand="1" w:noVBand="1"/>
        <w:tblCaption w:val="AHR01"/>
        <w:tblDescription w:val="Group Entities"/>
      </w:tblPr>
      <w:tblGrid>
        <w:gridCol w:w="4535"/>
        <w:gridCol w:w="2268"/>
        <w:gridCol w:w="1417"/>
        <w:gridCol w:w="1417"/>
      </w:tblGrid>
      <w:tr w:rsidR="0040585B" w:rsidRPr="00E55352" w14:paraId="6CDAF796" w14:textId="77777777" w:rsidTr="005101BC">
        <w:trPr>
          <w:cantSplit/>
          <w:trHeight w:val="180"/>
          <w:tblHeader/>
        </w:trPr>
        <w:tc>
          <w:tcPr>
            <w:tcW w:w="4535" w:type="dxa"/>
            <w:shd w:val="clear" w:color="auto" w:fill="auto"/>
            <w:vAlign w:val="bottom"/>
          </w:tcPr>
          <w:p w14:paraId="729D7745" w14:textId="77777777" w:rsidR="0040585B" w:rsidRPr="00E55352" w:rsidRDefault="0040585B" w:rsidP="0040585B">
            <w:pPr>
              <w:spacing w:before="40"/>
              <w:rPr>
                <w:color w:val="000000"/>
                <w:sz w:val="20"/>
              </w:rPr>
            </w:pPr>
            <w:bookmarkStart w:id="228" w:name="Title_71" w:colFirst="0" w:colLast="0"/>
          </w:p>
        </w:tc>
        <w:tc>
          <w:tcPr>
            <w:tcW w:w="2268" w:type="dxa"/>
            <w:shd w:val="clear" w:color="auto" w:fill="auto"/>
            <w:vAlign w:val="bottom"/>
          </w:tcPr>
          <w:p w14:paraId="1DF597AA" w14:textId="77777777" w:rsidR="0040585B" w:rsidRPr="00E55352" w:rsidRDefault="0040585B" w:rsidP="0040585B">
            <w:pPr>
              <w:spacing w:before="40"/>
              <w:rPr>
                <w:rFonts w:asciiTheme="majorBidi" w:hAnsiTheme="majorBidi" w:cstheme="majorBidi"/>
                <w:color w:val="000000"/>
                <w:sz w:val="20"/>
                <w:u w:val="single"/>
              </w:rPr>
            </w:pPr>
            <w:r w:rsidRPr="00E55352">
              <w:rPr>
                <w:rFonts w:asciiTheme="majorBidi" w:hAnsiTheme="majorBidi" w:cstheme="majorBidi"/>
                <w:color w:val="000000"/>
                <w:sz w:val="20"/>
                <w:u w:val="single"/>
              </w:rPr>
              <w:t>Country of incorporation</w:t>
            </w:r>
          </w:p>
        </w:tc>
        <w:tc>
          <w:tcPr>
            <w:tcW w:w="1417" w:type="dxa"/>
            <w:tcBorders>
              <w:bottom w:val="single" w:sz="4" w:space="0" w:color="auto"/>
            </w:tcBorders>
            <w:shd w:val="clear" w:color="auto" w:fill="auto"/>
            <w:noWrap/>
            <w:vAlign w:val="bottom"/>
          </w:tcPr>
          <w:p w14:paraId="71C82980" w14:textId="0350BFA0" w:rsidR="0040585B" w:rsidRPr="00E55352" w:rsidRDefault="0040585B" w:rsidP="00D85F46">
            <w:pPr>
              <w:spacing w:before="40"/>
              <w:ind w:left="57"/>
              <w:jc w:val="center"/>
              <w:rPr>
                <w:rFonts w:asciiTheme="majorBidi" w:hAnsiTheme="majorBidi" w:cstheme="majorBidi"/>
                <w:b/>
                <w:bCs/>
                <w:color w:val="000000"/>
                <w:sz w:val="20"/>
                <w:lang w:bidi="he-IL"/>
              </w:rPr>
            </w:pPr>
            <w:r w:rsidRPr="00E55352">
              <w:rPr>
                <w:rFonts w:asciiTheme="majorBidi" w:hAnsiTheme="majorBidi" w:cstheme="majorBidi"/>
                <w:b/>
                <w:bCs/>
                <w:color w:val="000000"/>
                <w:sz w:val="20"/>
              </w:rPr>
              <w:t xml:space="preserve">December 31, </w:t>
            </w:r>
            <w:r w:rsidR="00AD1E41">
              <w:rPr>
                <w:rFonts w:asciiTheme="majorBidi" w:hAnsiTheme="majorBidi" w:cstheme="majorBidi" w:hint="cs"/>
                <w:b/>
                <w:bCs/>
                <w:color w:val="000000"/>
                <w:sz w:val="20"/>
                <w:rtl/>
                <w:lang w:bidi="he-IL"/>
              </w:rPr>
              <w:t>202</w:t>
            </w:r>
            <w:r w:rsidR="00A95416">
              <w:rPr>
                <w:rFonts w:asciiTheme="majorBidi" w:hAnsiTheme="majorBidi" w:cstheme="majorBidi" w:hint="cs"/>
                <w:b/>
                <w:bCs/>
                <w:color w:val="000000"/>
                <w:sz w:val="20"/>
                <w:rtl/>
                <w:lang w:bidi="he-IL"/>
              </w:rPr>
              <w:t>4</w:t>
            </w:r>
          </w:p>
        </w:tc>
        <w:tc>
          <w:tcPr>
            <w:tcW w:w="1417" w:type="dxa"/>
            <w:tcBorders>
              <w:bottom w:val="single" w:sz="4" w:space="0" w:color="auto"/>
            </w:tcBorders>
            <w:shd w:val="clear" w:color="auto" w:fill="auto"/>
            <w:noWrap/>
            <w:vAlign w:val="bottom"/>
          </w:tcPr>
          <w:p w14:paraId="26ECFE0D" w14:textId="206B62AF" w:rsidR="0040585B" w:rsidRPr="00E55352" w:rsidRDefault="0040585B" w:rsidP="00D85F46">
            <w:pPr>
              <w:spacing w:before="40"/>
              <w:ind w:left="57"/>
              <w:jc w:val="center"/>
              <w:rPr>
                <w:rFonts w:asciiTheme="majorBidi" w:hAnsiTheme="majorBidi" w:cstheme="majorBidi"/>
                <w:b/>
                <w:bCs/>
                <w:color w:val="000000"/>
                <w:sz w:val="20"/>
                <w:lang w:bidi="he-IL"/>
              </w:rPr>
            </w:pPr>
            <w:r w:rsidRPr="00E55352">
              <w:rPr>
                <w:rFonts w:asciiTheme="majorBidi" w:hAnsiTheme="majorBidi" w:cstheme="majorBidi"/>
                <w:b/>
                <w:bCs/>
                <w:color w:val="000000"/>
                <w:sz w:val="20"/>
              </w:rPr>
              <w:t xml:space="preserve">December 31, </w:t>
            </w:r>
            <w:r w:rsidR="00AD1E41">
              <w:rPr>
                <w:rFonts w:asciiTheme="majorBidi" w:hAnsiTheme="majorBidi" w:cstheme="majorBidi" w:hint="cs"/>
                <w:b/>
                <w:bCs/>
                <w:color w:val="000000"/>
                <w:sz w:val="20"/>
                <w:rtl/>
                <w:lang w:bidi="he-IL"/>
              </w:rPr>
              <w:t>202</w:t>
            </w:r>
            <w:r w:rsidR="00A95416">
              <w:rPr>
                <w:rFonts w:asciiTheme="majorBidi" w:hAnsiTheme="majorBidi" w:cstheme="majorBidi" w:hint="cs"/>
                <w:b/>
                <w:bCs/>
                <w:color w:val="000000"/>
                <w:sz w:val="20"/>
                <w:rtl/>
                <w:lang w:bidi="he-IL"/>
              </w:rPr>
              <w:t>3</w:t>
            </w:r>
          </w:p>
        </w:tc>
      </w:tr>
      <w:bookmarkEnd w:id="228"/>
      <w:tr w:rsidR="007A4AEE" w:rsidRPr="00E55352" w14:paraId="32184882" w14:textId="77777777" w:rsidTr="005101BC">
        <w:trPr>
          <w:trHeight w:val="180"/>
        </w:trPr>
        <w:tc>
          <w:tcPr>
            <w:tcW w:w="4535" w:type="dxa"/>
            <w:vAlign w:val="bottom"/>
          </w:tcPr>
          <w:p w14:paraId="61CBDAA6" w14:textId="04A0E337" w:rsidR="007A4AEE" w:rsidRPr="00B173C1" w:rsidRDefault="007C29D6" w:rsidP="007A4AEE">
            <w:pPr>
              <w:spacing w:before="40"/>
              <w:rPr>
                <w:color w:val="000000"/>
                <w:sz w:val="20"/>
              </w:rPr>
            </w:pPr>
            <w:r>
              <w:rPr>
                <w:sz w:val="20"/>
              </w:rPr>
              <w:t xml:space="preserve">AFI Project 13 </w:t>
            </w:r>
            <w:r w:rsidRPr="004C1174">
              <w:rPr>
                <w:rFonts w:eastAsia="Arial"/>
                <w:sz w:val="20"/>
              </w:rPr>
              <w:t xml:space="preserve">Sp. z </w:t>
            </w:r>
            <w:proofErr w:type="spellStart"/>
            <w:r w:rsidRPr="004C1174">
              <w:rPr>
                <w:rFonts w:eastAsia="Arial"/>
                <w:sz w:val="20"/>
              </w:rPr>
              <w:t>o.o</w:t>
            </w:r>
            <w:proofErr w:type="spellEnd"/>
            <w:r w:rsidRPr="004C1174">
              <w:rPr>
                <w:rFonts w:eastAsia="Arial"/>
                <w:sz w:val="20"/>
              </w:rPr>
              <w:t xml:space="preserve"> </w:t>
            </w:r>
            <w:r>
              <w:rPr>
                <w:rFonts w:eastAsia="Arial"/>
                <w:sz w:val="20"/>
              </w:rPr>
              <w:t xml:space="preserve">(formerly: </w:t>
            </w:r>
            <w:r w:rsidR="007A4AEE" w:rsidRPr="00B173C1">
              <w:rPr>
                <w:sz w:val="20"/>
              </w:rPr>
              <w:t xml:space="preserve">AFI </w:t>
            </w:r>
            <w:proofErr w:type="spellStart"/>
            <w:r w:rsidR="007A4AEE" w:rsidRPr="00B173C1">
              <w:rPr>
                <w:sz w:val="20"/>
              </w:rPr>
              <w:t>Kabaty</w:t>
            </w:r>
            <w:proofErr w:type="spellEnd"/>
            <w:r w:rsidR="007A4AEE" w:rsidRPr="00B173C1">
              <w:rPr>
                <w:sz w:val="20"/>
              </w:rPr>
              <w:t xml:space="preserve"> sp. z </w:t>
            </w:r>
            <w:proofErr w:type="spellStart"/>
            <w:r w:rsidR="007A4AEE" w:rsidRPr="00B173C1">
              <w:rPr>
                <w:sz w:val="20"/>
              </w:rPr>
              <w:t>o.o.</w:t>
            </w:r>
            <w:proofErr w:type="spellEnd"/>
            <w:r>
              <w:rPr>
                <w:sz w:val="20"/>
              </w:rPr>
              <w:t>)</w:t>
            </w:r>
            <w:r w:rsidR="007A4AEE" w:rsidRPr="00B173C1">
              <w:rPr>
                <w:sz w:val="20"/>
              </w:rPr>
              <w:t xml:space="preserve"> </w:t>
            </w:r>
            <w:r w:rsidR="005B42AB" w:rsidRPr="00B173C1">
              <w:rPr>
                <w:sz w:val="20"/>
              </w:rPr>
              <w:t>(4)</w:t>
            </w:r>
          </w:p>
        </w:tc>
        <w:tc>
          <w:tcPr>
            <w:tcW w:w="2268" w:type="dxa"/>
            <w:vAlign w:val="bottom"/>
          </w:tcPr>
          <w:p w14:paraId="649006D1" w14:textId="18EB23B3" w:rsidR="007A4AEE" w:rsidRPr="00E55352" w:rsidRDefault="007A4AEE" w:rsidP="007A4AEE">
            <w:pPr>
              <w:spacing w:before="40"/>
              <w:rPr>
                <w:color w:val="000000"/>
                <w:sz w:val="20"/>
              </w:rPr>
            </w:pPr>
            <w:r w:rsidRPr="00E55352">
              <w:rPr>
                <w:color w:val="000000"/>
                <w:sz w:val="20"/>
              </w:rPr>
              <w:t>Poland</w:t>
            </w:r>
          </w:p>
        </w:tc>
        <w:tc>
          <w:tcPr>
            <w:tcW w:w="1417" w:type="dxa"/>
            <w:noWrap/>
            <w:vAlign w:val="bottom"/>
          </w:tcPr>
          <w:p w14:paraId="04626B14" w14:textId="4505D237" w:rsidR="007A4AEE" w:rsidRPr="00CD5E4D" w:rsidDel="00FD0AE5" w:rsidRDefault="007A4AEE" w:rsidP="007A4AEE">
            <w:pPr>
              <w:spacing w:before="40"/>
              <w:jc w:val="right"/>
              <w:rPr>
                <w:color w:val="000000"/>
                <w:sz w:val="20"/>
              </w:rPr>
            </w:pPr>
            <w:r w:rsidRPr="00440C55">
              <w:rPr>
                <w:rFonts w:asciiTheme="majorBidi" w:hAnsiTheme="majorBidi" w:cstheme="majorBidi"/>
                <w:color w:val="000000"/>
                <w:sz w:val="20"/>
              </w:rPr>
              <w:t>100.0</w:t>
            </w:r>
          </w:p>
        </w:tc>
        <w:tc>
          <w:tcPr>
            <w:tcW w:w="1417" w:type="dxa"/>
            <w:noWrap/>
            <w:vAlign w:val="bottom"/>
          </w:tcPr>
          <w:p w14:paraId="4EB28800" w14:textId="56076010" w:rsidR="007A4AEE" w:rsidRPr="00CD5E4D" w:rsidRDefault="009C4587" w:rsidP="007A4AEE">
            <w:pPr>
              <w:spacing w:before="40"/>
              <w:jc w:val="right"/>
              <w:rPr>
                <w:color w:val="000000"/>
                <w:sz w:val="20"/>
              </w:rPr>
            </w:pPr>
            <w:r>
              <w:rPr>
                <w:rFonts w:asciiTheme="majorBidi" w:hAnsiTheme="majorBidi" w:cstheme="majorBidi"/>
                <w:color w:val="000000"/>
                <w:sz w:val="20"/>
              </w:rPr>
              <w:t>100.0</w:t>
            </w:r>
          </w:p>
        </w:tc>
      </w:tr>
      <w:tr w:rsidR="007A4AEE" w:rsidRPr="00E55352" w14:paraId="641FD85F" w14:textId="77777777" w:rsidTr="005101BC">
        <w:trPr>
          <w:trHeight w:val="180"/>
        </w:trPr>
        <w:tc>
          <w:tcPr>
            <w:tcW w:w="4535" w:type="dxa"/>
            <w:vAlign w:val="bottom"/>
          </w:tcPr>
          <w:p w14:paraId="041D418C" w14:textId="4E568242" w:rsidR="007A4AEE" w:rsidRPr="00E55352" w:rsidRDefault="007A4AEE" w:rsidP="007A4AEE">
            <w:pPr>
              <w:spacing w:before="40"/>
              <w:rPr>
                <w:rFonts w:asciiTheme="majorBidi" w:eastAsia="Arial" w:hAnsiTheme="majorBidi" w:cstheme="majorBidi"/>
                <w:sz w:val="20"/>
              </w:rPr>
            </w:pPr>
            <w:r w:rsidRPr="00E55352">
              <w:rPr>
                <w:rFonts w:asciiTheme="majorBidi" w:eastAsia="Arial" w:hAnsiTheme="majorBidi" w:cstheme="majorBidi"/>
                <w:sz w:val="20"/>
              </w:rPr>
              <w:t>SIA AFI Investments</w:t>
            </w:r>
          </w:p>
        </w:tc>
        <w:tc>
          <w:tcPr>
            <w:tcW w:w="2268" w:type="dxa"/>
            <w:vAlign w:val="bottom"/>
          </w:tcPr>
          <w:p w14:paraId="71684111" w14:textId="67CFF51E" w:rsidR="007A4AEE" w:rsidRPr="00E55352" w:rsidRDefault="007A4AEE" w:rsidP="007A4AEE">
            <w:pPr>
              <w:spacing w:before="40"/>
              <w:rPr>
                <w:rFonts w:asciiTheme="majorBidi" w:hAnsiTheme="majorBidi" w:cstheme="majorBidi"/>
                <w:color w:val="000000"/>
                <w:sz w:val="20"/>
              </w:rPr>
            </w:pPr>
            <w:r w:rsidRPr="00E55352">
              <w:rPr>
                <w:rFonts w:asciiTheme="majorBidi" w:hAnsiTheme="majorBidi" w:cstheme="majorBidi"/>
                <w:color w:val="000000"/>
                <w:sz w:val="20"/>
              </w:rPr>
              <w:t>Latvia</w:t>
            </w:r>
          </w:p>
        </w:tc>
        <w:tc>
          <w:tcPr>
            <w:tcW w:w="1417" w:type="dxa"/>
            <w:noWrap/>
            <w:vAlign w:val="bottom"/>
          </w:tcPr>
          <w:p w14:paraId="479525A2" w14:textId="6B5E5269" w:rsidR="007A4AEE" w:rsidRPr="00440C55" w:rsidRDefault="007A4AEE" w:rsidP="007A4AEE">
            <w:pPr>
              <w:spacing w:before="40"/>
              <w:jc w:val="right"/>
              <w:rPr>
                <w:rFonts w:asciiTheme="majorBidi" w:hAnsiTheme="majorBidi" w:cstheme="majorBidi"/>
                <w:color w:val="000000"/>
                <w:sz w:val="20"/>
              </w:rPr>
            </w:pPr>
            <w:r w:rsidRPr="00440C55">
              <w:rPr>
                <w:rFonts w:asciiTheme="majorBidi" w:hAnsiTheme="majorBidi" w:cstheme="majorBidi"/>
                <w:color w:val="000000"/>
                <w:sz w:val="20"/>
              </w:rPr>
              <w:t xml:space="preserve"> 100.0</w:t>
            </w:r>
          </w:p>
        </w:tc>
        <w:tc>
          <w:tcPr>
            <w:tcW w:w="1417" w:type="dxa"/>
            <w:noWrap/>
            <w:vAlign w:val="bottom"/>
          </w:tcPr>
          <w:p w14:paraId="3FD18674" w14:textId="24F91DD5" w:rsidR="007A4AEE" w:rsidRPr="00440C55" w:rsidRDefault="007A4AEE" w:rsidP="007A4AEE">
            <w:pPr>
              <w:spacing w:before="40"/>
              <w:jc w:val="right"/>
              <w:rPr>
                <w:rFonts w:asciiTheme="majorBidi" w:hAnsiTheme="majorBidi" w:cstheme="majorBidi"/>
                <w:color w:val="000000"/>
                <w:sz w:val="20"/>
              </w:rPr>
            </w:pPr>
            <w:r w:rsidRPr="00440C55">
              <w:rPr>
                <w:rFonts w:asciiTheme="majorBidi" w:hAnsiTheme="majorBidi" w:cstheme="majorBidi"/>
                <w:color w:val="000000"/>
                <w:sz w:val="20"/>
              </w:rPr>
              <w:t xml:space="preserve"> 100.0</w:t>
            </w:r>
          </w:p>
        </w:tc>
      </w:tr>
      <w:tr w:rsidR="007A4AEE" w:rsidRPr="00E55352" w14:paraId="2586EFFC" w14:textId="77777777" w:rsidTr="005101BC">
        <w:trPr>
          <w:trHeight w:val="180"/>
        </w:trPr>
        <w:tc>
          <w:tcPr>
            <w:tcW w:w="4535" w:type="dxa"/>
            <w:vAlign w:val="bottom"/>
          </w:tcPr>
          <w:p w14:paraId="23FE173C" w14:textId="430D8E67" w:rsidR="007A4AEE" w:rsidRPr="00E55352" w:rsidRDefault="007A4AEE" w:rsidP="007A4AEE">
            <w:pPr>
              <w:spacing w:before="40"/>
              <w:rPr>
                <w:rFonts w:asciiTheme="majorBidi" w:eastAsia="Arial" w:hAnsiTheme="majorBidi" w:cstheme="majorBidi"/>
                <w:sz w:val="20"/>
              </w:rPr>
            </w:pPr>
            <w:r w:rsidRPr="00E55352">
              <w:rPr>
                <w:rFonts w:asciiTheme="majorBidi" w:eastAsia="Arial" w:hAnsiTheme="majorBidi" w:cstheme="majorBidi"/>
                <w:sz w:val="20"/>
              </w:rPr>
              <w:t>SIA AFI Management</w:t>
            </w:r>
          </w:p>
        </w:tc>
        <w:tc>
          <w:tcPr>
            <w:tcW w:w="2268" w:type="dxa"/>
            <w:vAlign w:val="bottom"/>
          </w:tcPr>
          <w:p w14:paraId="65CE1C02" w14:textId="7A1CCE9F" w:rsidR="007A4AEE" w:rsidRPr="00E55352" w:rsidRDefault="007A4AEE" w:rsidP="007A4AEE">
            <w:pPr>
              <w:spacing w:before="40"/>
              <w:rPr>
                <w:rFonts w:asciiTheme="majorBidi" w:hAnsiTheme="majorBidi" w:cstheme="majorBidi"/>
                <w:color w:val="000000"/>
                <w:sz w:val="20"/>
              </w:rPr>
            </w:pPr>
            <w:r w:rsidRPr="00E55352">
              <w:rPr>
                <w:rFonts w:asciiTheme="majorBidi" w:hAnsiTheme="majorBidi" w:cstheme="majorBidi"/>
                <w:color w:val="000000"/>
                <w:sz w:val="20"/>
              </w:rPr>
              <w:t>Latvia</w:t>
            </w:r>
          </w:p>
        </w:tc>
        <w:tc>
          <w:tcPr>
            <w:tcW w:w="1417" w:type="dxa"/>
            <w:noWrap/>
            <w:vAlign w:val="bottom"/>
          </w:tcPr>
          <w:p w14:paraId="2F1566F3" w14:textId="1C8C7437" w:rsidR="007A4AEE" w:rsidRPr="00CD5E4D" w:rsidRDefault="007A4AEE" w:rsidP="007A4AEE">
            <w:pPr>
              <w:spacing w:before="40"/>
              <w:jc w:val="right"/>
              <w:rPr>
                <w:rFonts w:asciiTheme="majorBidi" w:hAnsiTheme="majorBidi" w:cstheme="majorBidi"/>
                <w:color w:val="000000"/>
                <w:sz w:val="20"/>
              </w:rPr>
            </w:pPr>
            <w:r w:rsidRPr="00440C55">
              <w:rPr>
                <w:rFonts w:asciiTheme="majorBidi" w:hAnsiTheme="majorBidi" w:cstheme="majorBidi"/>
                <w:color w:val="000000"/>
                <w:sz w:val="20"/>
              </w:rPr>
              <w:t xml:space="preserve"> 100.0</w:t>
            </w:r>
          </w:p>
        </w:tc>
        <w:tc>
          <w:tcPr>
            <w:tcW w:w="1417" w:type="dxa"/>
            <w:noWrap/>
            <w:vAlign w:val="bottom"/>
          </w:tcPr>
          <w:p w14:paraId="631B332B" w14:textId="2FDA8298" w:rsidR="007A4AEE" w:rsidRPr="00CD5E4D" w:rsidRDefault="007A4AEE" w:rsidP="007A4AEE">
            <w:pPr>
              <w:spacing w:before="40"/>
              <w:jc w:val="right"/>
              <w:rPr>
                <w:rFonts w:asciiTheme="majorBidi" w:hAnsiTheme="majorBidi" w:cstheme="majorBidi"/>
                <w:color w:val="000000"/>
                <w:sz w:val="20"/>
              </w:rPr>
            </w:pPr>
            <w:r w:rsidRPr="00440C55">
              <w:rPr>
                <w:rFonts w:asciiTheme="majorBidi" w:hAnsiTheme="majorBidi" w:cstheme="majorBidi"/>
                <w:color w:val="000000"/>
                <w:sz w:val="20"/>
              </w:rPr>
              <w:t xml:space="preserve"> 100.0</w:t>
            </w:r>
          </w:p>
        </w:tc>
      </w:tr>
      <w:tr w:rsidR="007A4AEE" w:rsidRPr="00E55352" w14:paraId="32E5E016" w14:textId="77777777" w:rsidTr="005101BC">
        <w:trPr>
          <w:trHeight w:val="180"/>
        </w:trPr>
        <w:tc>
          <w:tcPr>
            <w:tcW w:w="4535" w:type="dxa"/>
            <w:vAlign w:val="bottom"/>
          </w:tcPr>
          <w:p w14:paraId="4D5905AD" w14:textId="181C3C7C" w:rsidR="007A4AEE" w:rsidRPr="00E55352" w:rsidRDefault="007A4AEE" w:rsidP="007A4AEE">
            <w:pPr>
              <w:spacing w:before="40"/>
              <w:rPr>
                <w:rFonts w:asciiTheme="majorBidi" w:eastAsia="Arial" w:hAnsiTheme="majorBidi" w:cstheme="majorBidi"/>
                <w:sz w:val="20"/>
              </w:rPr>
            </w:pPr>
            <w:r w:rsidRPr="00E55352">
              <w:rPr>
                <w:rFonts w:asciiTheme="majorBidi" w:eastAsia="Arial" w:hAnsiTheme="majorBidi" w:cstheme="majorBidi"/>
                <w:sz w:val="20"/>
              </w:rPr>
              <w:t>SIA B.R. Holdings</w:t>
            </w:r>
            <w:r w:rsidR="00FC043A">
              <w:rPr>
                <w:rFonts w:asciiTheme="majorBidi" w:eastAsia="Arial" w:hAnsiTheme="majorBidi" w:cstheme="majorBidi"/>
                <w:sz w:val="20"/>
              </w:rPr>
              <w:t xml:space="preserve"> </w:t>
            </w:r>
            <w:r w:rsidR="00FC043A">
              <w:rPr>
                <w:sz w:val="18"/>
              </w:rPr>
              <w:t>(In Liquidation)</w:t>
            </w:r>
          </w:p>
        </w:tc>
        <w:tc>
          <w:tcPr>
            <w:tcW w:w="2268" w:type="dxa"/>
            <w:vAlign w:val="bottom"/>
          </w:tcPr>
          <w:p w14:paraId="6B3BA8C5" w14:textId="697F5DA9" w:rsidR="007A4AEE" w:rsidRPr="00E55352" w:rsidRDefault="007A4AEE" w:rsidP="007A4AEE">
            <w:pPr>
              <w:spacing w:before="40"/>
              <w:rPr>
                <w:rFonts w:asciiTheme="majorBidi" w:hAnsiTheme="majorBidi" w:cstheme="majorBidi"/>
                <w:color w:val="000000"/>
                <w:sz w:val="20"/>
              </w:rPr>
            </w:pPr>
            <w:r w:rsidRPr="00E55352">
              <w:rPr>
                <w:rFonts w:asciiTheme="majorBidi" w:hAnsiTheme="majorBidi" w:cstheme="majorBidi"/>
                <w:color w:val="000000"/>
                <w:sz w:val="20"/>
              </w:rPr>
              <w:t>Latvia</w:t>
            </w:r>
          </w:p>
        </w:tc>
        <w:tc>
          <w:tcPr>
            <w:tcW w:w="1417" w:type="dxa"/>
            <w:noWrap/>
            <w:vAlign w:val="bottom"/>
          </w:tcPr>
          <w:p w14:paraId="6AC66F1F" w14:textId="53533560" w:rsidR="007A4AEE" w:rsidRPr="00CD5E4D" w:rsidRDefault="007A4AEE" w:rsidP="007A4AEE">
            <w:pPr>
              <w:spacing w:before="40"/>
              <w:jc w:val="right"/>
              <w:rPr>
                <w:rFonts w:asciiTheme="majorBidi" w:hAnsiTheme="majorBidi" w:cstheme="majorBidi"/>
                <w:color w:val="000000"/>
                <w:sz w:val="20"/>
              </w:rPr>
            </w:pPr>
            <w:r w:rsidRPr="00440C55">
              <w:rPr>
                <w:rFonts w:asciiTheme="majorBidi" w:hAnsiTheme="majorBidi" w:cstheme="majorBidi"/>
                <w:color w:val="000000"/>
                <w:sz w:val="20"/>
              </w:rPr>
              <w:t xml:space="preserve"> 100.0</w:t>
            </w:r>
          </w:p>
        </w:tc>
        <w:tc>
          <w:tcPr>
            <w:tcW w:w="1417" w:type="dxa"/>
            <w:noWrap/>
            <w:vAlign w:val="bottom"/>
          </w:tcPr>
          <w:p w14:paraId="59A1E548" w14:textId="1F884D21" w:rsidR="007A4AEE" w:rsidRPr="00CD5E4D" w:rsidRDefault="007A4AEE" w:rsidP="007A4AEE">
            <w:pPr>
              <w:spacing w:before="40"/>
              <w:jc w:val="right"/>
              <w:rPr>
                <w:rFonts w:asciiTheme="majorBidi" w:hAnsiTheme="majorBidi" w:cstheme="majorBidi"/>
                <w:color w:val="000000"/>
                <w:sz w:val="20"/>
              </w:rPr>
            </w:pPr>
            <w:r w:rsidRPr="00440C55">
              <w:rPr>
                <w:rFonts w:asciiTheme="majorBidi" w:hAnsiTheme="majorBidi" w:cstheme="majorBidi"/>
                <w:color w:val="000000"/>
                <w:sz w:val="20"/>
              </w:rPr>
              <w:t xml:space="preserve"> 100.0</w:t>
            </w:r>
          </w:p>
        </w:tc>
      </w:tr>
      <w:tr w:rsidR="002365DE" w:rsidRPr="00E55352" w14:paraId="6643FE97" w14:textId="77777777" w:rsidTr="005101BC">
        <w:trPr>
          <w:trHeight w:val="180"/>
        </w:trPr>
        <w:tc>
          <w:tcPr>
            <w:tcW w:w="4535" w:type="dxa"/>
            <w:vAlign w:val="bottom"/>
          </w:tcPr>
          <w:p w14:paraId="53F4DC37" w14:textId="6D4FDE24" w:rsidR="002365DE" w:rsidRPr="00FC043A" w:rsidRDefault="002365DE" w:rsidP="002365DE">
            <w:pPr>
              <w:spacing w:before="40"/>
              <w:rPr>
                <w:rFonts w:asciiTheme="majorBidi" w:eastAsia="Arial" w:hAnsiTheme="majorBidi" w:cstheme="majorBidi"/>
                <w:sz w:val="20"/>
              </w:rPr>
            </w:pPr>
            <w:r w:rsidRPr="00FC043A">
              <w:rPr>
                <w:rFonts w:asciiTheme="majorBidi" w:eastAsia="Arial" w:hAnsiTheme="majorBidi" w:cstheme="majorBidi"/>
                <w:sz w:val="20"/>
              </w:rPr>
              <w:t xml:space="preserve">SIA </w:t>
            </w:r>
            <w:proofErr w:type="spellStart"/>
            <w:r w:rsidRPr="00FC043A">
              <w:rPr>
                <w:rFonts w:asciiTheme="majorBidi" w:eastAsia="Arial" w:hAnsiTheme="majorBidi" w:cstheme="majorBidi"/>
                <w:sz w:val="20"/>
              </w:rPr>
              <w:t>Anninmuizas</w:t>
            </w:r>
            <w:proofErr w:type="spellEnd"/>
            <w:r w:rsidRPr="00FC043A">
              <w:rPr>
                <w:rFonts w:asciiTheme="majorBidi" w:eastAsia="Arial" w:hAnsiTheme="majorBidi" w:cstheme="majorBidi"/>
                <w:sz w:val="20"/>
              </w:rPr>
              <w:t xml:space="preserve"> </w:t>
            </w:r>
            <w:proofErr w:type="spellStart"/>
            <w:r w:rsidRPr="00FC043A">
              <w:rPr>
                <w:rFonts w:asciiTheme="majorBidi" w:eastAsia="Arial" w:hAnsiTheme="majorBidi" w:cstheme="majorBidi"/>
                <w:sz w:val="20"/>
              </w:rPr>
              <w:t>Ipasums</w:t>
            </w:r>
            <w:proofErr w:type="spellEnd"/>
            <w:r w:rsidRPr="00FC043A">
              <w:rPr>
                <w:rFonts w:asciiTheme="majorBidi" w:eastAsia="Arial" w:hAnsiTheme="majorBidi" w:cstheme="majorBidi"/>
                <w:sz w:val="20"/>
              </w:rPr>
              <w:t xml:space="preserve"> </w:t>
            </w:r>
            <w:r w:rsidRPr="00FC043A">
              <w:rPr>
                <w:sz w:val="18"/>
              </w:rPr>
              <w:t>(In Liquidation)</w:t>
            </w:r>
          </w:p>
        </w:tc>
        <w:tc>
          <w:tcPr>
            <w:tcW w:w="2268" w:type="dxa"/>
            <w:vAlign w:val="bottom"/>
          </w:tcPr>
          <w:p w14:paraId="73B109BC" w14:textId="11F595D1" w:rsidR="002365DE" w:rsidRPr="00FC043A" w:rsidRDefault="002365DE" w:rsidP="002365DE">
            <w:pPr>
              <w:spacing w:before="40"/>
              <w:rPr>
                <w:rFonts w:asciiTheme="majorBidi" w:hAnsiTheme="majorBidi" w:cstheme="majorBidi"/>
                <w:color w:val="000000"/>
                <w:sz w:val="20"/>
              </w:rPr>
            </w:pPr>
            <w:r w:rsidRPr="00FC043A">
              <w:rPr>
                <w:rFonts w:asciiTheme="majorBidi" w:hAnsiTheme="majorBidi" w:cstheme="majorBidi"/>
                <w:color w:val="000000"/>
                <w:sz w:val="20"/>
              </w:rPr>
              <w:t>Latvia</w:t>
            </w:r>
          </w:p>
        </w:tc>
        <w:tc>
          <w:tcPr>
            <w:tcW w:w="1417" w:type="dxa"/>
            <w:noWrap/>
            <w:vAlign w:val="bottom"/>
          </w:tcPr>
          <w:p w14:paraId="69CF76BE" w14:textId="71521C8E" w:rsidR="002365DE" w:rsidRPr="00FC043A" w:rsidRDefault="002365DE" w:rsidP="002365DE">
            <w:pPr>
              <w:spacing w:before="40"/>
              <w:jc w:val="right"/>
              <w:rPr>
                <w:rFonts w:asciiTheme="majorBidi" w:hAnsiTheme="majorBidi" w:cstheme="majorBidi"/>
                <w:color w:val="000000"/>
                <w:sz w:val="20"/>
              </w:rPr>
            </w:pPr>
            <w:r w:rsidRPr="00440C55">
              <w:rPr>
                <w:rFonts w:asciiTheme="majorBidi" w:hAnsiTheme="majorBidi" w:cstheme="majorBidi"/>
                <w:color w:val="000000"/>
                <w:sz w:val="20"/>
              </w:rPr>
              <w:t xml:space="preserve"> 100.0</w:t>
            </w:r>
          </w:p>
        </w:tc>
        <w:tc>
          <w:tcPr>
            <w:tcW w:w="1417" w:type="dxa"/>
            <w:noWrap/>
            <w:vAlign w:val="bottom"/>
          </w:tcPr>
          <w:p w14:paraId="570B4431" w14:textId="670AF412" w:rsidR="002365DE" w:rsidRPr="00FC043A" w:rsidRDefault="002365DE" w:rsidP="002365DE">
            <w:pPr>
              <w:spacing w:before="40"/>
              <w:jc w:val="right"/>
              <w:rPr>
                <w:rFonts w:asciiTheme="majorBidi" w:hAnsiTheme="majorBidi" w:cstheme="majorBidi"/>
                <w:color w:val="000000"/>
                <w:sz w:val="20"/>
              </w:rPr>
            </w:pPr>
            <w:r w:rsidRPr="00FC043A">
              <w:rPr>
                <w:rFonts w:asciiTheme="majorBidi" w:hAnsiTheme="majorBidi" w:cstheme="majorBidi"/>
                <w:color w:val="000000"/>
                <w:sz w:val="20"/>
              </w:rPr>
              <w:t xml:space="preserve"> 100.0</w:t>
            </w:r>
          </w:p>
        </w:tc>
      </w:tr>
      <w:tr w:rsidR="007A4AEE" w:rsidRPr="00E55352" w14:paraId="3B6DC450" w14:textId="77777777" w:rsidTr="005101BC">
        <w:trPr>
          <w:trHeight w:val="180"/>
        </w:trPr>
        <w:tc>
          <w:tcPr>
            <w:tcW w:w="4535" w:type="dxa"/>
            <w:vAlign w:val="bottom"/>
          </w:tcPr>
          <w:p w14:paraId="586ACB60" w14:textId="6F1D35EF" w:rsidR="007A4AEE" w:rsidRPr="00E55352" w:rsidRDefault="007A4AEE" w:rsidP="007A4AEE">
            <w:pPr>
              <w:spacing w:before="40"/>
              <w:rPr>
                <w:rFonts w:asciiTheme="majorBidi" w:eastAsia="Arial" w:hAnsiTheme="majorBidi" w:cstheme="majorBidi"/>
                <w:sz w:val="20"/>
              </w:rPr>
            </w:pPr>
            <w:r w:rsidRPr="00E55352">
              <w:rPr>
                <w:rFonts w:asciiTheme="majorBidi" w:eastAsia="Arial" w:hAnsiTheme="majorBidi" w:cstheme="majorBidi"/>
                <w:sz w:val="20"/>
              </w:rPr>
              <w:t xml:space="preserve">AFI Properties Berlin B.V. </w:t>
            </w:r>
            <w:r w:rsidR="00FC043A">
              <w:rPr>
                <w:rFonts w:asciiTheme="majorBidi" w:eastAsia="Arial" w:hAnsiTheme="majorBidi" w:cstheme="majorBidi"/>
                <w:sz w:val="20"/>
              </w:rPr>
              <w:t>(liquidated)</w:t>
            </w:r>
          </w:p>
        </w:tc>
        <w:tc>
          <w:tcPr>
            <w:tcW w:w="2268" w:type="dxa"/>
            <w:vAlign w:val="bottom"/>
          </w:tcPr>
          <w:p w14:paraId="14090FB9" w14:textId="356991E5" w:rsidR="007A4AEE" w:rsidRPr="00E55352" w:rsidRDefault="007A4AEE" w:rsidP="007A4AEE">
            <w:pPr>
              <w:spacing w:before="40"/>
              <w:rPr>
                <w:rFonts w:asciiTheme="majorBidi" w:hAnsiTheme="majorBidi" w:cstheme="majorBidi"/>
                <w:color w:val="000000"/>
                <w:sz w:val="20"/>
              </w:rPr>
            </w:pPr>
            <w:r w:rsidRPr="00E55352">
              <w:rPr>
                <w:rFonts w:asciiTheme="majorBidi" w:hAnsiTheme="majorBidi" w:cstheme="majorBidi"/>
                <w:color w:val="000000"/>
                <w:sz w:val="20"/>
              </w:rPr>
              <w:t>The Netherlands</w:t>
            </w:r>
          </w:p>
        </w:tc>
        <w:tc>
          <w:tcPr>
            <w:tcW w:w="1417" w:type="dxa"/>
            <w:noWrap/>
            <w:vAlign w:val="bottom"/>
          </w:tcPr>
          <w:p w14:paraId="3AACEA9F" w14:textId="06327986" w:rsidR="007A4AEE" w:rsidRPr="00FC043A" w:rsidRDefault="00B173C1" w:rsidP="007A4AEE">
            <w:pPr>
              <w:spacing w:before="40"/>
              <w:jc w:val="right"/>
              <w:rPr>
                <w:rFonts w:asciiTheme="majorBidi" w:hAnsiTheme="majorBidi" w:cstheme="majorBidi"/>
                <w:color w:val="000000"/>
                <w:sz w:val="20"/>
              </w:rPr>
            </w:pPr>
            <w:r w:rsidRPr="00FC043A">
              <w:rPr>
                <w:rFonts w:asciiTheme="majorBidi" w:hAnsiTheme="majorBidi" w:cstheme="majorBidi"/>
                <w:color w:val="000000"/>
                <w:sz w:val="20"/>
              </w:rPr>
              <w:t>-</w:t>
            </w:r>
          </w:p>
        </w:tc>
        <w:tc>
          <w:tcPr>
            <w:tcW w:w="1417" w:type="dxa"/>
            <w:noWrap/>
            <w:vAlign w:val="bottom"/>
          </w:tcPr>
          <w:p w14:paraId="16B1BB5E" w14:textId="3193A248" w:rsidR="007A4AEE" w:rsidRPr="00CD5E4D" w:rsidRDefault="007A4AEE" w:rsidP="007A4AEE">
            <w:pPr>
              <w:spacing w:before="40"/>
              <w:jc w:val="right"/>
              <w:rPr>
                <w:rFonts w:asciiTheme="majorBidi" w:hAnsiTheme="majorBidi" w:cstheme="majorBidi"/>
                <w:color w:val="000000"/>
                <w:sz w:val="20"/>
              </w:rPr>
            </w:pPr>
            <w:r w:rsidRPr="00440C55">
              <w:rPr>
                <w:rFonts w:asciiTheme="majorBidi" w:hAnsiTheme="majorBidi" w:cstheme="majorBidi"/>
                <w:color w:val="000000"/>
                <w:sz w:val="20"/>
              </w:rPr>
              <w:t xml:space="preserve"> 100.0</w:t>
            </w:r>
          </w:p>
        </w:tc>
      </w:tr>
      <w:tr w:rsidR="007A4AEE" w:rsidRPr="00E55352" w14:paraId="11EED073" w14:textId="77777777" w:rsidTr="005101BC">
        <w:trPr>
          <w:trHeight w:val="180"/>
        </w:trPr>
        <w:tc>
          <w:tcPr>
            <w:tcW w:w="4535" w:type="dxa"/>
            <w:vAlign w:val="bottom"/>
          </w:tcPr>
          <w:p w14:paraId="067F574E" w14:textId="29086F29" w:rsidR="007A4AEE" w:rsidRPr="00E55352" w:rsidRDefault="007A4AEE" w:rsidP="007A4AEE">
            <w:pPr>
              <w:spacing w:before="40"/>
              <w:rPr>
                <w:color w:val="000000"/>
                <w:sz w:val="20"/>
              </w:rPr>
            </w:pPr>
            <w:r w:rsidRPr="00E55352">
              <w:rPr>
                <w:rFonts w:asciiTheme="majorBidi" w:eastAsia="Arial" w:hAnsiTheme="majorBidi" w:cstheme="majorBidi"/>
                <w:sz w:val="20"/>
              </w:rPr>
              <w:t>AFI Properties B.V.</w:t>
            </w:r>
            <w:r w:rsidR="00FC043A">
              <w:rPr>
                <w:rFonts w:asciiTheme="majorBidi" w:eastAsia="Arial" w:hAnsiTheme="majorBidi" w:cstheme="majorBidi"/>
                <w:sz w:val="20"/>
              </w:rPr>
              <w:t xml:space="preserve"> (liquidated)</w:t>
            </w:r>
          </w:p>
        </w:tc>
        <w:tc>
          <w:tcPr>
            <w:tcW w:w="2268" w:type="dxa"/>
            <w:vAlign w:val="bottom"/>
          </w:tcPr>
          <w:p w14:paraId="5E450E9F" w14:textId="20B7E9C1" w:rsidR="007A4AEE" w:rsidRPr="00E55352" w:rsidRDefault="007A4AEE" w:rsidP="007A4AEE">
            <w:pPr>
              <w:spacing w:before="40"/>
              <w:rPr>
                <w:color w:val="000000"/>
                <w:sz w:val="20"/>
              </w:rPr>
            </w:pPr>
            <w:r w:rsidRPr="00E55352">
              <w:rPr>
                <w:rFonts w:asciiTheme="majorBidi" w:hAnsiTheme="majorBidi" w:cstheme="majorBidi"/>
                <w:color w:val="000000"/>
                <w:sz w:val="20"/>
              </w:rPr>
              <w:t>The Netherlands</w:t>
            </w:r>
          </w:p>
        </w:tc>
        <w:tc>
          <w:tcPr>
            <w:tcW w:w="1417" w:type="dxa"/>
            <w:noWrap/>
            <w:vAlign w:val="bottom"/>
          </w:tcPr>
          <w:p w14:paraId="1A4EC7F3" w14:textId="3D95A2B3" w:rsidR="007A4AEE" w:rsidRPr="00FC043A" w:rsidDel="00FD0AE5" w:rsidRDefault="00B173C1" w:rsidP="007A4AEE">
            <w:pPr>
              <w:spacing w:before="40"/>
              <w:jc w:val="right"/>
              <w:rPr>
                <w:color w:val="000000"/>
                <w:sz w:val="20"/>
              </w:rPr>
            </w:pPr>
            <w:r w:rsidRPr="00FC043A">
              <w:rPr>
                <w:rFonts w:asciiTheme="majorBidi" w:hAnsiTheme="majorBidi" w:cstheme="majorBidi"/>
                <w:color w:val="000000"/>
                <w:sz w:val="20"/>
              </w:rPr>
              <w:t>-</w:t>
            </w:r>
          </w:p>
        </w:tc>
        <w:tc>
          <w:tcPr>
            <w:tcW w:w="1417" w:type="dxa"/>
            <w:noWrap/>
            <w:vAlign w:val="bottom"/>
          </w:tcPr>
          <w:p w14:paraId="5B59751D" w14:textId="1B93FB51" w:rsidR="007A4AEE" w:rsidRPr="00CD5E4D" w:rsidRDefault="007A4AEE" w:rsidP="007A4AEE">
            <w:pPr>
              <w:spacing w:before="40"/>
              <w:jc w:val="right"/>
              <w:rPr>
                <w:color w:val="000000"/>
                <w:sz w:val="20"/>
              </w:rPr>
            </w:pPr>
            <w:r w:rsidRPr="00440C55">
              <w:rPr>
                <w:rFonts w:asciiTheme="majorBidi" w:hAnsiTheme="majorBidi" w:cstheme="majorBidi"/>
                <w:color w:val="000000"/>
                <w:sz w:val="20"/>
              </w:rPr>
              <w:t xml:space="preserve"> 100.0</w:t>
            </w:r>
          </w:p>
        </w:tc>
      </w:tr>
      <w:tr w:rsidR="007A4AEE" w:rsidRPr="00E55352" w14:paraId="4CFF4E80" w14:textId="77777777" w:rsidTr="005101BC">
        <w:trPr>
          <w:trHeight w:val="180"/>
        </w:trPr>
        <w:tc>
          <w:tcPr>
            <w:tcW w:w="4535" w:type="dxa"/>
            <w:vAlign w:val="bottom"/>
          </w:tcPr>
          <w:p w14:paraId="2441B947" w14:textId="00A10129" w:rsidR="007A4AEE" w:rsidRPr="00E55352" w:rsidRDefault="007A4AEE" w:rsidP="007A4AEE">
            <w:pPr>
              <w:spacing w:before="40"/>
              <w:rPr>
                <w:color w:val="000000"/>
                <w:sz w:val="20"/>
              </w:rPr>
            </w:pPr>
            <w:r w:rsidRPr="00E55352">
              <w:rPr>
                <w:rFonts w:asciiTheme="majorBidi" w:eastAsia="Arial" w:hAnsiTheme="majorBidi" w:cstheme="majorBidi"/>
                <w:sz w:val="20"/>
              </w:rPr>
              <w:t>AFI Properties Logistics B.V.</w:t>
            </w:r>
            <w:r w:rsidR="00FC043A">
              <w:rPr>
                <w:rFonts w:asciiTheme="majorBidi" w:eastAsia="Arial" w:hAnsiTheme="majorBidi" w:cstheme="majorBidi"/>
                <w:sz w:val="20"/>
              </w:rPr>
              <w:t xml:space="preserve"> (liquidated)</w:t>
            </w:r>
          </w:p>
        </w:tc>
        <w:tc>
          <w:tcPr>
            <w:tcW w:w="2268" w:type="dxa"/>
            <w:vAlign w:val="bottom"/>
          </w:tcPr>
          <w:p w14:paraId="086D9723" w14:textId="6ACCA314" w:rsidR="007A4AEE" w:rsidRPr="00E55352" w:rsidRDefault="007A4AEE" w:rsidP="007A4AEE">
            <w:pPr>
              <w:spacing w:before="40"/>
              <w:rPr>
                <w:rFonts w:asciiTheme="majorBidi" w:hAnsiTheme="majorBidi" w:cstheme="majorBidi"/>
                <w:color w:val="000000"/>
                <w:sz w:val="20"/>
              </w:rPr>
            </w:pPr>
            <w:r w:rsidRPr="00E55352">
              <w:rPr>
                <w:rFonts w:asciiTheme="majorBidi" w:hAnsiTheme="majorBidi" w:cstheme="majorBidi"/>
                <w:color w:val="000000"/>
                <w:sz w:val="20"/>
              </w:rPr>
              <w:t>The Netherlands</w:t>
            </w:r>
          </w:p>
        </w:tc>
        <w:tc>
          <w:tcPr>
            <w:tcW w:w="1417" w:type="dxa"/>
            <w:noWrap/>
            <w:vAlign w:val="bottom"/>
          </w:tcPr>
          <w:p w14:paraId="6F4BD1FC" w14:textId="0EEAB0AB" w:rsidR="007A4AEE" w:rsidRPr="00FC043A" w:rsidRDefault="00B173C1" w:rsidP="007A4AEE">
            <w:pPr>
              <w:spacing w:before="40"/>
              <w:jc w:val="right"/>
              <w:rPr>
                <w:rFonts w:asciiTheme="majorBidi" w:hAnsiTheme="majorBidi" w:cstheme="majorBidi"/>
                <w:color w:val="000000"/>
                <w:sz w:val="20"/>
              </w:rPr>
            </w:pPr>
            <w:r w:rsidRPr="00FC043A">
              <w:rPr>
                <w:rFonts w:asciiTheme="majorBidi" w:hAnsiTheme="majorBidi" w:cstheme="majorBidi"/>
                <w:color w:val="000000"/>
                <w:sz w:val="20"/>
              </w:rPr>
              <w:t>-</w:t>
            </w:r>
          </w:p>
        </w:tc>
        <w:tc>
          <w:tcPr>
            <w:tcW w:w="1417" w:type="dxa"/>
            <w:noWrap/>
            <w:vAlign w:val="bottom"/>
          </w:tcPr>
          <w:p w14:paraId="4AC39A32" w14:textId="1E7B186A" w:rsidR="007A4AEE" w:rsidRPr="00CD5E4D" w:rsidRDefault="007A4AEE" w:rsidP="007A4AEE">
            <w:pPr>
              <w:spacing w:before="40"/>
              <w:jc w:val="right"/>
              <w:rPr>
                <w:rFonts w:asciiTheme="majorBidi" w:hAnsiTheme="majorBidi" w:cstheme="majorBidi"/>
                <w:color w:val="000000"/>
                <w:sz w:val="20"/>
              </w:rPr>
            </w:pPr>
            <w:r w:rsidRPr="00440C55">
              <w:rPr>
                <w:rFonts w:asciiTheme="majorBidi" w:hAnsiTheme="majorBidi" w:cstheme="majorBidi"/>
                <w:color w:val="000000"/>
                <w:sz w:val="20"/>
              </w:rPr>
              <w:t xml:space="preserve"> 100.0</w:t>
            </w:r>
          </w:p>
        </w:tc>
      </w:tr>
      <w:tr w:rsidR="007A4AEE" w:rsidRPr="00E55352" w14:paraId="4663063B" w14:textId="77777777" w:rsidTr="005101BC">
        <w:trPr>
          <w:trHeight w:val="180"/>
        </w:trPr>
        <w:tc>
          <w:tcPr>
            <w:tcW w:w="4535" w:type="dxa"/>
            <w:vAlign w:val="bottom"/>
          </w:tcPr>
          <w:p w14:paraId="603DA5EC" w14:textId="58276F50" w:rsidR="007A4AEE" w:rsidRPr="00E55352" w:rsidRDefault="007A4AEE" w:rsidP="007A4AEE">
            <w:pPr>
              <w:spacing w:before="40"/>
              <w:rPr>
                <w:color w:val="000000"/>
                <w:sz w:val="20"/>
              </w:rPr>
            </w:pPr>
            <w:r w:rsidRPr="00E55352">
              <w:rPr>
                <w:rFonts w:asciiTheme="majorBidi" w:eastAsia="Arial" w:hAnsiTheme="majorBidi" w:cstheme="majorBidi"/>
                <w:sz w:val="20"/>
              </w:rPr>
              <w:t>AFI Properties Development B.V.</w:t>
            </w:r>
            <w:r w:rsidR="00FC043A">
              <w:rPr>
                <w:rFonts w:asciiTheme="majorBidi" w:eastAsia="Arial" w:hAnsiTheme="majorBidi" w:cstheme="majorBidi"/>
                <w:sz w:val="20"/>
              </w:rPr>
              <w:t xml:space="preserve"> (liquidated)</w:t>
            </w:r>
          </w:p>
        </w:tc>
        <w:tc>
          <w:tcPr>
            <w:tcW w:w="2268" w:type="dxa"/>
            <w:vAlign w:val="bottom"/>
          </w:tcPr>
          <w:p w14:paraId="38133D2E" w14:textId="4EAC292E" w:rsidR="007A4AEE" w:rsidRPr="00E55352" w:rsidRDefault="007A4AEE" w:rsidP="007A4AEE">
            <w:pPr>
              <w:spacing w:before="40"/>
              <w:rPr>
                <w:rFonts w:asciiTheme="majorBidi" w:hAnsiTheme="majorBidi" w:cstheme="majorBidi"/>
                <w:color w:val="000000"/>
                <w:sz w:val="20"/>
              </w:rPr>
            </w:pPr>
            <w:r w:rsidRPr="00E55352">
              <w:rPr>
                <w:rFonts w:asciiTheme="majorBidi" w:hAnsiTheme="majorBidi" w:cstheme="majorBidi"/>
                <w:color w:val="000000"/>
                <w:sz w:val="20"/>
              </w:rPr>
              <w:t>The Netherlands</w:t>
            </w:r>
          </w:p>
        </w:tc>
        <w:tc>
          <w:tcPr>
            <w:tcW w:w="1417" w:type="dxa"/>
            <w:noWrap/>
            <w:vAlign w:val="bottom"/>
          </w:tcPr>
          <w:p w14:paraId="551EDD82" w14:textId="70A1ECC1" w:rsidR="007A4AEE" w:rsidRPr="00FC043A" w:rsidRDefault="00B173C1" w:rsidP="007A4AEE">
            <w:pPr>
              <w:spacing w:before="40"/>
              <w:jc w:val="right"/>
              <w:rPr>
                <w:rFonts w:asciiTheme="majorBidi" w:hAnsiTheme="majorBidi" w:cstheme="majorBidi"/>
                <w:color w:val="000000"/>
                <w:sz w:val="20"/>
              </w:rPr>
            </w:pPr>
            <w:r w:rsidRPr="00FC043A">
              <w:rPr>
                <w:rFonts w:asciiTheme="majorBidi" w:hAnsiTheme="majorBidi" w:cstheme="majorBidi"/>
                <w:color w:val="000000"/>
                <w:sz w:val="20"/>
              </w:rPr>
              <w:t>-</w:t>
            </w:r>
          </w:p>
        </w:tc>
        <w:tc>
          <w:tcPr>
            <w:tcW w:w="1417" w:type="dxa"/>
            <w:noWrap/>
            <w:vAlign w:val="bottom"/>
          </w:tcPr>
          <w:p w14:paraId="1C24AF3A" w14:textId="34DE0367" w:rsidR="007A4AEE" w:rsidRPr="00CD5E4D" w:rsidRDefault="007A4AEE" w:rsidP="007A4AEE">
            <w:pPr>
              <w:spacing w:before="40"/>
              <w:jc w:val="right"/>
              <w:rPr>
                <w:rFonts w:asciiTheme="majorBidi" w:hAnsiTheme="majorBidi" w:cstheme="majorBidi"/>
                <w:color w:val="000000"/>
                <w:sz w:val="20"/>
              </w:rPr>
            </w:pPr>
            <w:r w:rsidRPr="00440C55">
              <w:rPr>
                <w:rFonts w:asciiTheme="majorBidi" w:hAnsiTheme="majorBidi" w:cstheme="majorBidi"/>
                <w:color w:val="000000"/>
                <w:sz w:val="20"/>
              </w:rPr>
              <w:t xml:space="preserve"> 100.0</w:t>
            </w:r>
          </w:p>
        </w:tc>
      </w:tr>
      <w:tr w:rsidR="007A4AEE" w:rsidRPr="00E55352" w14:paraId="2E85D1C5" w14:textId="77777777" w:rsidTr="005101BC">
        <w:trPr>
          <w:trHeight w:val="180"/>
        </w:trPr>
        <w:tc>
          <w:tcPr>
            <w:tcW w:w="4535" w:type="dxa"/>
            <w:vAlign w:val="bottom"/>
          </w:tcPr>
          <w:p w14:paraId="425C2A61" w14:textId="2DDDF609" w:rsidR="007A4AEE" w:rsidRPr="00E55352" w:rsidRDefault="007A4AEE" w:rsidP="007A4AEE">
            <w:pPr>
              <w:spacing w:before="40"/>
              <w:rPr>
                <w:color w:val="000000"/>
                <w:sz w:val="20"/>
              </w:rPr>
            </w:pPr>
            <w:r w:rsidRPr="00E55352">
              <w:rPr>
                <w:rFonts w:asciiTheme="majorBidi" w:eastAsia="Arial" w:hAnsiTheme="majorBidi" w:cstheme="majorBidi"/>
                <w:sz w:val="20"/>
              </w:rPr>
              <w:t>AFI Germany Investment GmbH</w:t>
            </w:r>
          </w:p>
        </w:tc>
        <w:tc>
          <w:tcPr>
            <w:tcW w:w="2268" w:type="dxa"/>
            <w:vAlign w:val="bottom"/>
          </w:tcPr>
          <w:p w14:paraId="64D2A9CC" w14:textId="7FCE7150" w:rsidR="007A4AEE" w:rsidRPr="00E55352" w:rsidRDefault="007A4AEE" w:rsidP="007A4AEE">
            <w:pPr>
              <w:spacing w:before="40"/>
              <w:rPr>
                <w:rFonts w:asciiTheme="majorBidi" w:hAnsiTheme="majorBidi" w:cstheme="majorBidi"/>
                <w:color w:val="000000"/>
                <w:sz w:val="20"/>
              </w:rPr>
            </w:pPr>
            <w:r w:rsidRPr="00E55352">
              <w:rPr>
                <w:rFonts w:asciiTheme="majorBidi" w:hAnsiTheme="majorBidi" w:cstheme="majorBidi"/>
                <w:color w:val="000000"/>
                <w:sz w:val="20"/>
              </w:rPr>
              <w:t>Germany</w:t>
            </w:r>
          </w:p>
        </w:tc>
        <w:tc>
          <w:tcPr>
            <w:tcW w:w="1417" w:type="dxa"/>
            <w:noWrap/>
            <w:vAlign w:val="bottom"/>
          </w:tcPr>
          <w:p w14:paraId="00C8D9CB" w14:textId="7CB9D287" w:rsidR="007A4AEE" w:rsidRPr="00CD5E4D" w:rsidRDefault="007A4AEE" w:rsidP="007A4AEE">
            <w:pPr>
              <w:spacing w:before="40"/>
              <w:jc w:val="right"/>
              <w:rPr>
                <w:rFonts w:asciiTheme="majorBidi" w:hAnsiTheme="majorBidi" w:cstheme="majorBidi"/>
                <w:color w:val="000000"/>
                <w:sz w:val="20"/>
              </w:rPr>
            </w:pPr>
            <w:r w:rsidRPr="00440C55">
              <w:rPr>
                <w:rFonts w:asciiTheme="majorBidi" w:hAnsiTheme="majorBidi" w:cstheme="majorBidi"/>
                <w:color w:val="000000"/>
                <w:sz w:val="20"/>
              </w:rPr>
              <w:t xml:space="preserve"> 100.0</w:t>
            </w:r>
          </w:p>
        </w:tc>
        <w:tc>
          <w:tcPr>
            <w:tcW w:w="1417" w:type="dxa"/>
            <w:noWrap/>
            <w:vAlign w:val="bottom"/>
          </w:tcPr>
          <w:p w14:paraId="3457FCB1" w14:textId="33130BD6" w:rsidR="007A4AEE" w:rsidRPr="00CD5E4D" w:rsidRDefault="007A4AEE" w:rsidP="007A4AEE">
            <w:pPr>
              <w:spacing w:before="40"/>
              <w:jc w:val="right"/>
              <w:rPr>
                <w:rFonts w:asciiTheme="majorBidi" w:hAnsiTheme="majorBidi" w:cstheme="majorBidi"/>
                <w:color w:val="000000"/>
                <w:sz w:val="20"/>
              </w:rPr>
            </w:pPr>
            <w:r w:rsidRPr="00440C55">
              <w:rPr>
                <w:rFonts w:asciiTheme="majorBidi" w:hAnsiTheme="majorBidi" w:cstheme="majorBidi"/>
                <w:color w:val="000000"/>
                <w:sz w:val="20"/>
              </w:rPr>
              <w:t xml:space="preserve"> 100.0</w:t>
            </w:r>
          </w:p>
        </w:tc>
      </w:tr>
      <w:tr w:rsidR="007A4AEE" w:rsidRPr="00E55352" w14:paraId="6C97F2DD" w14:textId="77777777" w:rsidTr="005101BC">
        <w:trPr>
          <w:trHeight w:val="180"/>
        </w:trPr>
        <w:tc>
          <w:tcPr>
            <w:tcW w:w="4535" w:type="dxa"/>
            <w:vAlign w:val="bottom"/>
          </w:tcPr>
          <w:p w14:paraId="652F7B0A" w14:textId="38E536DD" w:rsidR="007A4AEE" w:rsidRPr="00E55352" w:rsidRDefault="007A4AEE" w:rsidP="007A4AEE">
            <w:pPr>
              <w:spacing w:before="40"/>
              <w:rPr>
                <w:rFonts w:asciiTheme="majorBidi" w:eastAsia="Arial" w:hAnsiTheme="majorBidi" w:cstheme="majorBidi"/>
                <w:sz w:val="20"/>
              </w:rPr>
            </w:pPr>
            <w:r w:rsidRPr="00E55352">
              <w:rPr>
                <w:rFonts w:asciiTheme="majorBidi" w:eastAsia="Arial" w:hAnsiTheme="majorBidi" w:cstheme="majorBidi"/>
                <w:sz w:val="20"/>
              </w:rPr>
              <w:t>AFI Germany GmbH</w:t>
            </w:r>
          </w:p>
        </w:tc>
        <w:tc>
          <w:tcPr>
            <w:tcW w:w="2268" w:type="dxa"/>
            <w:vAlign w:val="bottom"/>
          </w:tcPr>
          <w:p w14:paraId="6990161B" w14:textId="4D5E6212" w:rsidR="007A4AEE" w:rsidRPr="00E55352" w:rsidRDefault="007A4AEE" w:rsidP="007A4AEE">
            <w:pPr>
              <w:spacing w:before="40"/>
              <w:rPr>
                <w:rFonts w:asciiTheme="majorBidi" w:hAnsiTheme="majorBidi" w:cstheme="majorBidi"/>
                <w:color w:val="000000"/>
                <w:sz w:val="20"/>
              </w:rPr>
            </w:pPr>
            <w:r w:rsidRPr="00E55352">
              <w:rPr>
                <w:rFonts w:asciiTheme="majorBidi" w:hAnsiTheme="majorBidi" w:cstheme="majorBidi"/>
                <w:color w:val="000000"/>
                <w:sz w:val="20"/>
              </w:rPr>
              <w:t>Germany</w:t>
            </w:r>
          </w:p>
        </w:tc>
        <w:tc>
          <w:tcPr>
            <w:tcW w:w="1417" w:type="dxa"/>
            <w:noWrap/>
            <w:vAlign w:val="bottom"/>
          </w:tcPr>
          <w:p w14:paraId="57AD0417" w14:textId="753A01A7" w:rsidR="007A4AEE" w:rsidRPr="00CD5E4D" w:rsidRDefault="007A4AEE" w:rsidP="007A4AEE">
            <w:pPr>
              <w:spacing w:before="40"/>
              <w:jc w:val="right"/>
              <w:rPr>
                <w:rFonts w:asciiTheme="majorBidi" w:hAnsiTheme="majorBidi" w:cstheme="majorBidi"/>
                <w:color w:val="000000"/>
                <w:sz w:val="20"/>
              </w:rPr>
            </w:pPr>
            <w:r w:rsidRPr="00440C55">
              <w:rPr>
                <w:rFonts w:asciiTheme="majorBidi" w:hAnsiTheme="majorBidi" w:cstheme="majorBidi"/>
                <w:color w:val="000000"/>
                <w:sz w:val="20"/>
              </w:rPr>
              <w:t xml:space="preserve"> 100.0</w:t>
            </w:r>
          </w:p>
        </w:tc>
        <w:tc>
          <w:tcPr>
            <w:tcW w:w="1417" w:type="dxa"/>
            <w:noWrap/>
            <w:vAlign w:val="bottom"/>
          </w:tcPr>
          <w:p w14:paraId="2382D0FB" w14:textId="3734875E" w:rsidR="007A4AEE" w:rsidRPr="00CD5E4D" w:rsidRDefault="007A4AEE" w:rsidP="007A4AEE">
            <w:pPr>
              <w:spacing w:before="40"/>
              <w:jc w:val="right"/>
              <w:rPr>
                <w:rFonts w:asciiTheme="majorBidi" w:hAnsiTheme="majorBidi" w:cstheme="majorBidi"/>
                <w:color w:val="000000"/>
                <w:sz w:val="20"/>
              </w:rPr>
            </w:pPr>
            <w:r w:rsidRPr="00440C55">
              <w:rPr>
                <w:rFonts w:asciiTheme="majorBidi" w:hAnsiTheme="majorBidi" w:cstheme="majorBidi"/>
                <w:color w:val="000000"/>
                <w:sz w:val="20"/>
              </w:rPr>
              <w:t xml:space="preserve"> 100.0</w:t>
            </w:r>
          </w:p>
        </w:tc>
      </w:tr>
      <w:tr w:rsidR="007A4AEE" w:rsidRPr="00E55352" w14:paraId="1F79005D" w14:textId="77777777" w:rsidTr="005101BC">
        <w:trPr>
          <w:trHeight w:val="180"/>
        </w:trPr>
        <w:tc>
          <w:tcPr>
            <w:tcW w:w="4535" w:type="dxa"/>
            <w:vAlign w:val="bottom"/>
          </w:tcPr>
          <w:p w14:paraId="0D779292" w14:textId="53FFA0FF" w:rsidR="007A4AEE" w:rsidRPr="00E55352" w:rsidRDefault="007A4AEE" w:rsidP="007A4AEE">
            <w:pPr>
              <w:spacing w:before="40"/>
              <w:rPr>
                <w:rFonts w:asciiTheme="majorBidi" w:eastAsia="Arial" w:hAnsiTheme="majorBidi" w:cstheme="majorBidi"/>
                <w:sz w:val="20"/>
              </w:rPr>
            </w:pPr>
            <w:r w:rsidRPr="00E55352">
              <w:rPr>
                <w:rFonts w:asciiTheme="majorBidi" w:eastAsia="Arial" w:hAnsiTheme="majorBidi" w:cstheme="majorBidi"/>
                <w:sz w:val="20"/>
              </w:rPr>
              <w:t>AFIEM Cyprus Limited</w:t>
            </w:r>
          </w:p>
        </w:tc>
        <w:tc>
          <w:tcPr>
            <w:tcW w:w="2268" w:type="dxa"/>
            <w:vAlign w:val="bottom"/>
          </w:tcPr>
          <w:p w14:paraId="3F3EA8EE" w14:textId="10D0375F" w:rsidR="007A4AEE" w:rsidRPr="00E55352" w:rsidRDefault="007A4AEE" w:rsidP="007A4AEE">
            <w:pPr>
              <w:spacing w:before="40"/>
              <w:rPr>
                <w:rFonts w:asciiTheme="majorBidi" w:hAnsiTheme="majorBidi" w:cstheme="majorBidi"/>
                <w:color w:val="000000"/>
                <w:sz w:val="20"/>
              </w:rPr>
            </w:pPr>
            <w:r w:rsidRPr="00E55352">
              <w:rPr>
                <w:rFonts w:asciiTheme="majorBidi" w:hAnsiTheme="majorBidi" w:cstheme="majorBidi"/>
                <w:color w:val="000000"/>
                <w:sz w:val="20"/>
              </w:rPr>
              <w:t>Cyprus</w:t>
            </w:r>
          </w:p>
        </w:tc>
        <w:tc>
          <w:tcPr>
            <w:tcW w:w="1417" w:type="dxa"/>
            <w:noWrap/>
            <w:vAlign w:val="bottom"/>
          </w:tcPr>
          <w:p w14:paraId="61E38DA6" w14:textId="20BE51C3" w:rsidR="007A4AEE" w:rsidRPr="00CD5E4D" w:rsidRDefault="007A4AEE" w:rsidP="007A4AEE">
            <w:pPr>
              <w:spacing w:before="40"/>
              <w:jc w:val="right"/>
              <w:rPr>
                <w:rFonts w:asciiTheme="majorBidi" w:hAnsiTheme="majorBidi" w:cstheme="majorBidi"/>
                <w:color w:val="000000"/>
                <w:sz w:val="20"/>
              </w:rPr>
            </w:pPr>
            <w:r w:rsidRPr="00440C55">
              <w:rPr>
                <w:rFonts w:asciiTheme="majorBidi" w:hAnsiTheme="majorBidi" w:cstheme="majorBidi"/>
                <w:color w:val="000000"/>
                <w:sz w:val="20"/>
              </w:rPr>
              <w:t xml:space="preserve"> 100.0</w:t>
            </w:r>
          </w:p>
        </w:tc>
        <w:tc>
          <w:tcPr>
            <w:tcW w:w="1417" w:type="dxa"/>
            <w:noWrap/>
            <w:vAlign w:val="bottom"/>
          </w:tcPr>
          <w:p w14:paraId="71BDF550" w14:textId="69129592" w:rsidR="007A4AEE" w:rsidRPr="00CD5E4D" w:rsidRDefault="007A4AEE" w:rsidP="007A4AEE">
            <w:pPr>
              <w:spacing w:before="40"/>
              <w:jc w:val="right"/>
              <w:rPr>
                <w:rFonts w:asciiTheme="majorBidi" w:hAnsiTheme="majorBidi" w:cstheme="majorBidi"/>
                <w:color w:val="000000"/>
                <w:sz w:val="20"/>
              </w:rPr>
            </w:pPr>
            <w:r w:rsidRPr="00440C55">
              <w:rPr>
                <w:rFonts w:asciiTheme="majorBidi" w:hAnsiTheme="majorBidi" w:cstheme="majorBidi"/>
                <w:color w:val="000000"/>
                <w:sz w:val="20"/>
              </w:rPr>
              <w:t xml:space="preserve"> 100.0</w:t>
            </w:r>
          </w:p>
        </w:tc>
      </w:tr>
      <w:tr w:rsidR="007A4AEE" w:rsidRPr="00E55352" w14:paraId="6ACA1122" w14:textId="77777777" w:rsidTr="005101BC">
        <w:trPr>
          <w:trHeight w:val="180"/>
        </w:trPr>
        <w:tc>
          <w:tcPr>
            <w:tcW w:w="4535" w:type="dxa"/>
            <w:vAlign w:val="bottom"/>
          </w:tcPr>
          <w:p w14:paraId="47E946F3" w14:textId="253F4411" w:rsidR="007A4AEE" w:rsidRPr="007C29D6" w:rsidRDefault="007A4AEE" w:rsidP="007A4AEE">
            <w:pPr>
              <w:spacing w:before="40"/>
              <w:rPr>
                <w:rFonts w:asciiTheme="majorBidi" w:eastAsia="Arial" w:hAnsiTheme="majorBidi" w:cstheme="majorBidi"/>
                <w:sz w:val="20"/>
              </w:rPr>
            </w:pPr>
            <w:r w:rsidRPr="007C29D6">
              <w:rPr>
                <w:rFonts w:asciiTheme="majorBidi" w:eastAsia="Arial" w:hAnsiTheme="majorBidi" w:cstheme="majorBidi"/>
                <w:sz w:val="20"/>
              </w:rPr>
              <w:t>AFI Corporate Financing B.V.</w:t>
            </w:r>
            <w:r w:rsidR="00FC043A" w:rsidRPr="007C29D6">
              <w:rPr>
                <w:rFonts w:asciiTheme="majorBidi" w:eastAsia="Arial" w:hAnsiTheme="majorBidi" w:cstheme="majorBidi"/>
                <w:sz w:val="20"/>
              </w:rPr>
              <w:t xml:space="preserve"> (merged)</w:t>
            </w:r>
            <w:r w:rsidR="007F3466" w:rsidRPr="007C29D6">
              <w:rPr>
                <w:rFonts w:asciiTheme="majorBidi" w:eastAsia="Arial" w:hAnsiTheme="majorBidi" w:cstheme="majorBidi"/>
                <w:sz w:val="20"/>
              </w:rPr>
              <w:t xml:space="preserve"> (8)</w:t>
            </w:r>
          </w:p>
        </w:tc>
        <w:tc>
          <w:tcPr>
            <w:tcW w:w="2268" w:type="dxa"/>
            <w:vAlign w:val="bottom"/>
          </w:tcPr>
          <w:p w14:paraId="5B53B629" w14:textId="09DCBCF9" w:rsidR="007A4AEE" w:rsidRPr="00E55352" w:rsidRDefault="007A4AEE" w:rsidP="007A4AEE">
            <w:pPr>
              <w:spacing w:before="40"/>
              <w:rPr>
                <w:rFonts w:asciiTheme="majorBidi" w:hAnsiTheme="majorBidi" w:cstheme="majorBidi"/>
                <w:color w:val="000000"/>
                <w:sz w:val="20"/>
              </w:rPr>
            </w:pPr>
            <w:r w:rsidRPr="00E55352">
              <w:rPr>
                <w:rFonts w:asciiTheme="majorBidi" w:hAnsiTheme="majorBidi" w:cstheme="majorBidi"/>
                <w:color w:val="000000"/>
                <w:sz w:val="20"/>
              </w:rPr>
              <w:t>The Netherlands</w:t>
            </w:r>
          </w:p>
        </w:tc>
        <w:tc>
          <w:tcPr>
            <w:tcW w:w="1417" w:type="dxa"/>
            <w:noWrap/>
            <w:vAlign w:val="bottom"/>
          </w:tcPr>
          <w:p w14:paraId="35803396" w14:textId="7D0AC00D" w:rsidR="007A4AEE" w:rsidRPr="00CD5E4D" w:rsidRDefault="00051CFC" w:rsidP="007A4AEE">
            <w:pPr>
              <w:spacing w:before="40"/>
              <w:jc w:val="right"/>
              <w:rPr>
                <w:rFonts w:asciiTheme="majorBidi" w:hAnsiTheme="majorBidi" w:cstheme="majorBidi"/>
                <w:color w:val="000000"/>
                <w:sz w:val="20"/>
              </w:rPr>
            </w:pPr>
            <w:r>
              <w:rPr>
                <w:rFonts w:asciiTheme="majorBidi" w:hAnsiTheme="majorBidi" w:cstheme="majorBidi"/>
                <w:color w:val="000000"/>
                <w:sz w:val="20"/>
              </w:rPr>
              <w:t>-</w:t>
            </w:r>
          </w:p>
        </w:tc>
        <w:tc>
          <w:tcPr>
            <w:tcW w:w="1417" w:type="dxa"/>
            <w:noWrap/>
            <w:vAlign w:val="bottom"/>
          </w:tcPr>
          <w:p w14:paraId="1247E287" w14:textId="05EDFFA4" w:rsidR="007A4AEE" w:rsidRPr="00CD5E4D" w:rsidRDefault="007A4AEE" w:rsidP="007A4AEE">
            <w:pPr>
              <w:spacing w:before="40"/>
              <w:jc w:val="right"/>
              <w:rPr>
                <w:rFonts w:asciiTheme="majorBidi" w:hAnsiTheme="majorBidi" w:cstheme="majorBidi"/>
                <w:color w:val="000000"/>
                <w:sz w:val="20"/>
              </w:rPr>
            </w:pPr>
            <w:r w:rsidRPr="00440C55">
              <w:rPr>
                <w:rFonts w:asciiTheme="majorBidi" w:hAnsiTheme="majorBidi" w:cstheme="majorBidi"/>
                <w:color w:val="000000"/>
                <w:sz w:val="20"/>
              </w:rPr>
              <w:t xml:space="preserve"> 100.0</w:t>
            </w:r>
          </w:p>
        </w:tc>
      </w:tr>
      <w:tr w:rsidR="007A4AEE" w:rsidRPr="00E55352" w14:paraId="46968BE5" w14:textId="77777777" w:rsidTr="005101BC">
        <w:trPr>
          <w:trHeight w:val="180"/>
        </w:trPr>
        <w:tc>
          <w:tcPr>
            <w:tcW w:w="4535" w:type="dxa"/>
            <w:vAlign w:val="bottom"/>
          </w:tcPr>
          <w:p w14:paraId="2669F911" w14:textId="3D16D44D" w:rsidR="007A4AEE" w:rsidRPr="00E55352" w:rsidRDefault="007A4AEE" w:rsidP="007A4AEE">
            <w:pPr>
              <w:spacing w:before="40"/>
              <w:rPr>
                <w:rFonts w:asciiTheme="majorBidi" w:eastAsia="Arial" w:hAnsiTheme="majorBidi" w:cstheme="majorBidi"/>
                <w:sz w:val="20"/>
              </w:rPr>
            </w:pPr>
            <w:r w:rsidRPr="00E55352">
              <w:rPr>
                <w:rFonts w:asciiTheme="majorBidi" w:eastAsia="Arial" w:hAnsiTheme="majorBidi" w:cstheme="majorBidi"/>
                <w:sz w:val="20"/>
              </w:rPr>
              <w:t>AFI Mixed-Use Projects B.V</w:t>
            </w:r>
            <w:r>
              <w:rPr>
                <w:rFonts w:asciiTheme="majorBidi" w:eastAsia="Arial" w:hAnsiTheme="majorBidi" w:cstheme="majorBidi"/>
                <w:sz w:val="20"/>
              </w:rPr>
              <w:t>.</w:t>
            </w:r>
            <w:r w:rsidRPr="00E55352">
              <w:rPr>
                <w:rFonts w:asciiTheme="majorBidi" w:eastAsia="Arial" w:hAnsiTheme="majorBidi" w:cstheme="majorBidi"/>
                <w:sz w:val="20"/>
              </w:rPr>
              <w:t xml:space="preserve"> (</w:t>
            </w:r>
            <w:r w:rsidR="005B42AB">
              <w:rPr>
                <w:rFonts w:asciiTheme="majorBidi" w:eastAsia="Arial" w:hAnsiTheme="majorBidi" w:cstheme="majorBidi"/>
                <w:sz w:val="20"/>
              </w:rPr>
              <w:t>2</w:t>
            </w:r>
            <w:r w:rsidRPr="00E55352">
              <w:rPr>
                <w:rFonts w:asciiTheme="majorBidi" w:eastAsia="Arial" w:hAnsiTheme="majorBidi" w:cstheme="majorBidi"/>
                <w:sz w:val="20"/>
              </w:rPr>
              <w:t>)</w:t>
            </w:r>
          </w:p>
        </w:tc>
        <w:tc>
          <w:tcPr>
            <w:tcW w:w="2268" w:type="dxa"/>
            <w:vAlign w:val="bottom"/>
          </w:tcPr>
          <w:p w14:paraId="4A84BAF2" w14:textId="2625E0C3" w:rsidR="007A4AEE" w:rsidRPr="00E55352" w:rsidRDefault="007A4AEE" w:rsidP="007A4AEE">
            <w:pPr>
              <w:spacing w:before="40"/>
              <w:rPr>
                <w:rFonts w:asciiTheme="majorBidi" w:hAnsiTheme="majorBidi" w:cstheme="majorBidi"/>
                <w:color w:val="000000"/>
                <w:sz w:val="20"/>
              </w:rPr>
            </w:pPr>
            <w:r w:rsidRPr="00E55352">
              <w:rPr>
                <w:rFonts w:asciiTheme="majorBidi" w:hAnsiTheme="majorBidi" w:cstheme="majorBidi"/>
                <w:color w:val="000000"/>
                <w:sz w:val="20"/>
              </w:rPr>
              <w:t>The Netherlands</w:t>
            </w:r>
          </w:p>
        </w:tc>
        <w:tc>
          <w:tcPr>
            <w:tcW w:w="1417" w:type="dxa"/>
            <w:noWrap/>
            <w:vAlign w:val="bottom"/>
          </w:tcPr>
          <w:p w14:paraId="6104B17A" w14:textId="595F810B" w:rsidR="007A4AEE" w:rsidRPr="00CD5E4D" w:rsidRDefault="007A4AEE" w:rsidP="007A4AEE">
            <w:pPr>
              <w:spacing w:before="40"/>
              <w:jc w:val="right"/>
              <w:rPr>
                <w:rFonts w:asciiTheme="majorBidi" w:hAnsiTheme="majorBidi" w:cstheme="majorBidi"/>
                <w:color w:val="000000"/>
                <w:sz w:val="20"/>
              </w:rPr>
            </w:pPr>
            <w:r w:rsidRPr="00440C55">
              <w:rPr>
                <w:rFonts w:asciiTheme="majorBidi" w:hAnsiTheme="majorBidi" w:cstheme="majorBidi"/>
                <w:color w:val="000000"/>
                <w:sz w:val="20"/>
              </w:rPr>
              <w:t xml:space="preserve"> 100.0</w:t>
            </w:r>
          </w:p>
        </w:tc>
        <w:tc>
          <w:tcPr>
            <w:tcW w:w="1417" w:type="dxa"/>
            <w:noWrap/>
            <w:vAlign w:val="bottom"/>
          </w:tcPr>
          <w:p w14:paraId="0C196DD0" w14:textId="1D49D803" w:rsidR="007A4AEE" w:rsidRPr="00CD5E4D" w:rsidRDefault="007A4AEE" w:rsidP="007A4AEE">
            <w:pPr>
              <w:spacing w:before="40"/>
              <w:jc w:val="right"/>
              <w:rPr>
                <w:rFonts w:asciiTheme="majorBidi" w:hAnsiTheme="majorBidi" w:cstheme="majorBidi"/>
                <w:color w:val="000000"/>
                <w:sz w:val="20"/>
              </w:rPr>
            </w:pPr>
            <w:r w:rsidRPr="00440C55">
              <w:rPr>
                <w:rFonts w:asciiTheme="majorBidi" w:hAnsiTheme="majorBidi" w:cstheme="majorBidi"/>
                <w:color w:val="000000"/>
                <w:sz w:val="20"/>
              </w:rPr>
              <w:t xml:space="preserve"> 100.0</w:t>
            </w:r>
          </w:p>
        </w:tc>
      </w:tr>
      <w:tr w:rsidR="007A4AEE" w:rsidRPr="00E55352" w14:paraId="4977B078" w14:textId="77777777" w:rsidTr="005101BC">
        <w:trPr>
          <w:trHeight w:val="180"/>
        </w:trPr>
        <w:tc>
          <w:tcPr>
            <w:tcW w:w="4535" w:type="dxa"/>
            <w:vAlign w:val="bottom"/>
          </w:tcPr>
          <w:p w14:paraId="1881A709" w14:textId="0F63E5A7" w:rsidR="007A4AEE" w:rsidRPr="00E55352" w:rsidRDefault="007A4AEE" w:rsidP="007A4AEE">
            <w:pPr>
              <w:spacing w:before="40"/>
              <w:rPr>
                <w:rFonts w:asciiTheme="majorBidi" w:eastAsia="Arial" w:hAnsiTheme="majorBidi" w:cstheme="majorBidi"/>
                <w:sz w:val="20"/>
              </w:rPr>
            </w:pPr>
            <w:r w:rsidRPr="00E55352">
              <w:rPr>
                <w:color w:val="000000"/>
                <w:sz w:val="20"/>
              </w:rPr>
              <w:t xml:space="preserve">AFI </w:t>
            </w:r>
            <w:r>
              <w:rPr>
                <w:color w:val="000000"/>
                <w:sz w:val="20"/>
              </w:rPr>
              <w:t>Home</w:t>
            </w:r>
            <w:r w:rsidRPr="00E55352">
              <w:rPr>
                <w:color w:val="000000"/>
                <w:sz w:val="20"/>
              </w:rPr>
              <w:t xml:space="preserve"> B.V.</w:t>
            </w:r>
          </w:p>
        </w:tc>
        <w:tc>
          <w:tcPr>
            <w:tcW w:w="2268" w:type="dxa"/>
            <w:vAlign w:val="bottom"/>
          </w:tcPr>
          <w:p w14:paraId="40F1CBC0" w14:textId="066DE501" w:rsidR="007A4AEE" w:rsidRPr="00E55352" w:rsidRDefault="007A4AEE" w:rsidP="007A4AEE">
            <w:pPr>
              <w:spacing w:before="40"/>
              <w:rPr>
                <w:rFonts w:asciiTheme="majorBidi" w:hAnsiTheme="majorBidi" w:cstheme="majorBidi"/>
                <w:color w:val="000000"/>
                <w:sz w:val="20"/>
              </w:rPr>
            </w:pPr>
            <w:r w:rsidRPr="00E55352">
              <w:rPr>
                <w:rFonts w:asciiTheme="majorBidi" w:hAnsiTheme="majorBidi" w:cstheme="majorBidi"/>
                <w:color w:val="000000"/>
                <w:sz w:val="20"/>
              </w:rPr>
              <w:t>The Netherlands</w:t>
            </w:r>
          </w:p>
        </w:tc>
        <w:tc>
          <w:tcPr>
            <w:tcW w:w="1417" w:type="dxa"/>
            <w:noWrap/>
            <w:vAlign w:val="bottom"/>
          </w:tcPr>
          <w:p w14:paraId="17226988" w14:textId="51BD2018" w:rsidR="007A4AEE" w:rsidRPr="00CD5E4D" w:rsidRDefault="007A4AEE" w:rsidP="007A4AEE">
            <w:pPr>
              <w:spacing w:before="40"/>
              <w:jc w:val="right"/>
              <w:rPr>
                <w:rFonts w:asciiTheme="majorBidi" w:hAnsiTheme="majorBidi" w:cstheme="majorBidi"/>
                <w:color w:val="000000"/>
                <w:sz w:val="20"/>
              </w:rPr>
            </w:pPr>
            <w:r w:rsidRPr="00440C55">
              <w:rPr>
                <w:rFonts w:asciiTheme="majorBidi" w:hAnsiTheme="majorBidi" w:cstheme="majorBidi"/>
                <w:color w:val="000000"/>
                <w:sz w:val="20"/>
              </w:rPr>
              <w:t xml:space="preserve"> 100.0</w:t>
            </w:r>
          </w:p>
        </w:tc>
        <w:tc>
          <w:tcPr>
            <w:tcW w:w="1417" w:type="dxa"/>
            <w:noWrap/>
            <w:vAlign w:val="bottom"/>
          </w:tcPr>
          <w:p w14:paraId="1E3745A6" w14:textId="40F706B8" w:rsidR="007A4AEE" w:rsidRPr="00CD5E4D" w:rsidRDefault="007A4AEE" w:rsidP="007A4AEE">
            <w:pPr>
              <w:spacing w:before="40"/>
              <w:jc w:val="right"/>
              <w:rPr>
                <w:rFonts w:asciiTheme="majorBidi" w:hAnsiTheme="majorBidi" w:cstheme="majorBidi"/>
                <w:color w:val="000000"/>
                <w:sz w:val="20"/>
              </w:rPr>
            </w:pPr>
            <w:r w:rsidRPr="00440C55">
              <w:rPr>
                <w:rFonts w:asciiTheme="majorBidi" w:hAnsiTheme="majorBidi" w:cstheme="majorBidi"/>
                <w:color w:val="000000"/>
                <w:sz w:val="20"/>
              </w:rPr>
              <w:t xml:space="preserve"> 100.0</w:t>
            </w:r>
          </w:p>
        </w:tc>
      </w:tr>
      <w:tr w:rsidR="007A4AEE" w:rsidRPr="00E55352" w14:paraId="00643393" w14:textId="77777777" w:rsidTr="005101BC">
        <w:trPr>
          <w:trHeight w:val="180"/>
        </w:trPr>
        <w:tc>
          <w:tcPr>
            <w:tcW w:w="4535" w:type="dxa"/>
            <w:vAlign w:val="bottom"/>
          </w:tcPr>
          <w:p w14:paraId="2F620725" w14:textId="54B4673D" w:rsidR="007A4AEE" w:rsidRPr="00E55352" w:rsidRDefault="007A4AEE" w:rsidP="007A4AEE">
            <w:pPr>
              <w:spacing w:before="40"/>
              <w:rPr>
                <w:rFonts w:asciiTheme="majorBidi" w:eastAsia="Arial" w:hAnsiTheme="majorBidi" w:cstheme="majorBidi"/>
                <w:sz w:val="20"/>
              </w:rPr>
            </w:pPr>
            <w:r w:rsidRPr="00E55352">
              <w:rPr>
                <w:color w:val="000000"/>
                <w:sz w:val="20"/>
              </w:rPr>
              <w:t xml:space="preserve">AFI </w:t>
            </w:r>
            <w:r>
              <w:rPr>
                <w:color w:val="000000"/>
                <w:sz w:val="20"/>
              </w:rPr>
              <w:t>Home Poland</w:t>
            </w:r>
            <w:r w:rsidRPr="00E55352">
              <w:rPr>
                <w:color w:val="000000"/>
                <w:sz w:val="20"/>
              </w:rPr>
              <w:t xml:space="preserve"> B.V.</w:t>
            </w:r>
            <w:r>
              <w:rPr>
                <w:color w:val="000000"/>
                <w:sz w:val="20"/>
              </w:rPr>
              <w:t xml:space="preserve"> </w:t>
            </w:r>
            <w:r w:rsidR="005B42AB">
              <w:rPr>
                <w:color w:val="000000"/>
                <w:sz w:val="20"/>
              </w:rPr>
              <w:t>(4)</w:t>
            </w:r>
          </w:p>
        </w:tc>
        <w:tc>
          <w:tcPr>
            <w:tcW w:w="2268" w:type="dxa"/>
            <w:vAlign w:val="bottom"/>
          </w:tcPr>
          <w:p w14:paraId="5EB8F2AD" w14:textId="3DEEB2D4" w:rsidR="007A4AEE" w:rsidRPr="00E55352" w:rsidRDefault="007A4AEE" w:rsidP="007A4AEE">
            <w:pPr>
              <w:spacing w:before="40"/>
              <w:rPr>
                <w:rFonts w:asciiTheme="majorBidi" w:hAnsiTheme="majorBidi" w:cstheme="majorBidi"/>
                <w:color w:val="000000"/>
                <w:sz w:val="20"/>
              </w:rPr>
            </w:pPr>
            <w:r w:rsidRPr="00E55352">
              <w:rPr>
                <w:rFonts w:asciiTheme="majorBidi" w:hAnsiTheme="majorBidi" w:cstheme="majorBidi"/>
                <w:color w:val="000000"/>
                <w:sz w:val="20"/>
              </w:rPr>
              <w:t>The Netherlands</w:t>
            </w:r>
          </w:p>
        </w:tc>
        <w:tc>
          <w:tcPr>
            <w:tcW w:w="1417" w:type="dxa"/>
            <w:noWrap/>
            <w:vAlign w:val="bottom"/>
          </w:tcPr>
          <w:p w14:paraId="7842C7B0" w14:textId="06363061" w:rsidR="007A4AEE" w:rsidRPr="00CD5E4D" w:rsidRDefault="007A4AEE" w:rsidP="007A4AEE">
            <w:pPr>
              <w:spacing w:before="40"/>
              <w:jc w:val="right"/>
              <w:rPr>
                <w:rFonts w:asciiTheme="majorBidi" w:hAnsiTheme="majorBidi" w:cstheme="majorBidi"/>
                <w:color w:val="000000"/>
                <w:sz w:val="20"/>
              </w:rPr>
            </w:pPr>
            <w:r w:rsidRPr="00440C55">
              <w:rPr>
                <w:rFonts w:asciiTheme="majorBidi" w:hAnsiTheme="majorBidi" w:cstheme="majorBidi"/>
                <w:color w:val="000000"/>
                <w:sz w:val="20"/>
              </w:rPr>
              <w:t xml:space="preserve"> 100.0</w:t>
            </w:r>
          </w:p>
        </w:tc>
        <w:tc>
          <w:tcPr>
            <w:tcW w:w="1417" w:type="dxa"/>
            <w:noWrap/>
            <w:vAlign w:val="bottom"/>
          </w:tcPr>
          <w:p w14:paraId="34F399E8" w14:textId="50B26D72" w:rsidR="007A4AEE" w:rsidRPr="00CD5E4D" w:rsidRDefault="00B173C1" w:rsidP="007A4AEE">
            <w:pPr>
              <w:spacing w:before="40"/>
              <w:jc w:val="right"/>
              <w:rPr>
                <w:rFonts w:asciiTheme="majorBidi" w:hAnsiTheme="majorBidi" w:cstheme="majorBidi"/>
                <w:color w:val="000000"/>
                <w:sz w:val="20"/>
              </w:rPr>
            </w:pPr>
            <w:r>
              <w:rPr>
                <w:rFonts w:asciiTheme="majorBidi" w:hAnsiTheme="majorBidi" w:cstheme="majorBidi"/>
                <w:color w:val="000000"/>
                <w:sz w:val="20"/>
              </w:rPr>
              <w:t>100.0</w:t>
            </w:r>
          </w:p>
        </w:tc>
      </w:tr>
      <w:tr w:rsidR="007A4AEE" w:rsidRPr="00E55352" w14:paraId="076487B3" w14:textId="77777777" w:rsidTr="005101BC">
        <w:trPr>
          <w:trHeight w:val="180"/>
        </w:trPr>
        <w:tc>
          <w:tcPr>
            <w:tcW w:w="4535" w:type="dxa"/>
            <w:vAlign w:val="bottom"/>
          </w:tcPr>
          <w:p w14:paraId="20179D93" w14:textId="4D688879" w:rsidR="007A4AEE" w:rsidRPr="00CD5E4D" w:rsidRDefault="007A4AEE" w:rsidP="007A4AEE">
            <w:pPr>
              <w:spacing w:before="40"/>
              <w:rPr>
                <w:rFonts w:asciiTheme="majorBidi" w:eastAsia="Arial" w:hAnsiTheme="majorBidi" w:cstheme="majorBidi"/>
                <w:sz w:val="20"/>
              </w:rPr>
            </w:pPr>
            <w:r w:rsidRPr="00440C55">
              <w:rPr>
                <w:color w:val="000000"/>
                <w:sz w:val="20"/>
              </w:rPr>
              <w:t xml:space="preserve">AFI Project Developers B.V. </w:t>
            </w:r>
          </w:p>
        </w:tc>
        <w:tc>
          <w:tcPr>
            <w:tcW w:w="2268" w:type="dxa"/>
            <w:vAlign w:val="bottom"/>
          </w:tcPr>
          <w:p w14:paraId="4504E1B3" w14:textId="6520B12A" w:rsidR="007A4AEE" w:rsidRPr="00CD5E4D" w:rsidRDefault="007A4AEE" w:rsidP="007A4AEE">
            <w:pPr>
              <w:spacing w:before="40"/>
              <w:rPr>
                <w:rFonts w:asciiTheme="majorBidi" w:hAnsiTheme="majorBidi" w:cstheme="majorBidi"/>
                <w:color w:val="000000"/>
                <w:sz w:val="20"/>
              </w:rPr>
            </w:pPr>
            <w:r w:rsidRPr="00440C55">
              <w:rPr>
                <w:color w:val="000000"/>
                <w:sz w:val="20"/>
              </w:rPr>
              <w:t>The Netherlands</w:t>
            </w:r>
          </w:p>
        </w:tc>
        <w:tc>
          <w:tcPr>
            <w:tcW w:w="1417" w:type="dxa"/>
            <w:noWrap/>
            <w:vAlign w:val="bottom"/>
          </w:tcPr>
          <w:p w14:paraId="67536CF0" w14:textId="67EAB4A8" w:rsidR="007A4AEE" w:rsidRPr="00CD5E4D" w:rsidRDefault="007A4AEE" w:rsidP="007A4AEE">
            <w:pPr>
              <w:spacing w:before="40"/>
              <w:jc w:val="right"/>
              <w:rPr>
                <w:rFonts w:asciiTheme="majorBidi" w:hAnsiTheme="majorBidi" w:cstheme="majorBidi"/>
                <w:color w:val="000000"/>
                <w:sz w:val="20"/>
              </w:rPr>
            </w:pPr>
            <w:r w:rsidRPr="00CD5E4D">
              <w:rPr>
                <w:color w:val="000000"/>
                <w:sz w:val="20"/>
              </w:rPr>
              <w:t>100.0</w:t>
            </w:r>
          </w:p>
        </w:tc>
        <w:tc>
          <w:tcPr>
            <w:tcW w:w="1417" w:type="dxa"/>
            <w:noWrap/>
            <w:vAlign w:val="bottom"/>
          </w:tcPr>
          <w:p w14:paraId="06871606" w14:textId="086DEE3F" w:rsidR="007A4AEE" w:rsidRPr="00CD5E4D" w:rsidRDefault="007A4AEE" w:rsidP="007A4AEE">
            <w:pPr>
              <w:spacing w:before="40"/>
              <w:jc w:val="right"/>
              <w:rPr>
                <w:rFonts w:asciiTheme="majorBidi" w:hAnsiTheme="majorBidi" w:cstheme="majorBidi"/>
                <w:color w:val="000000"/>
                <w:sz w:val="20"/>
              </w:rPr>
            </w:pPr>
            <w:r w:rsidRPr="00CD5E4D">
              <w:rPr>
                <w:color w:val="000000"/>
                <w:sz w:val="20"/>
              </w:rPr>
              <w:t>100.0</w:t>
            </w:r>
          </w:p>
        </w:tc>
      </w:tr>
      <w:tr w:rsidR="007A4AEE" w:rsidRPr="00E55352" w14:paraId="20330208" w14:textId="77777777" w:rsidTr="005101BC">
        <w:trPr>
          <w:trHeight w:val="180"/>
        </w:trPr>
        <w:tc>
          <w:tcPr>
            <w:tcW w:w="4535" w:type="dxa"/>
            <w:vAlign w:val="bottom"/>
          </w:tcPr>
          <w:p w14:paraId="6B483CBD" w14:textId="0BFE4E8B" w:rsidR="007A4AEE" w:rsidRPr="005230A2" w:rsidRDefault="007A4AEE" w:rsidP="007A4AEE">
            <w:pPr>
              <w:spacing w:before="40"/>
              <w:rPr>
                <w:rFonts w:asciiTheme="majorBidi" w:eastAsia="Arial" w:hAnsiTheme="majorBidi" w:cstheme="majorBidi"/>
                <w:sz w:val="20"/>
                <w:lang w:val="de-DE"/>
              </w:rPr>
            </w:pPr>
            <w:r w:rsidRPr="005230A2">
              <w:rPr>
                <w:rFonts w:asciiTheme="majorBidi" w:eastAsia="Arial" w:hAnsiTheme="majorBidi" w:cstheme="majorBidi"/>
                <w:sz w:val="20"/>
                <w:lang w:val="de-DE"/>
              </w:rPr>
              <w:t>AFI Europe (Israel Branch) Ltd.</w:t>
            </w:r>
            <w:r w:rsidR="00FC043A">
              <w:rPr>
                <w:rFonts w:asciiTheme="majorBidi" w:eastAsia="Arial" w:hAnsiTheme="majorBidi" w:cstheme="majorBidi"/>
                <w:sz w:val="20"/>
                <w:lang w:val="de-DE"/>
              </w:rPr>
              <w:t xml:space="preserve"> </w:t>
            </w:r>
            <w:r w:rsidR="00FC043A">
              <w:rPr>
                <w:sz w:val="18"/>
              </w:rPr>
              <w:t>(In Liquidation)</w:t>
            </w:r>
          </w:p>
        </w:tc>
        <w:tc>
          <w:tcPr>
            <w:tcW w:w="2268" w:type="dxa"/>
            <w:vAlign w:val="bottom"/>
          </w:tcPr>
          <w:p w14:paraId="4D4F02C4" w14:textId="1637D3A9" w:rsidR="007A4AEE" w:rsidRPr="00E55352" w:rsidRDefault="007A4AEE" w:rsidP="007A4AEE">
            <w:pPr>
              <w:spacing w:before="40"/>
              <w:rPr>
                <w:rFonts w:asciiTheme="majorBidi" w:hAnsiTheme="majorBidi" w:cstheme="majorBidi"/>
                <w:color w:val="000000"/>
                <w:sz w:val="20"/>
              </w:rPr>
            </w:pPr>
            <w:r w:rsidRPr="00E55352">
              <w:rPr>
                <w:rFonts w:asciiTheme="majorBidi" w:hAnsiTheme="majorBidi" w:cstheme="majorBidi"/>
                <w:color w:val="000000"/>
                <w:sz w:val="20"/>
              </w:rPr>
              <w:t>Israel</w:t>
            </w:r>
          </w:p>
        </w:tc>
        <w:tc>
          <w:tcPr>
            <w:tcW w:w="1417" w:type="dxa"/>
            <w:noWrap/>
            <w:vAlign w:val="bottom"/>
          </w:tcPr>
          <w:p w14:paraId="6B29E674" w14:textId="32216C72" w:rsidR="007A4AEE" w:rsidRPr="00CD5E4D" w:rsidRDefault="007A4AEE" w:rsidP="007A4AEE">
            <w:pPr>
              <w:spacing w:before="40"/>
              <w:jc w:val="right"/>
              <w:rPr>
                <w:rFonts w:asciiTheme="majorBidi" w:hAnsiTheme="majorBidi" w:cstheme="majorBidi"/>
                <w:color w:val="000000"/>
                <w:sz w:val="20"/>
              </w:rPr>
            </w:pPr>
            <w:r w:rsidRPr="00440C55">
              <w:rPr>
                <w:rFonts w:asciiTheme="majorBidi" w:hAnsiTheme="majorBidi" w:cstheme="majorBidi"/>
                <w:color w:val="000000"/>
                <w:sz w:val="20"/>
              </w:rPr>
              <w:t xml:space="preserve"> 100.0</w:t>
            </w:r>
          </w:p>
        </w:tc>
        <w:tc>
          <w:tcPr>
            <w:tcW w:w="1417" w:type="dxa"/>
            <w:noWrap/>
            <w:vAlign w:val="bottom"/>
          </w:tcPr>
          <w:p w14:paraId="417AD465" w14:textId="17947027" w:rsidR="007A4AEE" w:rsidRPr="00CD5E4D" w:rsidRDefault="007A4AEE" w:rsidP="007A4AEE">
            <w:pPr>
              <w:spacing w:before="40"/>
              <w:jc w:val="right"/>
              <w:rPr>
                <w:rFonts w:asciiTheme="majorBidi" w:hAnsiTheme="majorBidi" w:cstheme="majorBidi"/>
                <w:color w:val="000000"/>
                <w:sz w:val="20"/>
              </w:rPr>
            </w:pPr>
            <w:r w:rsidRPr="00440C55">
              <w:rPr>
                <w:rFonts w:asciiTheme="majorBidi" w:hAnsiTheme="majorBidi" w:cstheme="majorBidi"/>
                <w:color w:val="000000"/>
                <w:sz w:val="20"/>
              </w:rPr>
              <w:t xml:space="preserve"> 100.0</w:t>
            </w:r>
          </w:p>
        </w:tc>
      </w:tr>
      <w:tr w:rsidR="007A4AEE" w:rsidRPr="00E55352" w14:paraId="556C6A16" w14:textId="77777777" w:rsidTr="005101BC">
        <w:trPr>
          <w:trHeight w:val="180"/>
        </w:trPr>
        <w:tc>
          <w:tcPr>
            <w:tcW w:w="4535" w:type="dxa"/>
            <w:vAlign w:val="bottom"/>
          </w:tcPr>
          <w:p w14:paraId="70AD896F" w14:textId="69482EA5" w:rsidR="007A4AEE" w:rsidRPr="00E55352" w:rsidRDefault="007A4AEE" w:rsidP="007A4AEE">
            <w:pPr>
              <w:spacing w:before="40"/>
              <w:rPr>
                <w:rFonts w:asciiTheme="majorBidi" w:eastAsia="Arial" w:hAnsiTheme="majorBidi" w:cstheme="majorBidi"/>
                <w:sz w:val="20"/>
              </w:rPr>
            </w:pPr>
            <w:r w:rsidRPr="00E55352">
              <w:rPr>
                <w:rFonts w:asciiTheme="majorBidi" w:eastAsia="Arial" w:hAnsiTheme="majorBidi" w:cstheme="majorBidi"/>
                <w:sz w:val="20"/>
              </w:rPr>
              <w:t>M.S.A. Efrat Investments Ltd</w:t>
            </w:r>
          </w:p>
        </w:tc>
        <w:tc>
          <w:tcPr>
            <w:tcW w:w="2268" w:type="dxa"/>
            <w:vAlign w:val="bottom"/>
          </w:tcPr>
          <w:p w14:paraId="4C7E48E1" w14:textId="22651727" w:rsidR="007A4AEE" w:rsidRPr="00E55352" w:rsidRDefault="007A4AEE" w:rsidP="007A4AEE">
            <w:pPr>
              <w:spacing w:before="40"/>
              <w:rPr>
                <w:rFonts w:asciiTheme="majorBidi" w:hAnsiTheme="majorBidi" w:cstheme="majorBidi"/>
                <w:color w:val="000000"/>
                <w:sz w:val="20"/>
              </w:rPr>
            </w:pPr>
            <w:r w:rsidRPr="00E55352">
              <w:rPr>
                <w:rFonts w:asciiTheme="majorBidi" w:hAnsiTheme="majorBidi" w:cstheme="majorBidi"/>
                <w:color w:val="000000"/>
                <w:sz w:val="20"/>
              </w:rPr>
              <w:t>Israel</w:t>
            </w:r>
          </w:p>
        </w:tc>
        <w:tc>
          <w:tcPr>
            <w:tcW w:w="1417" w:type="dxa"/>
            <w:noWrap/>
            <w:vAlign w:val="bottom"/>
          </w:tcPr>
          <w:p w14:paraId="23BECCC3" w14:textId="474A1BF8" w:rsidR="007A4AEE" w:rsidRPr="00CD5E4D" w:rsidRDefault="007A4AEE" w:rsidP="007A4AEE">
            <w:pPr>
              <w:spacing w:before="40"/>
              <w:jc w:val="right"/>
              <w:rPr>
                <w:rFonts w:asciiTheme="majorBidi" w:hAnsiTheme="majorBidi" w:cstheme="majorBidi"/>
                <w:color w:val="000000"/>
                <w:sz w:val="20"/>
              </w:rPr>
            </w:pPr>
            <w:r w:rsidRPr="00440C55">
              <w:rPr>
                <w:rFonts w:asciiTheme="majorBidi" w:hAnsiTheme="majorBidi" w:cstheme="majorBidi"/>
                <w:color w:val="000000"/>
                <w:sz w:val="20"/>
              </w:rPr>
              <w:t xml:space="preserve"> 100.0</w:t>
            </w:r>
          </w:p>
        </w:tc>
        <w:tc>
          <w:tcPr>
            <w:tcW w:w="1417" w:type="dxa"/>
            <w:noWrap/>
            <w:vAlign w:val="bottom"/>
          </w:tcPr>
          <w:p w14:paraId="69C21354" w14:textId="5F914EA4" w:rsidR="007A4AEE" w:rsidRPr="00CD5E4D" w:rsidRDefault="007A4AEE" w:rsidP="007A4AEE">
            <w:pPr>
              <w:spacing w:before="40"/>
              <w:jc w:val="right"/>
              <w:rPr>
                <w:rFonts w:asciiTheme="majorBidi" w:hAnsiTheme="majorBidi" w:cstheme="majorBidi"/>
                <w:color w:val="000000"/>
                <w:sz w:val="20"/>
              </w:rPr>
            </w:pPr>
            <w:r w:rsidRPr="00440C55">
              <w:rPr>
                <w:rFonts w:asciiTheme="majorBidi" w:hAnsiTheme="majorBidi" w:cstheme="majorBidi"/>
                <w:color w:val="000000"/>
                <w:sz w:val="20"/>
              </w:rPr>
              <w:t xml:space="preserve"> 100.0</w:t>
            </w:r>
          </w:p>
        </w:tc>
      </w:tr>
      <w:tr w:rsidR="007A4AEE" w:rsidRPr="00E55352" w14:paraId="13BAB488" w14:textId="77777777" w:rsidTr="005101BC">
        <w:trPr>
          <w:trHeight w:val="180"/>
        </w:trPr>
        <w:tc>
          <w:tcPr>
            <w:tcW w:w="4535" w:type="dxa"/>
            <w:vAlign w:val="bottom"/>
          </w:tcPr>
          <w:p w14:paraId="3149E2A7" w14:textId="113263EF" w:rsidR="007A4AEE" w:rsidRPr="00440C55" w:rsidRDefault="007A4AEE" w:rsidP="007A4AEE">
            <w:pPr>
              <w:rPr>
                <w:sz w:val="20"/>
                <w:highlight w:val="yellow"/>
                <w:u w:val="single"/>
              </w:rPr>
            </w:pPr>
            <w:r w:rsidRPr="00E55352">
              <w:rPr>
                <w:rFonts w:asciiTheme="majorBidi" w:eastAsia="Arial" w:hAnsiTheme="majorBidi" w:cstheme="majorBidi"/>
                <w:sz w:val="20"/>
              </w:rPr>
              <w:t>D.B.M. Harel Investments Ltd (2006)</w:t>
            </w:r>
            <w:r>
              <w:rPr>
                <w:rFonts w:asciiTheme="majorBidi" w:eastAsia="Arial" w:hAnsiTheme="majorBidi" w:cstheme="majorBidi"/>
                <w:sz w:val="20"/>
              </w:rPr>
              <w:t xml:space="preserve"> </w:t>
            </w:r>
          </w:p>
        </w:tc>
        <w:tc>
          <w:tcPr>
            <w:tcW w:w="2268" w:type="dxa"/>
            <w:vAlign w:val="bottom"/>
          </w:tcPr>
          <w:p w14:paraId="7A88F63C" w14:textId="4479D3E7" w:rsidR="007A4AEE" w:rsidRPr="00440C55" w:rsidRDefault="007A4AEE" w:rsidP="007A4AEE">
            <w:pPr>
              <w:spacing w:before="40"/>
              <w:rPr>
                <w:rFonts w:asciiTheme="majorBidi" w:hAnsiTheme="majorBidi" w:cstheme="majorBidi"/>
                <w:color w:val="000000"/>
                <w:sz w:val="20"/>
                <w:highlight w:val="yellow"/>
              </w:rPr>
            </w:pPr>
            <w:r w:rsidRPr="00E55352">
              <w:rPr>
                <w:rFonts w:asciiTheme="majorBidi" w:hAnsiTheme="majorBidi" w:cstheme="majorBidi"/>
                <w:color w:val="000000"/>
                <w:sz w:val="20"/>
              </w:rPr>
              <w:t>Israel</w:t>
            </w:r>
          </w:p>
        </w:tc>
        <w:tc>
          <w:tcPr>
            <w:tcW w:w="1417" w:type="dxa"/>
            <w:noWrap/>
            <w:vAlign w:val="bottom"/>
          </w:tcPr>
          <w:p w14:paraId="735B4644" w14:textId="011FC8AC" w:rsidR="007A4AEE" w:rsidRPr="00CD5E4D" w:rsidRDefault="007A4AEE" w:rsidP="007A4AEE">
            <w:pPr>
              <w:spacing w:before="40"/>
              <w:jc w:val="right"/>
              <w:rPr>
                <w:rFonts w:asciiTheme="majorBidi" w:hAnsiTheme="majorBidi" w:cstheme="majorBidi"/>
                <w:color w:val="000000"/>
                <w:sz w:val="20"/>
              </w:rPr>
            </w:pPr>
            <w:r w:rsidRPr="00440C55">
              <w:rPr>
                <w:rFonts w:asciiTheme="majorBidi" w:hAnsiTheme="majorBidi" w:cstheme="majorBidi"/>
                <w:color w:val="000000"/>
                <w:sz w:val="20"/>
              </w:rPr>
              <w:t xml:space="preserve"> 100.0</w:t>
            </w:r>
          </w:p>
        </w:tc>
        <w:tc>
          <w:tcPr>
            <w:tcW w:w="1417" w:type="dxa"/>
            <w:noWrap/>
            <w:vAlign w:val="bottom"/>
          </w:tcPr>
          <w:p w14:paraId="0FA3A341" w14:textId="0A3BD2C4" w:rsidR="007A4AEE" w:rsidRPr="00CD5E4D" w:rsidRDefault="007A4AEE" w:rsidP="007A4AEE">
            <w:pPr>
              <w:spacing w:before="40"/>
              <w:jc w:val="right"/>
              <w:rPr>
                <w:rFonts w:asciiTheme="majorBidi" w:hAnsiTheme="majorBidi" w:cstheme="majorBidi"/>
                <w:color w:val="000000"/>
                <w:sz w:val="20"/>
              </w:rPr>
            </w:pPr>
            <w:r w:rsidRPr="00440C55">
              <w:rPr>
                <w:rFonts w:asciiTheme="majorBidi" w:hAnsiTheme="majorBidi" w:cstheme="majorBidi"/>
                <w:color w:val="000000"/>
                <w:sz w:val="20"/>
              </w:rPr>
              <w:t xml:space="preserve"> 100.0</w:t>
            </w:r>
          </w:p>
        </w:tc>
      </w:tr>
      <w:tr w:rsidR="007A4AEE" w:rsidRPr="00E55352" w14:paraId="114EA9E4" w14:textId="77777777" w:rsidTr="005101BC">
        <w:trPr>
          <w:trHeight w:val="180"/>
        </w:trPr>
        <w:tc>
          <w:tcPr>
            <w:tcW w:w="4535" w:type="dxa"/>
            <w:vAlign w:val="bottom"/>
          </w:tcPr>
          <w:p w14:paraId="2BD52288" w14:textId="77777777" w:rsidR="007A4AEE" w:rsidRPr="00440C55" w:rsidRDefault="007A4AEE" w:rsidP="007A4AEE">
            <w:pPr>
              <w:spacing w:before="40"/>
              <w:rPr>
                <w:rFonts w:asciiTheme="majorBidi" w:eastAsia="Arial" w:hAnsiTheme="majorBidi" w:cstheme="majorBidi"/>
                <w:sz w:val="20"/>
                <w:highlight w:val="yellow"/>
              </w:rPr>
            </w:pPr>
          </w:p>
        </w:tc>
        <w:tc>
          <w:tcPr>
            <w:tcW w:w="2268" w:type="dxa"/>
            <w:vAlign w:val="bottom"/>
          </w:tcPr>
          <w:p w14:paraId="2A9A763A" w14:textId="77777777" w:rsidR="007A4AEE" w:rsidRPr="00440C55" w:rsidRDefault="007A4AEE" w:rsidP="007A4AEE">
            <w:pPr>
              <w:spacing w:before="40"/>
              <w:rPr>
                <w:rFonts w:asciiTheme="majorBidi" w:hAnsiTheme="majorBidi" w:cstheme="majorBidi"/>
                <w:color w:val="000000"/>
                <w:sz w:val="20"/>
                <w:highlight w:val="yellow"/>
              </w:rPr>
            </w:pPr>
          </w:p>
        </w:tc>
        <w:tc>
          <w:tcPr>
            <w:tcW w:w="1417" w:type="dxa"/>
            <w:noWrap/>
            <w:vAlign w:val="bottom"/>
          </w:tcPr>
          <w:p w14:paraId="02B6591B" w14:textId="77777777" w:rsidR="007A4AEE" w:rsidRPr="00440C55" w:rsidRDefault="007A4AEE" w:rsidP="007A4AEE">
            <w:pPr>
              <w:spacing w:before="40"/>
              <w:jc w:val="right"/>
              <w:rPr>
                <w:rFonts w:asciiTheme="majorBidi" w:hAnsiTheme="majorBidi" w:cstheme="majorBidi"/>
                <w:color w:val="000000"/>
                <w:sz w:val="20"/>
                <w:highlight w:val="yellow"/>
              </w:rPr>
            </w:pPr>
          </w:p>
        </w:tc>
        <w:tc>
          <w:tcPr>
            <w:tcW w:w="1417" w:type="dxa"/>
            <w:noWrap/>
            <w:vAlign w:val="bottom"/>
          </w:tcPr>
          <w:p w14:paraId="2884FF9B" w14:textId="77777777" w:rsidR="007A4AEE" w:rsidRPr="00440C55" w:rsidRDefault="007A4AEE" w:rsidP="007A4AEE">
            <w:pPr>
              <w:spacing w:before="40"/>
              <w:jc w:val="right"/>
              <w:rPr>
                <w:rFonts w:asciiTheme="majorBidi" w:hAnsiTheme="majorBidi" w:cstheme="majorBidi"/>
                <w:color w:val="000000"/>
                <w:sz w:val="20"/>
                <w:highlight w:val="yellow"/>
              </w:rPr>
            </w:pPr>
          </w:p>
        </w:tc>
      </w:tr>
    </w:tbl>
    <w:p w14:paraId="346CAE33" w14:textId="263DE8D8" w:rsidR="00C35D07" w:rsidRPr="00720B8D" w:rsidRDefault="00C35D07" w:rsidP="00C15847">
      <w:pPr>
        <w:ind w:left="720" w:hanging="720"/>
        <w:jc w:val="both"/>
        <w:rPr>
          <w:sz w:val="20"/>
        </w:rPr>
      </w:pPr>
      <w:r w:rsidRPr="006920BA">
        <w:rPr>
          <w:sz w:val="22"/>
          <w:szCs w:val="22"/>
        </w:rPr>
        <w:t>(</w:t>
      </w:r>
      <w:r w:rsidR="00C15847">
        <w:rPr>
          <w:rFonts w:hint="cs"/>
          <w:sz w:val="22"/>
          <w:szCs w:val="22"/>
          <w:rtl/>
          <w:lang w:bidi="he-IL"/>
        </w:rPr>
        <w:t>1</w:t>
      </w:r>
      <w:r w:rsidRPr="006920BA">
        <w:rPr>
          <w:sz w:val="22"/>
          <w:szCs w:val="22"/>
        </w:rPr>
        <w:t>)</w:t>
      </w:r>
      <w:r w:rsidRPr="006920BA">
        <w:rPr>
          <w:sz w:val="22"/>
          <w:szCs w:val="22"/>
        </w:rPr>
        <w:tab/>
      </w:r>
      <w:proofErr w:type="spellStart"/>
      <w:r w:rsidRPr="00720B8D">
        <w:rPr>
          <w:sz w:val="20"/>
        </w:rPr>
        <w:t>Intrastar</w:t>
      </w:r>
      <w:proofErr w:type="spellEnd"/>
      <w:r w:rsidRPr="00720B8D">
        <w:rPr>
          <w:sz w:val="20"/>
        </w:rPr>
        <w:t xml:space="preserve"> holds 85% in Airport City Belgrade </w:t>
      </w:r>
      <w:proofErr w:type="gramStart"/>
      <w:r w:rsidRPr="00720B8D">
        <w:rPr>
          <w:sz w:val="20"/>
        </w:rPr>
        <w:t>d.o</w:t>
      </w:r>
      <w:proofErr w:type="gramEnd"/>
      <w:r w:rsidRPr="00720B8D">
        <w:rPr>
          <w:sz w:val="20"/>
        </w:rPr>
        <w:t xml:space="preserve">.o. and Galway Consolidated Ltd. holds 15% in Airport City Belgrade d.o.o. </w:t>
      </w:r>
    </w:p>
    <w:p w14:paraId="566C9AAB" w14:textId="5E0CBD02" w:rsidR="00AF6EB1" w:rsidRPr="00720B8D" w:rsidRDefault="00AF6EB1" w:rsidP="00C15847">
      <w:pPr>
        <w:ind w:left="720" w:hanging="720"/>
        <w:jc w:val="both"/>
        <w:rPr>
          <w:sz w:val="20"/>
        </w:rPr>
      </w:pPr>
      <w:r w:rsidRPr="00720B8D">
        <w:rPr>
          <w:sz w:val="20"/>
        </w:rPr>
        <w:t>(</w:t>
      </w:r>
      <w:r w:rsidR="005B42AB">
        <w:rPr>
          <w:sz w:val="20"/>
        </w:rPr>
        <w:t>2</w:t>
      </w:r>
      <w:proofErr w:type="gramStart"/>
      <w:r w:rsidRPr="00720B8D">
        <w:rPr>
          <w:sz w:val="20"/>
        </w:rPr>
        <w:t xml:space="preserve">) </w:t>
      </w:r>
      <w:r w:rsidRPr="00720B8D">
        <w:rPr>
          <w:sz w:val="20"/>
        </w:rPr>
        <w:tab/>
        <w:t>The</w:t>
      </w:r>
      <w:proofErr w:type="gramEnd"/>
      <w:r w:rsidRPr="00720B8D">
        <w:rPr>
          <w:sz w:val="20"/>
        </w:rPr>
        <w:t xml:space="preserve"> rights of AFI Europe N.V in profits 96%. The rights to vote and risks 100%</w:t>
      </w:r>
    </w:p>
    <w:p w14:paraId="674E4AFC" w14:textId="29BBF0FC" w:rsidR="00FD0AE5" w:rsidRPr="00720B8D" w:rsidRDefault="00FD0AE5" w:rsidP="00FD0AE5">
      <w:pPr>
        <w:ind w:left="720" w:hanging="720"/>
        <w:jc w:val="both"/>
        <w:rPr>
          <w:sz w:val="20"/>
        </w:rPr>
      </w:pPr>
      <w:r w:rsidRPr="00720B8D">
        <w:rPr>
          <w:sz w:val="20"/>
        </w:rPr>
        <w:t>(</w:t>
      </w:r>
      <w:r w:rsidR="005B42AB">
        <w:rPr>
          <w:sz w:val="20"/>
        </w:rPr>
        <w:t>3</w:t>
      </w:r>
      <w:r w:rsidRPr="00720B8D">
        <w:rPr>
          <w:sz w:val="20"/>
        </w:rPr>
        <w:t>)</w:t>
      </w:r>
      <w:r w:rsidRPr="00720B8D">
        <w:rPr>
          <w:sz w:val="20"/>
        </w:rPr>
        <w:tab/>
        <w:t xml:space="preserve">The </w:t>
      </w:r>
      <w:r w:rsidR="0013371E">
        <w:rPr>
          <w:sz w:val="20"/>
        </w:rPr>
        <w:t>ownership is by AFI Project Developers B.V (100%)</w:t>
      </w:r>
    </w:p>
    <w:p w14:paraId="31682BAC" w14:textId="2A18C5AC" w:rsidR="00E86114" w:rsidRPr="00720B8D" w:rsidRDefault="00E86114" w:rsidP="00FD0AE5">
      <w:pPr>
        <w:ind w:left="720" w:hanging="720"/>
        <w:jc w:val="both"/>
        <w:rPr>
          <w:sz w:val="20"/>
        </w:rPr>
      </w:pPr>
      <w:r w:rsidRPr="00720B8D">
        <w:rPr>
          <w:sz w:val="20"/>
        </w:rPr>
        <w:t>(</w:t>
      </w:r>
      <w:r w:rsidR="005B42AB">
        <w:rPr>
          <w:sz w:val="20"/>
        </w:rPr>
        <w:t>4</w:t>
      </w:r>
      <w:r w:rsidRPr="00720B8D">
        <w:rPr>
          <w:sz w:val="20"/>
        </w:rPr>
        <w:t>)</w:t>
      </w:r>
      <w:r w:rsidRPr="00720B8D">
        <w:rPr>
          <w:sz w:val="20"/>
        </w:rPr>
        <w:tab/>
        <w:t>The ownership is by AFI</w:t>
      </w:r>
      <w:r w:rsidR="00014D65">
        <w:rPr>
          <w:rFonts w:hint="cs"/>
          <w:sz w:val="20"/>
          <w:rtl/>
          <w:lang w:bidi="he-IL"/>
        </w:rPr>
        <w:t xml:space="preserve"> </w:t>
      </w:r>
      <w:r w:rsidR="00014D65">
        <w:rPr>
          <w:sz w:val="20"/>
          <w:lang w:bidi="he-IL"/>
        </w:rPr>
        <w:t xml:space="preserve">Home B.V </w:t>
      </w:r>
      <w:r w:rsidRPr="00720B8D">
        <w:rPr>
          <w:sz w:val="20"/>
        </w:rPr>
        <w:t>(100%)</w:t>
      </w:r>
    </w:p>
    <w:p w14:paraId="738F8959" w14:textId="13640DF6" w:rsidR="00C35D07" w:rsidRDefault="00711826" w:rsidP="00DB5161">
      <w:pPr>
        <w:ind w:left="720" w:hanging="720"/>
        <w:jc w:val="both"/>
        <w:rPr>
          <w:sz w:val="20"/>
        </w:rPr>
      </w:pPr>
      <w:r w:rsidRPr="00720B8D">
        <w:rPr>
          <w:sz w:val="20"/>
        </w:rPr>
        <w:t>(</w:t>
      </w:r>
      <w:r w:rsidR="005B42AB">
        <w:rPr>
          <w:sz w:val="20"/>
        </w:rPr>
        <w:t>5</w:t>
      </w:r>
      <w:r w:rsidRPr="00720B8D">
        <w:rPr>
          <w:sz w:val="20"/>
        </w:rPr>
        <w:t>)</w:t>
      </w:r>
      <w:r w:rsidR="00720B8D" w:rsidRPr="00720B8D">
        <w:rPr>
          <w:sz w:val="20"/>
        </w:rPr>
        <w:tab/>
        <w:t xml:space="preserve">The ownership is by </w:t>
      </w:r>
      <w:r w:rsidR="00720B8D" w:rsidRPr="00720B8D">
        <w:rPr>
          <w:rFonts w:asciiTheme="majorBidi" w:eastAsia="Arial" w:hAnsiTheme="majorBidi" w:cstheme="majorBidi"/>
          <w:sz w:val="20"/>
        </w:rPr>
        <w:t xml:space="preserve">AFI </w:t>
      </w:r>
      <w:proofErr w:type="spellStart"/>
      <w:r w:rsidR="00720B8D" w:rsidRPr="00720B8D">
        <w:rPr>
          <w:rFonts w:asciiTheme="majorBidi" w:eastAsia="Arial" w:hAnsiTheme="majorBidi" w:cstheme="majorBidi"/>
          <w:sz w:val="20"/>
        </w:rPr>
        <w:t>HoldCo</w:t>
      </w:r>
      <w:proofErr w:type="spellEnd"/>
      <w:r w:rsidR="00720B8D" w:rsidRPr="00720B8D">
        <w:rPr>
          <w:rFonts w:asciiTheme="majorBidi" w:eastAsia="Arial" w:hAnsiTheme="majorBidi" w:cstheme="majorBidi"/>
          <w:sz w:val="20"/>
        </w:rPr>
        <w:t xml:space="preserve"> S.R.L.</w:t>
      </w:r>
      <w:r w:rsidR="00720B8D" w:rsidRPr="00720B8D">
        <w:rPr>
          <w:sz w:val="20"/>
        </w:rPr>
        <w:t xml:space="preserve"> (100%)</w:t>
      </w:r>
    </w:p>
    <w:p w14:paraId="4E28F8E0" w14:textId="00784BDF" w:rsidR="00DB5161" w:rsidRDefault="00DB5161" w:rsidP="00DB5161">
      <w:pPr>
        <w:ind w:left="720" w:hanging="720"/>
        <w:jc w:val="both"/>
        <w:rPr>
          <w:sz w:val="20"/>
        </w:rPr>
      </w:pPr>
      <w:r>
        <w:rPr>
          <w:sz w:val="20"/>
        </w:rPr>
        <w:t>(</w:t>
      </w:r>
      <w:r w:rsidR="005B42AB">
        <w:rPr>
          <w:sz w:val="20"/>
        </w:rPr>
        <w:t>6</w:t>
      </w:r>
      <w:r>
        <w:rPr>
          <w:sz w:val="20"/>
        </w:rPr>
        <w:t>)</w:t>
      </w:r>
      <w:r>
        <w:rPr>
          <w:sz w:val="20"/>
        </w:rPr>
        <w:tab/>
        <w:t xml:space="preserve">The ownership is by </w:t>
      </w:r>
      <w:r w:rsidRPr="00DB5161">
        <w:rPr>
          <w:sz w:val="20"/>
        </w:rPr>
        <w:t xml:space="preserve">Pebworth sp. z </w:t>
      </w:r>
      <w:proofErr w:type="spellStart"/>
      <w:r w:rsidRPr="00DB5161">
        <w:rPr>
          <w:sz w:val="20"/>
        </w:rPr>
        <w:t>o.o.</w:t>
      </w:r>
      <w:proofErr w:type="spellEnd"/>
      <w:r>
        <w:rPr>
          <w:sz w:val="20"/>
        </w:rPr>
        <w:t xml:space="preserve"> (70%)</w:t>
      </w:r>
    </w:p>
    <w:p w14:paraId="2AAE61CF" w14:textId="0900B8E9" w:rsidR="005B42AB" w:rsidRDefault="005B42AB" w:rsidP="005B42AB">
      <w:pPr>
        <w:ind w:left="720" w:hanging="720"/>
        <w:jc w:val="both"/>
        <w:rPr>
          <w:sz w:val="20"/>
        </w:rPr>
      </w:pPr>
      <w:r w:rsidRPr="00720B8D">
        <w:rPr>
          <w:sz w:val="20"/>
        </w:rPr>
        <w:t>(</w:t>
      </w:r>
      <w:r>
        <w:rPr>
          <w:sz w:val="20"/>
        </w:rPr>
        <w:t>7</w:t>
      </w:r>
      <w:r w:rsidRPr="00720B8D">
        <w:rPr>
          <w:sz w:val="20"/>
        </w:rPr>
        <w:t>)</w:t>
      </w:r>
      <w:r w:rsidRPr="00720B8D">
        <w:rPr>
          <w:sz w:val="20"/>
        </w:rPr>
        <w:tab/>
        <w:t>The ownership is by AFI</w:t>
      </w:r>
      <w:r>
        <w:rPr>
          <w:rFonts w:hint="cs"/>
          <w:sz w:val="20"/>
          <w:rtl/>
          <w:lang w:bidi="he-IL"/>
        </w:rPr>
        <w:t xml:space="preserve"> </w:t>
      </w:r>
      <w:r>
        <w:rPr>
          <w:sz w:val="20"/>
          <w:lang w:bidi="he-IL"/>
        </w:rPr>
        <w:t xml:space="preserve">Home Poland B.V </w:t>
      </w:r>
      <w:r w:rsidRPr="00720B8D">
        <w:rPr>
          <w:sz w:val="20"/>
        </w:rPr>
        <w:t>(100%)</w:t>
      </w:r>
    </w:p>
    <w:p w14:paraId="0E0F75BB" w14:textId="493098C9" w:rsidR="002D6D4F" w:rsidRDefault="007F3466" w:rsidP="007F3466">
      <w:pPr>
        <w:ind w:left="720" w:hanging="720"/>
        <w:jc w:val="both"/>
        <w:rPr>
          <w:sz w:val="18"/>
          <w:szCs w:val="18"/>
        </w:rPr>
      </w:pPr>
      <w:r>
        <w:rPr>
          <w:sz w:val="20"/>
        </w:rPr>
        <w:t>(8)</w:t>
      </w:r>
      <w:r>
        <w:rPr>
          <w:sz w:val="20"/>
        </w:rPr>
        <w:tab/>
      </w:r>
      <w:r w:rsidR="00B173C1">
        <w:rPr>
          <w:rFonts w:asciiTheme="majorBidi" w:eastAsia="Arial" w:hAnsiTheme="majorBidi" w:cstheme="majorBidi"/>
          <w:sz w:val="20"/>
        </w:rPr>
        <w:t>M</w:t>
      </w:r>
      <w:r w:rsidR="00B441FE" w:rsidRPr="00B441FE">
        <w:rPr>
          <w:rFonts w:asciiTheme="majorBidi" w:eastAsia="Arial" w:hAnsiTheme="majorBidi" w:cstheme="majorBidi"/>
          <w:sz w:val="20"/>
        </w:rPr>
        <w:t xml:space="preserve">erged </w:t>
      </w:r>
      <w:proofErr w:type="gramStart"/>
      <w:r w:rsidR="00B441FE" w:rsidRPr="00B441FE">
        <w:rPr>
          <w:rFonts w:asciiTheme="majorBidi" w:eastAsia="Arial" w:hAnsiTheme="majorBidi" w:cstheme="majorBidi"/>
          <w:sz w:val="20"/>
        </w:rPr>
        <w:t>to</w:t>
      </w:r>
      <w:proofErr w:type="gramEnd"/>
      <w:r w:rsidR="00B441FE" w:rsidRPr="00B441FE">
        <w:rPr>
          <w:rFonts w:asciiTheme="majorBidi" w:eastAsia="Arial" w:hAnsiTheme="majorBidi" w:cstheme="majorBidi"/>
          <w:sz w:val="20"/>
        </w:rPr>
        <w:t xml:space="preserve"> AFI Europe N.V.</w:t>
      </w:r>
      <w:r w:rsidR="007C29D6">
        <w:rPr>
          <w:rFonts w:asciiTheme="majorBidi" w:eastAsia="Arial" w:hAnsiTheme="majorBidi" w:cstheme="majorBidi"/>
          <w:sz w:val="20"/>
        </w:rPr>
        <w:t xml:space="preserve">, </w:t>
      </w:r>
      <w:r w:rsidR="00B441FE" w:rsidRPr="00B441FE">
        <w:rPr>
          <w:rFonts w:asciiTheme="majorBidi" w:eastAsia="Arial" w:hAnsiTheme="majorBidi" w:cstheme="majorBidi"/>
          <w:sz w:val="20"/>
        </w:rPr>
        <w:t>effective as of January 1, 2024</w:t>
      </w:r>
      <w:r w:rsidR="00B441FE">
        <w:rPr>
          <w:rFonts w:asciiTheme="majorBidi" w:eastAsia="Arial" w:hAnsiTheme="majorBidi" w:cstheme="majorBidi"/>
          <w:sz w:val="20"/>
        </w:rPr>
        <w:t>.</w:t>
      </w:r>
    </w:p>
    <w:p w14:paraId="290AE6D1" w14:textId="48271517" w:rsidR="00085065" w:rsidRDefault="00085065" w:rsidP="00C74678">
      <w:pPr>
        <w:rPr>
          <w:sz w:val="18"/>
          <w:szCs w:val="18"/>
          <w:lang w:bidi="he-IL"/>
        </w:rPr>
      </w:pPr>
    </w:p>
    <w:p w14:paraId="7461A6B7" w14:textId="77777777" w:rsidR="009A4EE5" w:rsidRDefault="009A4EE5" w:rsidP="00C74678">
      <w:pPr>
        <w:rPr>
          <w:sz w:val="18"/>
          <w:szCs w:val="18"/>
          <w:lang w:bidi="he-IL"/>
        </w:rPr>
      </w:pPr>
    </w:p>
    <w:p w14:paraId="48827B11" w14:textId="77777777" w:rsidR="009A4EE5" w:rsidRDefault="009A4EE5" w:rsidP="00C74678">
      <w:pPr>
        <w:rPr>
          <w:sz w:val="18"/>
          <w:szCs w:val="18"/>
          <w:lang w:bidi="he-IL"/>
        </w:rPr>
      </w:pPr>
    </w:p>
    <w:p w14:paraId="4055F446" w14:textId="77777777" w:rsidR="009A4EE5" w:rsidRDefault="009A4EE5" w:rsidP="00C74678">
      <w:pPr>
        <w:rPr>
          <w:sz w:val="18"/>
          <w:szCs w:val="18"/>
          <w:lang w:bidi="he-IL"/>
        </w:rPr>
      </w:pPr>
    </w:p>
    <w:p w14:paraId="6CB507E7" w14:textId="77777777" w:rsidR="009A4EE5" w:rsidRDefault="009A4EE5" w:rsidP="00C74678">
      <w:pPr>
        <w:rPr>
          <w:sz w:val="18"/>
          <w:szCs w:val="18"/>
          <w:lang w:bidi="he-IL"/>
        </w:rPr>
      </w:pPr>
    </w:p>
    <w:p w14:paraId="42C3E29A" w14:textId="77777777" w:rsidR="009A4EE5" w:rsidRDefault="009A4EE5" w:rsidP="00C74678">
      <w:pPr>
        <w:rPr>
          <w:sz w:val="18"/>
          <w:szCs w:val="18"/>
          <w:lang w:bidi="he-IL"/>
        </w:rPr>
      </w:pPr>
    </w:p>
    <w:p w14:paraId="74AD7472" w14:textId="77777777" w:rsidR="009A4EE5" w:rsidRDefault="009A4EE5" w:rsidP="00C74678">
      <w:pPr>
        <w:rPr>
          <w:sz w:val="18"/>
          <w:szCs w:val="18"/>
          <w:lang w:bidi="he-IL"/>
        </w:rPr>
      </w:pPr>
    </w:p>
    <w:p w14:paraId="22E1B5B3" w14:textId="77777777" w:rsidR="009A4EE5" w:rsidRDefault="009A4EE5" w:rsidP="00C74678">
      <w:pPr>
        <w:rPr>
          <w:sz w:val="18"/>
          <w:szCs w:val="18"/>
          <w:lang w:bidi="he-IL"/>
        </w:rPr>
      </w:pPr>
    </w:p>
    <w:p w14:paraId="69DB7324" w14:textId="77777777" w:rsidR="009A4EE5" w:rsidRDefault="009A4EE5" w:rsidP="00C74678">
      <w:pPr>
        <w:rPr>
          <w:sz w:val="18"/>
          <w:szCs w:val="18"/>
          <w:lang w:bidi="he-IL"/>
        </w:rPr>
      </w:pPr>
    </w:p>
    <w:p w14:paraId="188008C6" w14:textId="77777777" w:rsidR="009A4EE5" w:rsidRDefault="009A4EE5" w:rsidP="00C74678">
      <w:pPr>
        <w:rPr>
          <w:sz w:val="18"/>
          <w:szCs w:val="18"/>
          <w:lang w:bidi="he-IL"/>
        </w:rPr>
      </w:pPr>
    </w:p>
    <w:p w14:paraId="7E624E71" w14:textId="77777777" w:rsidR="009A4EE5" w:rsidRDefault="009A4EE5" w:rsidP="00C74678">
      <w:pPr>
        <w:rPr>
          <w:sz w:val="18"/>
          <w:szCs w:val="18"/>
          <w:lang w:bidi="he-IL"/>
        </w:rPr>
      </w:pPr>
    </w:p>
    <w:p w14:paraId="653EADFE" w14:textId="77777777" w:rsidR="009A4EE5" w:rsidRDefault="009A4EE5" w:rsidP="00C74678">
      <w:pPr>
        <w:rPr>
          <w:sz w:val="18"/>
          <w:szCs w:val="18"/>
          <w:lang w:bidi="he-IL"/>
        </w:rPr>
      </w:pPr>
    </w:p>
    <w:p w14:paraId="6670F0B5" w14:textId="77777777" w:rsidR="009A4EE5" w:rsidRDefault="009A4EE5" w:rsidP="00C74678">
      <w:pPr>
        <w:rPr>
          <w:sz w:val="18"/>
          <w:szCs w:val="18"/>
          <w:lang w:bidi="he-IL"/>
        </w:rPr>
      </w:pPr>
    </w:p>
    <w:p w14:paraId="4B892F34" w14:textId="77777777" w:rsidR="009A4EE5" w:rsidRDefault="009A4EE5" w:rsidP="00C74678">
      <w:pPr>
        <w:rPr>
          <w:sz w:val="18"/>
          <w:szCs w:val="18"/>
          <w:lang w:bidi="he-IL"/>
        </w:rPr>
      </w:pPr>
    </w:p>
    <w:p w14:paraId="2A9CE4C5" w14:textId="77777777" w:rsidR="009A4EE5" w:rsidRDefault="009A4EE5" w:rsidP="00C74678">
      <w:pPr>
        <w:rPr>
          <w:sz w:val="18"/>
          <w:szCs w:val="18"/>
          <w:lang w:bidi="he-IL"/>
        </w:rPr>
      </w:pPr>
    </w:p>
    <w:p w14:paraId="26356FF3" w14:textId="77777777" w:rsidR="009A4EE5" w:rsidRDefault="009A4EE5" w:rsidP="00C74678">
      <w:pPr>
        <w:rPr>
          <w:sz w:val="18"/>
          <w:szCs w:val="18"/>
          <w:lang w:bidi="he-IL"/>
        </w:rPr>
      </w:pPr>
    </w:p>
    <w:p w14:paraId="0EDF581E" w14:textId="77777777" w:rsidR="009A4EE5" w:rsidRDefault="009A4EE5" w:rsidP="00C74678">
      <w:pPr>
        <w:rPr>
          <w:sz w:val="18"/>
          <w:szCs w:val="18"/>
          <w:lang w:bidi="he-IL"/>
        </w:rPr>
      </w:pPr>
    </w:p>
    <w:p w14:paraId="39761B64" w14:textId="77777777" w:rsidR="009A4EE5" w:rsidRDefault="009A4EE5" w:rsidP="00C74678">
      <w:pPr>
        <w:rPr>
          <w:sz w:val="18"/>
          <w:szCs w:val="18"/>
          <w:lang w:bidi="he-IL"/>
        </w:rPr>
      </w:pPr>
    </w:p>
    <w:p w14:paraId="0756DA0F" w14:textId="77777777" w:rsidR="009A4EE5" w:rsidRDefault="009A4EE5" w:rsidP="00C74678">
      <w:pPr>
        <w:rPr>
          <w:sz w:val="18"/>
          <w:szCs w:val="18"/>
          <w:lang w:bidi="he-IL"/>
        </w:rPr>
      </w:pPr>
    </w:p>
    <w:p w14:paraId="31B8A93A" w14:textId="77777777" w:rsidR="009A4EE5" w:rsidRDefault="009A4EE5" w:rsidP="00C74678">
      <w:pPr>
        <w:rPr>
          <w:sz w:val="18"/>
          <w:szCs w:val="18"/>
          <w:lang w:bidi="he-IL"/>
        </w:rPr>
      </w:pPr>
    </w:p>
    <w:p w14:paraId="191FAC51" w14:textId="77777777" w:rsidR="009A4EE5" w:rsidRDefault="009A4EE5" w:rsidP="00C74678">
      <w:pPr>
        <w:rPr>
          <w:sz w:val="18"/>
          <w:szCs w:val="18"/>
          <w:lang w:bidi="he-IL"/>
        </w:rPr>
      </w:pPr>
    </w:p>
    <w:p w14:paraId="147576C7" w14:textId="77777777" w:rsidR="009A4EE5" w:rsidRDefault="009A4EE5" w:rsidP="00C74678">
      <w:pPr>
        <w:rPr>
          <w:sz w:val="18"/>
          <w:szCs w:val="18"/>
          <w:lang w:bidi="he-IL"/>
        </w:rPr>
      </w:pPr>
    </w:p>
    <w:p w14:paraId="1AE3578D" w14:textId="77777777" w:rsidR="009A4EE5" w:rsidRDefault="009A4EE5" w:rsidP="00C74678">
      <w:pPr>
        <w:rPr>
          <w:sz w:val="18"/>
          <w:szCs w:val="18"/>
          <w:lang w:bidi="he-IL"/>
        </w:rPr>
      </w:pPr>
    </w:p>
    <w:p w14:paraId="5CD14797" w14:textId="77777777" w:rsidR="009A4EE5" w:rsidRDefault="009A4EE5" w:rsidP="00C74678">
      <w:pPr>
        <w:rPr>
          <w:sz w:val="18"/>
          <w:szCs w:val="18"/>
          <w:lang w:bidi="he-IL"/>
        </w:rPr>
      </w:pPr>
    </w:p>
    <w:p w14:paraId="3AE7EA8D" w14:textId="77777777" w:rsidR="00215FA4" w:rsidRDefault="00215FA4" w:rsidP="00C74678">
      <w:pPr>
        <w:rPr>
          <w:sz w:val="18"/>
          <w:szCs w:val="18"/>
          <w:lang w:bidi="he-IL"/>
        </w:rPr>
      </w:pPr>
    </w:p>
    <w:p w14:paraId="17080AEB" w14:textId="77777777" w:rsidR="009A4EE5" w:rsidRDefault="009A4EE5" w:rsidP="00C74678">
      <w:pPr>
        <w:rPr>
          <w:sz w:val="18"/>
          <w:szCs w:val="18"/>
          <w:lang w:bidi="he-IL"/>
        </w:rPr>
      </w:pPr>
    </w:p>
    <w:p w14:paraId="243AB4EF" w14:textId="059CC02B" w:rsidR="009A4EE5" w:rsidRPr="00D85F46" w:rsidRDefault="009A4EE5" w:rsidP="009A4EE5">
      <w:pPr>
        <w:outlineLvl w:val="2"/>
        <w:rPr>
          <w:sz w:val="22"/>
          <w:szCs w:val="22"/>
          <w:lang w:bidi="he-IL"/>
        </w:rPr>
      </w:pPr>
      <w:r w:rsidRPr="0020502A">
        <w:rPr>
          <w:b/>
          <w:bCs/>
          <w:sz w:val="22"/>
          <w:szCs w:val="22"/>
        </w:rPr>
        <w:t>Note 2</w:t>
      </w:r>
      <w:r>
        <w:rPr>
          <w:b/>
          <w:bCs/>
          <w:sz w:val="22"/>
          <w:szCs w:val="22"/>
        </w:rPr>
        <w:t>6</w:t>
      </w:r>
      <w:r w:rsidR="00215FA4">
        <w:rPr>
          <w:b/>
          <w:bCs/>
          <w:sz w:val="22"/>
          <w:szCs w:val="22"/>
        </w:rPr>
        <w:t xml:space="preserve"> </w:t>
      </w:r>
      <w:r w:rsidRPr="0020502A">
        <w:rPr>
          <w:b/>
          <w:bCs/>
          <w:sz w:val="22"/>
          <w:szCs w:val="22"/>
        </w:rPr>
        <w:t xml:space="preserve">- </w:t>
      </w:r>
      <w:r>
        <w:rPr>
          <w:b/>
          <w:bCs/>
          <w:sz w:val="22"/>
          <w:szCs w:val="22"/>
        </w:rPr>
        <w:t xml:space="preserve">Subsequent </w:t>
      </w:r>
      <w:r w:rsidR="00215FA4">
        <w:rPr>
          <w:b/>
          <w:bCs/>
          <w:sz w:val="22"/>
          <w:szCs w:val="22"/>
        </w:rPr>
        <w:t>E</w:t>
      </w:r>
      <w:r>
        <w:rPr>
          <w:b/>
          <w:bCs/>
          <w:sz w:val="22"/>
          <w:szCs w:val="22"/>
        </w:rPr>
        <w:t>vent</w:t>
      </w:r>
      <w:r w:rsidR="00215FA4">
        <w:rPr>
          <w:b/>
          <w:bCs/>
          <w:sz w:val="22"/>
          <w:szCs w:val="22"/>
        </w:rPr>
        <w:t>s</w:t>
      </w:r>
    </w:p>
    <w:p w14:paraId="1502DB7D" w14:textId="77777777" w:rsidR="009A4EE5" w:rsidRDefault="009A4EE5" w:rsidP="00C74678">
      <w:pPr>
        <w:rPr>
          <w:sz w:val="18"/>
          <w:szCs w:val="18"/>
          <w:lang w:bidi="he-IL"/>
        </w:rPr>
      </w:pPr>
    </w:p>
    <w:p w14:paraId="64D770A6" w14:textId="4BA35BB0" w:rsidR="00ED4A7E" w:rsidRPr="0020502A" w:rsidRDefault="00ED4A7E" w:rsidP="00ED4A7E">
      <w:pPr>
        <w:pStyle w:val="af2"/>
        <w:numPr>
          <w:ilvl w:val="0"/>
          <w:numId w:val="42"/>
        </w:numPr>
        <w:jc w:val="both"/>
        <w:rPr>
          <w:sz w:val="22"/>
          <w:szCs w:val="22"/>
          <w:rtl/>
        </w:rPr>
      </w:pPr>
      <w:r>
        <w:rPr>
          <w:sz w:val="22"/>
          <w:szCs w:val="22"/>
        </w:rPr>
        <w:t xml:space="preserve">On January </w:t>
      </w:r>
      <w:r w:rsidRPr="0020502A">
        <w:rPr>
          <w:sz w:val="22"/>
          <w:szCs w:val="22"/>
        </w:rPr>
        <w:t>202</w:t>
      </w:r>
      <w:r>
        <w:rPr>
          <w:sz w:val="22"/>
          <w:szCs w:val="22"/>
        </w:rPr>
        <w:t>5</w:t>
      </w:r>
      <w:r w:rsidRPr="0020502A">
        <w:rPr>
          <w:sz w:val="22"/>
          <w:szCs w:val="22"/>
        </w:rPr>
        <w:t xml:space="preserve"> a financing agreement (the “</w:t>
      </w:r>
      <w:r w:rsidRPr="0020502A">
        <w:rPr>
          <w:b/>
          <w:bCs/>
          <w:sz w:val="22"/>
          <w:szCs w:val="22"/>
        </w:rPr>
        <w:t>Agreement</w:t>
      </w:r>
      <w:r w:rsidRPr="0020502A">
        <w:rPr>
          <w:sz w:val="22"/>
          <w:szCs w:val="22"/>
        </w:rPr>
        <w:t xml:space="preserve">”) was signed by </w:t>
      </w:r>
      <w:r>
        <w:rPr>
          <w:sz w:val="22"/>
          <w:szCs w:val="22"/>
        </w:rPr>
        <w:t xml:space="preserve">five </w:t>
      </w:r>
      <w:r w:rsidRPr="0020502A">
        <w:rPr>
          <w:sz w:val="22"/>
          <w:szCs w:val="22"/>
        </w:rPr>
        <w:t xml:space="preserve">fully owned </w:t>
      </w:r>
      <w:r>
        <w:rPr>
          <w:sz w:val="22"/>
          <w:szCs w:val="22"/>
        </w:rPr>
        <w:t xml:space="preserve">Polish </w:t>
      </w:r>
      <w:r w:rsidRPr="0020502A">
        <w:rPr>
          <w:sz w:val="22"/>
          <w:szCs w:val="22"/>
        </w:rPr>
        <w:t>subsidiar</w:t>
      </w:r>
      <w:r>
        <w:rPr>
          <w:sz w:val="22"/>
          <w:szCs w:val="22"/>
        </w:rPr>
        <w:t>ies</w:t>
      </w:r>
      <w:r w:rsidRPr="0020502A">
        <w:rPr>
          <w:sz w:val="22"/>
          <w:szCs w:val="22"/>
        </w:rPr>
        <w:t xml:space="preserve"> of the Company (</w:t>
      </w:r>
      <w:r>
        <w:rPr>
          <w:sz w:val="22"/>
          <w:szCs w:val="22"/>
        </w:rPr>
        <w:t xml:space="preserve">the </w:t>
      </w:r>
      <w:r w:rsidRPr="0020502A">
        <w:rPr>
          <w:sz w:val="22"/>
          <w:szCs w:val="22"/>
        </w:rPr>
        <w:t>“</w:t>
      </w:r>
      <w:r>
        <w:rPr>
          <w:b/>
          <w:bCs/>
          <w:sz w:val="22"/>
          <w:szCs w:val="22"/>
        </w:rPr>
        <w:t>Subsidiaries</w:t>
      </w:r>
      <w:r w:rsidRPr="0020502A">
        <w:rPr>
          <w:sz w:val="22"/>
          <w:szCs w:val="22"/>
        </w:rPr>
        <w:t xml:space="preserve">”), in relation to a loan in the </w:t>
      </w:r>
      <w:r>
        <w:rPr>
          <w:sz w:val="22"/>
          <w:szCs w:val="22"/>
        </w:rPr>
        <w:t xml:space="preserve">aggregate </w:t>
      </w:r>
      <w:r w:rsidRPr="0020502A">
        <w:rPr>
          <w:sz w:val="22"/>
          <w:szCs w:val="22"/>
        </w:rPr>
        <w:t xml:space="preserve">amount of </w:t>
      </w:r>
      <w:r>
        <w:rPr>
          <w:sz w:val="22"/>
          <w:szCs w:val="22"/>
        </w:rPr>
        <w:t xml:space="preserve">up to </w:t>
      </w:r>
      <w:r w:rsidRPr="0020502A">
        <w:rPr>
          <w:sz w:val="22"/>
          <w:szCs w:val="22"/>
        </w:rPr>
        <w:t xml:space="preserve">EUR </w:t>
      </w:r>
      <w:r>
        <w:rPr>
          <w:sz w:val="22"/>
          <w:szCs w:val="22"/>
        </w:rPr>
        <w:t>120</w:t>
      </w:r>
      <w:r w:rsidRPr="0020502A">
        <w:rPr>
          <w:sz w:val="22"/>
          <w:szCs w:val="22"/>
        </w:rPr>
        <w:t xml:space="preserve"> million, secured by, </w:t>
      </w:r>
      <w:r w:rsidRPr="0020502A">
        <w:rPr>
          <w:i/>
          <w:iCs/>
          <w:sz w:val="22"/>
          <w:szCs w:val="22"/>
        </w:rPr>
        <w:t>inter alia</w:t>
      </w:r>
      <w:r w:rsidRPr="0020502A">
        <w:rPr>
          <w:sz w:val="22"/>
          <w:szCs w:val="22"/>
        </w:rPr>
        <w:t xml:space="preserve">, mortgages and pledges on </w:t>
      </w:r>
      <w:r>
        <w:rPr>
          <w:sz w:val="22"/>
          <w:szCs w:val="22"/>
        </w:rPr>
        <w:t>four residential-for-rent properties owned and operated by the Subsidiaries in Warsaw</w:t>
      </w:r>
      <w:r w:rsidR="00DD7F5C">
        <w:rPr>
          <w:sz w:val="22"/>
          <w:szCs w:val="22"/>
        </w:rPr>
        <w:t>, Wroclaw and Krakow in Poland</w:t>
      </w:r>
      <w:r w:rsidRPr="0020502A">
        <w:rPr>
          <w:sz w:val="22"/>
          <w:szCs w:val="22"/>
        </w:rPr>
        <w:t xml:space="preserve"> (the “</w:t>
      </w:r>
      <w:r w:rsidRPr="0020502A">
        <w:rPr>
          <w:b/>
          <w:bCs/>
          <w:sz w:val="22"/>
          <w:szCs w:val="22"/>
        </w:rPr>
        <w:t>Loan</w:t>
      </w:r>
      <w:r w:rsidRPr="0020502A">
        <w:rPr>
          <w:sz w:val="22"/>
          <w:szCs w:val="22"/>
        </w:rPr>
        <w:t>”)</w:t>
      </w:r>
      <w:r>
        <w:rPr>
          <w:sz w:val="22"/>
          <w:szCs w:val="22"/>
        </w:rPr>
        <w:t xml:space="preserve">. </w:t>
      </w:r>
    </w:p>
    <w:p w14:paraId="38098FC2" w14:textId="77777777" w:rsidR="00ED4A7E" w:rsidRDefault="00ED4A7E" w:rsidP="00ED4A7E">
      <w:pPr>
        <w:pStyle w:val="af2"/>
        <w:ind w:left="360"/>
        <w:jc w:val="both"/>
        <w:rPr>
          <w:sz w:val="22"/>
          <w:szCs w:val="22"/>
          <w:rtl/>
        </w:rPr>
      </w:pPr>
    </w:p>
    <w:p w14:paraId="61DCDE31" w14:textId="1020452D" w:rsidR="00ED4A7E" w:rsidRPr="00C97D2F" w:rsidRDefault="00ED4A7E" w:rsidP="00C97D2F">
      <w:pPr>
        <w:ind w:left="720"/>
        <w:jc w:val="both"/>
        <w:rPr>
          <w:sz w:val="22"/>
          <w:szCs w:val="22"/>
        </w:rPr>
      </w:pPr>
      <w:r w:rsidRPr="00C97D2F">
        <w:rPr>
          <w:sz w:val="22"/>
          <w:szCs w:val="22"/>
        </w:rPr>
        <w:t xml:space="preserve">The Loan bears interest at an annual rate of 3-month EURIBOR </w:t>
      </w:r>
      <w:r w:rsidR="00614E73">
        <w:rPr>
          <w:sz w:val="22"/>
          <w:szCs w:val="22"/>
          <w:lang w:bidi="he-IL"/>
        </w:rPr>
        <w:t>plus an acceptable margin in the market</w:t>
      </w:r>
      <w:r w:rsidR="00614E73">
        <w:rPr>
          <w:sz w:val="22"/>
          <w:szCs w:val="22"/>
        </w:rPr>
        <w:t>.</w:t>
      </w:r>
      <w:r w:rsidRPr="00C97D2F">
        <w:rPr>
          <w:sz w:val="22"/>
          <w:szCs w:val="22"/>
        </w:rPr>
        <w:t xml:space="preserve"> The Loan’s final maturity date is December </w:t>
      </w:r>
      <w:r w:rsidR="001748AD">
        <w:rPr>
          <w:sz w:val="22"/>
          <w:szCs w:val="22"/>
        </w:rPr>
        <w:t>30</w:t>
      </w:r>
      <w:r w:rsidRPr="00C97D2F">
        <w:rPr>
          <w:sz w:val="22"/>
          <w:szCs w:val="22"/>
        </w:rPr>
        <w:t>, 20</w:t>
      </w:r>
      <w:r w:rsidR="001748AD">
        <w:rPr>
          <w:sz w:val="22"/>
          <w:szCs w:val="22"/>
        </w:rPr>
        <w:t>30</w:t>
      </w:r>
      <w:r w:rsidRPr="00C97D2F">
        <w:rPr>
          <w:sz w:val="22"/>
          <w:szCs w:val="22"/>
        </w:rPr>
        <w:t>.</w:t>
      </w:r>
    </w:p>
    <w:p w14:paraId="7144DA09" w14:textId="77777777" w:rsidR="00ED4A7E" w:rsidRDefault="00ED4A7E" w:rsidP="00ED4A7E">
      <w:pPr>
        <w:pStyle w:val="af2"/>
        <w:jc w:val="both"/>
        <w:rPr>
          <w:sz w:val="22"/>
          <w:szCs w:val="22"/>
        </w:rPr>
      </w:pPr>
    </w:p>
    <w:p w14:paraId="7C717025" w14:textId="100BBCFB" w:rsidR="00ED4A7E" w:rsidRPr="00C97D2F" w:rsidRDefault="00ED4A7E" w:rsidP="00C97D2F">
      <w:pPr>
        <w:ind w:left="720"/>
        <w:jc w:val="both"/>
        <w:rPr>
          <w:sz w:val="22"/>
          <w:szCs w:val="22"/>
        </w:rPr>
      </w:pPr>
    </w:p>
    <w:sectPr w:rsidR="00ED4A7E" w:rsidRPr="00C97D2F" w:rsidSect="00593E8F">
      <w:headerReference w:type="even" r:id="rId35"/>
      <w:headerReference w:type="default" r:id="rId36"/>
      <w:headerReference w:type="first" r:id="rId37"/>
      <w:endnotePr>
        <w:numFmt w:val="lowerLetter"/>
      </w:endnotePr>
      <w:type w:val="nextColumn"/>
      <w:pgSz w:w="11906" w:h="16838"/>
      <w:pgMar w:top="1134" w:right="1134" w:bottom="1134" w:left="1134" w:header="567" w:footer="567" w:gutter="0"/>
      <w:paperSrc w:first="15" w:other="15"/>
      <w:cols w:space="720"/>
      <w:bidi/>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778BF" w14:textId="77777777" w:rsidR="00A20EDA" w:rsidRDefault="00A20EDA">
      <w:r>
        <w:separator/>
      </w:r>
    </w:p>
  </w:endnote>
  <w:endnote w:type="continuationSeparator" w:id="0">
    <w:p w14:paraId="3411DB41" w14:textId="77777777" w:rsidR="00A20EDA" w:rsidRDefault="00A20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Univers 45 Light">
    <w:altName w:val="Times New Roman"/>
    <w:panose1 w:val="00000000000000000000"/>
    <w:charset w:val="00"/>
    <w:family w:val="auto"/>
    <w:notTrueType/>
    <w:pitch w:val="variable"/>
    <w:sig w:usb0="00000003" w:usb1="00000000" w:usb2="00000000" w:usb3="00000000" w:csb0="00000001" w:csb1="00000000"/>
  </w:font>
  <w:font w:name="Univers 55">
    <w:altName w:val="Calibri"/>
    <w:charset w:val="00"/>
    <w:family w:val="auto"/>
    <w:pitch w:val="variable"/>
    <w:sig w:usb0="80000023" w:usb1="00000000" w:usb2="00000000" w:usb3="00000000" w:csb0="00000001" w:csb1="00000000"/>
  </w:font>
  <w:font w:name="ZapfDingbats BT">
    <w:altName w:val="Algerian"/>
    <w:panose1 w:val="00000000000000000000"/>
    <w:charset w:val="6F"/>
    <w:family w:val="decorative"/>
    <w:notTrueType/>
    <w:pitch w:val="variable"/>
    <w:sig w:usb0="00000001"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Narkisim">
    <w:panose1 w:val="020E0502050101010101"/>
    <w:charset w:val="00"/>
    <w:family w:val="swiss"/>
    <w:pitch w:val="variable"/>
    <w:sig w:usb0="00000803" w:usb1="00000000" w:usb2="00000000" w:usb3="00000000" w:csb0="00000021" w:csb1="00000000"/>
  </w:font>
  <w:font w:name="Batang">
    <w:altName w:val="바탕"/>
    <w:panose1 w:val="02030600000101010101"/>
    <w:charset w:val="81"/>
    <w:family w:val="roman"/>
    <w:pitch w:val="variable"/>
    <w:sig w:usb0="B00002AF" w:usb1="69D77CFB" w:usb2="00000030" w:usb3="00000000" w:csb0="0008009F" w:csb1="00000000"/>
  </w:font>
  <w:font w:name="Miriam">
    <w:panose1 w:val="020B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F5B78" w14:textId="77777777" w:rsidR="007466ED" w:rsidRDefault="007466ED">
    <w:pPr>
      <w:pStyle w:val="a8"/>
      <w:framePr w:wrap="around" w:vAnchor="text" w:hAnchor="text"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91</w:t>
    </w:r>
    <w:r>
      <w:rPr>
        <w:rStyle w:val="aa"/>
      </w:rPr>
      <w:fldChar w:fldCharType="end"/>
    </w:r>
  </w:p>
  <w:p w14:paraId="2AB4C736" w14:textId="77777777" w:rsidR="007466ED" w:rsidRDefault="007466ED">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D89AC" w14:textId="77777777" w:rsidR="007466ED" w:rsidRDefault="007466ED">
    <w:pPr>
      <w:pStyle w:val="a8"/>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6E9AB" w14:textId="19AEAC48" w:rsidR="007466ED" w:rsidRDefault="007466ED">
    <w:pPr>
      <w:pStyle w:val="a8"/>
      <w:jc w:val="right"/>
      <w:rPr>
        <w:rtl/>
        <w:cs/>
      </w:rPr>
    </w:pPr>
  </w:p>
  <w:p w14:paraId="611EFFB7" w14:textId="77777777" w:rsidR="007466ED" w:rsidRPr="00297951" w:rsidRDefault="007466ED">
    <w:pPr>
      <w:pStyle w:val="a8"/>
      <w:ind w:right="360"/>
      <w:rPr>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898099"/>
      <w:docPartObj>
        <w:docPartGallery w:val="Page Numbers (Bottom of Page)"/>
        <w:docPartUnique/>
      </w:docPartObj>
    </w:sdtPr>
    <w:sdtEndPr>
      <w:rPr>
        <w:sz w:val="22"/>
        <w:szCs w:val="22"/>
      </w:rPr>
    </w:sdtEndPr>
    <w:sdtContent>
      <w:p w14:paraId="1962BB03" w14:textId="40687E0F" w:rsidR="00A619F2" w:rsidRPr="00A619F2" w:rsidRDefault="00A619F2">
        <w:pPr>
          <w:pStyle w:val="a8"/>
          <w:jc w:val="right"/>
          <w:rPr>
            <w:sz w:val="22"/>
            <w:szCs w:val="22"/>
          </w:rPr>
        </w:pPr>
        <w:r w:rsidRPr="00A619F2">
          <w:rPr>
            <w:sz w:val="22"/>
            <w:szCs w:val="22"/>
          </w:rPr>
          <w:fldChar w:fldCharType="begin"/>
        </w:r>
        <w:r w:rsidRPr="00A619F2">
          <w:rPr>
            <w:sz w:val="22"/>
            <w:szCs w:val="22"/>
          </w:rPr>
          <w:instrText>PAGE   \* MERGEFORMAT</w:instrText>
        </w:r>
        <w:r w:rsidRPr="00A619F2">
          <w:rPr>
            <w:sz w:val="22"/>
            <w:szCs w:val="22"/>
          </w:rPr>
          <w:fldChar w:fldCharType="separate"/>
        </w:r>
        <w:r w:rsidRPr="00A619F2">
          <w:rPr>
            <w:sz w:val="22"/>
            <w:szCs w:val="22"/>
            <w:rtl/>
            <w:lang w:val="he-IL" w:bidi="he-IL"/>
          </w:rPr>
          <w:t>2</w:t>
        </w:r>
        <w:r w:rsidRPr="00A619F2">
          <w:rPr>
            <w:sz w:val="22"/>
            <w:szCs w:val="22"/>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E2DB8" w14:textId="77777777" w:rsidR="00802D81" w:rsidRPr="00297951" w:rsidRDefault="00802D81" w:rsidP="00297951">
    <w:pPr>
      <w:pStyle w:val="a8"/>
      <w:framePr w:wrap="around" w:vAnchor="text" w:hAnchor="text" w:xAlign="right" w:y="1"/>
      <w:rPr>
        <w:rStyle w:val="aa"/>
        <w:sz w:val="22"/>
        <w:szCs w:val="22"/>
      </w:rPr>
    </w:pPr>
    <w:r w:rsidRPr="00297951">
      <w:rPr>
        <w:rStyle w:val="aa"/>
        <w:sz w:val="22"/>
        <w:szCs w:val="22"/>
      </w:rPr>
      <w:fldChar w:fldCharType="begin"/>
    </w:r>
    <w:r w:rsidRPr="00297951">
      <w:rPr>
        <w:rStyle w:val="aa"/>
        <w:sz w:val="22"/>
        <w:szCs w:val="22"/>
      </w:rPr>
      <w:instrText xml:space="preserve">PAGE  </w:instrText>
    </w:r>
    <w:r w:rsidRPr="00297951">
      <w:rPr>
        <w:rStyle w:val="aa"/>
        <w:sz w:val="22"/>
        <w:szCs w:val="22"/>
      </w:rPr>
      <w:fldChar w:fldCharType="separate"/>
    </w:r>
    <w:r>
      <w:rPr>
        <w:rStyle w:val="aa"/>
        <w:noProof/>
        <w:sz w:val="22"/>
        <w:szCs w:val="22"/>
      </w:rPr>
      <w:t>6</w:t>
    </w:r>
    <w:r w:rsidRPr="00297951">
      <w:rPr>
        <w:rStyle w:val="aa"/>
        <w:sz w:val="22"/>
        <w:szCs w:val="22"/>
      </w:rPr>
      <w:fldChar w:fldCharType="end"/>
    </w:r>
  </w:p>
  <w:p w14:paraId="2AECCD07" w14:textId="77777777" w:rsidR="00802D81" w:rsidRPr="00297951" w:rsidRDefault="00802D81">
    <w:pPr>
      <w:pStyle w:val="a8"/>
      <w:ind w:right="360"/>
      <w:rPr>
        <w:sz w:val="22"/>
        <w:szCs w:val="2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95CAF" w14:textId="53A24B58" w:rsidR="007466ED" w:rsidRPr="00E16C4F" w:rsidRDefault="007466ED" w:rsidP="00E16C4F">
    <w:pPr>
      <w:pStyle w:val="a8"/>
      <w:framePr w:wrap="around" w:vAnchor="text" w:hAnchor="text" w:xAlign="right" w:y="1"/>
      <w:rPr>
        <w:rStyle w:val="aa"/>
        <w:sz w:val="22"/>
        <w:szCs w:val="22"/>
      </w:rPr>
    </w:pPr>
    <w:r w:rsidRPr="00E16C4F">
      <w:rPr>
        <w:rStyle w:val="aa"/>
        <w:sz w:val="22"/>
        <w:szCs w:val="22"/>
      </w:rPr>
      <w:fldChar w:fldCharType="begin"/>
    </w:r>
    <w:r w:rsidRPr="00E16C4F">
      <w:rPr>
        <w:rStyle w:val="aa"/>
        <w:sz w:val="22"/>
        <w:szCs w:val="22"/>
      </w:rPr>
      <w:instrText xml:space="preserve">PAGE  </w:instrText>
    </w:r>
    <w:r w:rsidRPr="00E16C4F">
      <w:rPr>
        <w:rStyle w:val="aa"/>
        <w:sz w:val="22"/>
        <w:szCs w:val="22"/>
      </w:rPr>
      <w:fldChar w:fldCharType="separate"/>
    </w:r>
    <w:r>
      <w:rPr>
        <w:rStyle w:val="aa"/>
        <w:noProof/>
        <w:sz w:val="22"/>
        <w:szCs w:val="22"/>
      </w:rPr>
      <w:t>71</w:t>
    </w:r>
    <w:r w:rsidRPr="00E16C4F">
      <w:rPr>
        <w:rStyle w:val="aa"/>
        <w:sz w:val="22"/>
        <w:szCs w:val="22"/>
      </w:rPr>
      <w:fldChar w:fldCharType="end"/>
    </w:r>
  </w:p>
  <w:p w14:paraId="47257107" w14:textId="77777777" w:rsidR="007466ED" w:rsidRDefault="007466ED" w:rsidP="00E16C4F">
    <w:pPr>
      <w:pStyle w:val="a8"/>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38695" w14:textId="77777777" w:rsidR="00A20EDA" w:rsidRDefault="00A20EDA">
      <w:r>
        <w:separator/>
      </w:r>
    </w:p>
  </w:footnote>
  <w:footnote w:type="continuationSeparator" w:id="0">
    <w:p w14:paraId="755388E2" w14:textId="77777777" w:rsidR="00A20EDA" w:rsidRDefault="00A20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438F0" w14:textId="77777777" w:rsidR="007466ED" w:rsidRPr="00A619F2" w:rsidRDefault="007466ED" w:rsidP="00A619F2">
    <w:pPr>
      <w:pStyle w:val="a6"/>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14330" w14:textId="0F6A0E6B" w:rsidR="007466ED" w:rsidRPr="002C3038" w:rsidRDefault="007466ED">
    <w:pPr>
      <w:tabs>
        <w:tab w:val="decimal" w:pos="8352"/>
      </w:tabs>
      <w:jc w:val="right"/>
      <w:rPr>
        <w:b/>
        <w:bCs/>
        <w:sz w:val="22"/>
        <w:szCs w:val="22"/>
      </w:rPr>
    </w:pPr>
    <w:r w:rsidRPr="002C3038">
      <w:rPr>
        <w:b/>
        <w:bCs/>
        <w:sz w:val="22"/>
        <w:szCs w:val="22"/>
      </w:rPr>
      <w:t>AFI Europe N.V.</w:t>
    </w:r>
  </w:p>
  <w:p w14:paraId="3FEB5C6F" w14:textId="449CE966" w:rsidR="007466ED" w:rsidRDefault="007466ED" w:rsidP="00E72BB6">
    <w:pPr>
      <w:pBdr>
        <w:bottom w:val="single" w:sz="6" w:space="1" w:color="auto"/>
      </w:pBdr>
      <w:outlineLvl w:val="0"/>
      <w:rPr>
        <w:sz w:val="22"/>
        <w:szCs w:val="22"/>
      </w:rPr>
    </w:pPr>
    <w:r>
      <w:rPr>
        <w:b/>
        <w:sz w:val="22"/>
        <w:szCs w:val="22"/>
      </w:rPr>
      <w:t>Notes to consolidated financial statements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22F2C" w14:textId="77777777" w:rsidR="007466ED" w:rsidRPr="002C3038" w:rsidRDefault="007466ED">
    <w:pPr>
      <w:tabs>
        <w:tab w:val="decimal" w:pos="8352"/>
      </w:tabs>
      <w:jc w:val="right"/>
      <w:rPr>
        <w:b/>
        <w:bCs/>
        <w:sz w:val="22"/>
        <w:szCs w:val="22"/>
      </w:rPr>
    </w:pPr>
    <w:r w:rsidRPr="002C3038">
      <w:rPr>
        <w:b/>
        <w:bCs/>
        <w:sz w:val="22"/>
        <w:szCs w:val="22"/>
      </w:rPr>
      <w:t>AFI Europe N.V.</w:t>
    </w:r>
  </w:p>
  <w:p w14:paraId="2A8BB209" w14:textId="0F2DBFD2" w:rsidR="007466ED" w:rsidRDefault="007466ED" w:rsidP="00E72BB6">
    <w:pPr>
      <w:pBdr>
        <w:bottom w:val="single" w:sz="6" w:space="1" w:color="auto"/>
      </w:pBdr>
      <w:outlineLvl w:val="0"/>
      <w:rPr>
        <w:sz w:val="22"/>
        <w:szCs w:val="22"/>
      </w:rPr>
    </w:pPr>
    <w:r>
      <w:rPr>
        <w:b/>
        <w:sz w:val="22"/>
        <w:szCs w:val="22"/>
      </w:rPr>
      <w:t>Notes to consolidated financial statements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076D9" w14:textId="77777777" w:rsidR="007466ED" w:rsidRDefault="007466ED">
    <w:pPr>
      <w:pStyle w:val="a6"/>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AE07B" w14:textId="77777777" w:rsidR="007466ED" w:rsidRPr="002C3038" w:rsidRDefault="007466ED">
    <w:pPr>
      <w:tabs>
        <w:tab w:val="decimal" w:pos="8352"/>
      </w:tabs>
      <w:jc w:val="right"/>
      <w:rPr>
        <w:b/>
        <w:bCs/>
        <w:sz w:val="22"/>
        <w:szCs w:val="22"/>
      </w:rPr>
    </w:pPr>
    <w:r w:rsidRPr="002C3038">
      <w:rPr>
        <w:b/>
        <w:bCs/>
        <w:sz w:val="22"/>
        <w:szCs w:val="22"/>
      </w:rPr>
      <w:t>AFI Europe N.V.</w:t>
    </w:r>
  </w:p>
  <w:p w14:paraId="76BF0E6C" w14:textId="67F25754" w:rsidR="007466ED" w:rsidRDefault="007466ED" w:rsidP="00E72BB6">
    <w:pPr>
      <w:pBdr>
        <w:bottom w:val="single" w:sz="6" w:space="1" w:color="auto"/>
      </w:pBdr>
      <w:outlineLvl w:val="0"/>
      <w:rPr>
        <w:sz w:val="22"/>
        <w:szCs w:val="22"/>
      </w:rPr>
    </w:pPr>
    <w:r>
      <w:rPr>
        <w:b/>
        <w:sz w:val="22"/>
        <w:szCs w:val="22"/>
      </w:rPr>
      <w:t>Notes to consolidated financial statements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00A76" w14:textId="77777777" w:rsidR="007466ED" w:rsidRDefault="007466ED">
    <w:pPr>
      <w:pStyle w:val="a6"/>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29E3A" w14:textId="77777777" w:rsidR="007466ED" w:rsidRDefault="007466ED">
    <w:pPr>
      <w:pStyle w:val="a6"/>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E00ED" w14:textId="77777777" w:rsidR="007466ED" w:rsidRPr="002C3038" w:rsidRDefault="007466ED">
    <w:pPr>
      <w:tabs>
        <w:tab w:val="decimal" w:pos="8352"/>
      </w:tabs>
      <w:jc w:val="right"/>
      <w:rPr>
        <w:b/>
        <w:bCs/>
        <w:sz w:val="22"/>
        <w:szCs w:val="22"/>
      </w:rPr>
    </w:pPr>
    <w:r w:rsidRPr="002C3038">
      <w:rPr>
        <w:b/>
        <w:bCs/>
        <w:sz w:val="22"/>
        <w:szCs w:val="22"/>
      </w:rPr>
      <w:t>AFI Europe N.V.</w:t>
    </w:r>
  </w:p>
  <w:p w14:paraId="49B41BB0" w14:textId="5A76EA59" w:rsidR="007466ED" w:rsidRDefault="007466ED" w:rsidP="00E72BB6">
    <w:pPr>
      <w:pBdr>
        <w:bottom w:val="single" w:sz="6" w:space="1" w:color="auto"/>
      </w:pBdr>
      <w:outlineLvl w:val="0"/>
      <w:rPr>
        <w:sz w:val="22"/>
        <w:szCs w:val="22"/>
      </w:rPr>
    </w:pPr>
    <w:r>
      <w:rPr>
        <w:b/>
        <w:sz w:val="22"/>
        <w:szCs w:val="22"/>
      </w:rPr>
      <w:t>Notes to consolidated financial statements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F735F" w14:textId="77777777" w:rsidR="007466ED" w:rsidRDefault="007466ED">
    <w:pPr>
      <w:pStyle w:val="a6"/>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DD7AF" w14:textId="77777777" w:rsidR="007466ED" w:rsidRDefault="007466ED">
    <w:pPr>
      <w:pStyle w:val="a6"/>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3AB80" w14:textId="77777777" w:rsidR="007466ED" w:rsidRPr="002C3038" w:rsidRDefault="007466ED" w:rsidP="00820D6E">
    <w:pPr>
      <w:tabs>
        <w:tab w:val="decimal" w:pos="8352"/>
      </w:tabs>
      <w:jc w:val="right"/>
      <w:rPr>
        <w:b/>
        <w:bCs/>
        <w:sz w:val="22"/>
        <w:szCs w:val="22"/>
      </w:rPr>
    </w:pPr>
    <w:r w:rsidRPr="002C3038">
      <w:rPr>
        <w:b/>
        <w:bCs/>
        <w:sz w:val="22"/>
        <w:szCs w:val="22"/>
      </w:rPr>
      <w:t>AFI Europe N.V.</w:t>
    </w:r>
  </w:p>
  <w:p w14:paraId="24BB4AAD" w14:textId="77777777" w:rsidR="007466ED" w:rsidRDefault="007466ED" w:rsidP="00820D6E">
    <w:pPr>
      <w:pBdr>
        <w:bottom w:val="single" w:sz="6" w:space="1" w:color="auto"/>
      </w:pBdr>
      <w:outlineLvl w:val="0"/>
      <w:rPr>
        <w:sz w:val="22"/>
        <w:szCs w:val="22"/>
      </w:rPr>
    </w:pPr>
    <w:r>
      <w:rPr>
        <w:b/>
        <w:sz w:val="22"/>
        <w:szCs w:val="22"/>
      </w:rPr>
      <w:t>Notes to the consolidated financial statements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218AC" w14:textId="77777777" w:rsidR="00802D81" w:rsidRDefault="00802D81" w:rsidP="001C5FF4">
    <w:pPr>
      <w:tabs>
        <w:tab w:val="decimal" w:pos="8352"/>
      </w:tabs>
      <w:jc w:val="right"/>
      <w:rPr>
        <w:b/>
        <w:bCs/>
        <w:sz w:val="22"/>
        <w:szCs w:val="22"/>
        <w:lang w:val="es-ES"/>
      </w:rPr>
    </w:pPr>
    <w:r w:rsidRPr="00436901">
      <w:rPr>
        <w:b/>
        <w:bCs/>
        <w:sz w:val="22"/>
        <w:szCs w:val="22"/>
        <w:lang w:val="es-ES"/>
      </w:rPr>
      <w:t>AFI Europe N.V.</w:t>
    </w:r>
  </w:p>
  <w:p w14:paraId="13297613" w14:textId="77777777" w:rsidR="00802D81" w:rsidRPr="00436901" w:rsidRDefault="00802D81" w:rsidP="001C5FF4">
    <w:pPr>
      <w:tabs>
        <w:tab w:val="decimal" w:pos="8352"/>
      </w:tabs>
      <w:jc w:val="right"/>
      <w:rPr>
        <w:b/>
        <w:bCs/>
        <w:sz w:val="22"/>
        <w:szCs w:val="22"/>
        <w:lang w:val="es-ES"/>
      </w:rPr>
    </w:pPr>
  </w:p>
  <w:p w14:paraId="38A3667C" w14:textId="77777777" w:rsidR="00802D81" w:rsidRDefault="00802D81" w:rsidP="001C5FF4">
    <w:pPr>
      <w:pBdr>
        <w:bottom w:val="single" w:sz="6" w:space="1" w:color="auto"/>
      </w:pBdr>
      <w:tabs>
        <w:tab w:val="decimal" w:pos="8352"/>
      </w:tabs>
      <w:rPr>
        <w:sz w:val="22"/>
        <w:szCs w:val="22"/>
      </w:rPr>
    </w:pPr>
    <w:r>
      <w:rPr>
        <w:b/>
        <w:sz w:val="22"/>
        <w:szCs w:val="22"/>
      </w:rPr>
      <w:t xml:space="preserve">Consolidated statement of financial position as </w:t>
    </w:r>
    <w:proofErr w:type="gramStart"/>
    <w:r>
      <w:rPr>
        <w:b/>
        <w:sz w:val="22"/>
        <w:szCs w:val="22"/>
      </w:rPr>
      <w:t>at</w:t>
    </w:r>
    <w:proofErr w:type="gramEnd"/>
    <w:r>
      <w:rPr>
        <w:b/>
        <w:sz w:val="22"/>
        <w:szCs w:val="22"/>
      </w:rPr>
      <w:t xml:space="preserve"> </w:t>
    </w:r>
    <w:r w:rsidRPr="00C435F7">
      <w:rPr>
        <w:rFonts w:cs="Miriam"/>
        <w:b/>
        <w:bCs/>
        <w:sz w:val="22"/>
        <w:szCs w:val="22"/>
      </w:rPr>
      <w:t>December 31</w:t>
    </w:r>
    <w:r>
      <w:rPr>
        <w:rFonts w:cs="Miriam"/>
        <w:b/>
        <w:bCs/>
        <w:sz w:val="22"/>
        <w:szCs w:val="22"/>
      </w:rPr>
      <w:t>,</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2D32E" w14:textId="77777777" w:rsidR="007466ED" w:rsidRDefault="007466ED">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6842D" w14:textId="77777777" w:rsidR="007466ED" w:rsidRDefault="007466ED" w:rsidP="009902E4">
    <w:pPr>
      <w:tabs>
        <w:tab w:val="decimal" w:pos="8352"/>
      </w:tabs>
      <w:jc w:val="right"/>
      <w:rPr>
        <w:b/>
        <w:bCs/>
        <w:sz w:val="22"/>
        <w:szCs w:val="22"/>
      </w:rPr>
    </w:pPr>
    <w:r w:rsidRPr="00436901">
      <w:rPr>
        <w:b/>
        <w:bCs/>
        <w:sz w:val="22"/>
        <w:szCs w:val="22"/>
      </w:rPr>
      <w:t>AFI Europe N.V.</w:t>
    </w:r>
  </w:p>
  <w:p w14:paraId="46372CFE" w14:textId="77777777" w:rsidR="00436901" w:rsidRPr="00436901" w:rsidRDefault="00436901" w:rsidP="009902E4">
    <w:pPr>
      <w:tabs>
        <w:tab w:val="decimal" w:pos="8352"/>
      </w:tabs>
      <w:jc w:val="right"/>
      <w:rPr>
        <w:b/>
        <w:bCs/>
        <w:sz w:val="22"/>
        <w:szCs w:val="22"/>
      </w:rPr>
    </w:pPr>
  </w:p>
  <w:p w14:paraId="2C79799B" w14:textId="4EEA27B8" w:rsidR="007466ED" w:rsidRPr="009902E4" w:rsidRDefault="007466ED" w:rsidP="00D358D7">
    <w:pPr>
      <w:pBdr>
        <w:bottom w:val="single" w:sz="6" w:space="1" w:color="auto"/>
      </w:pBdr>
      <w:tabs>
        <w:tab w:val="decimal" w:pos="8352"/>
      </w:tabs>
      <w:rPr>
        <w:sz w:val="22"/>
        <w:szCs w:val="22"/>
      </w:rPr>
    </w:pPr>
    <w:r>
      <w:rPr>
        <w:b/>
        <w:bCs/>
        <w:sz w:val="22"/>
        <w:szCs w:val="22"/>
      </w:rPr>
      <w:t>Consolidated income statement for the year ended December 31,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C79AE" w14:textId="4C60A98A" w:rsidR="007466ED" w:rsidRDefault="007466ED" w:rsidP="00436901">
    <w:pPr>
      <w:jc w:val="right"/>
      <w:rPr>
        <w:b/>
        <w:bCs/>
        <w:sz w:val="22"/>
        <w:szCs w:val="22"/>
      </w:rPr>
    </w:pPr>
    <w:r w:rsidRPr="00436901">
      <w:rPr>
        <w:b/>
        <w:bCs/>
        <w:sz w:val="22"/>
        <w:szCs w:val="22"/>
      </w:rPr>
      <w:t>AFI Europe N.V.</w:t>
    </w:r>
  </w:p>
  <w:p w14:paraId="5809322A" w14:textId="77777777" w:rsidR="00436901" w:rsidRPr="00436901" w:rsidRDefault="00436901" w:rsidP="00436901">
    <w:pPr>
      <w:jc w:val="right"/>
      <w:rPr>
        <w:b/>
        <w:bCs/>
        <w:sz w:val="22"/>
        <w:szCs w:val="22"/>
      </w:rPr>
    </w:pPr>
  </w:p>
  <w:p w14:paraId="43B4C640" w14:textId="080295D0" w:rsidR="007466ED" w:rsidRDefault="007466ED" w:rsidP="00842F6A">
    <w:pPr>
      <w:pBdr>
        <w:bottom w:val="single" w:sz="6" w:space="1" w:color="auto"/>
      </w:pBdr>
      <w:tabs>
        <w:tab w:val="decimal" w:pos="8352"/>
      </w:tabs>
      <w:rPr>
        <w:sz w:val="22"/>
        <w:szCs w:val="22"/>
      </w:rPr>
    </w:pPr>
    <w:bookmarkStart w:id="13" w:name="_Hlk124845967"/>
    <w:r>
      <w:rPr>
        <w:b/>
        <w:bCs/>
        <w:sz w:val="22"/>
        <w:szCs w:val="22"/>
      </w:rPr>
      <w:t>Consolidated statement of o</w:t>
    </w:r>
    <w:r w:rsidRPr="004608A9">
      <w:rPr>
        <w:b/>
        <w:bCs/>
        <w:sz w:val="22"/>
        <w:szCs w:val="22"/>
      </w:rPr>
      <w:t>ther</w:t>
    </w:r>
    <w:r>
      <w:rPr>
        <w:b/>
        <w:bCs/>
        <w:sz w:val="22"/>
        <w:szCs w:val="22"/>
      </w:rPr>
      <w:t xml:space="preserve"> comprehensive income for the year ended December 31,</w:t>
    </w:r>
  </w:p>
  <w:bookmarkEnd w:id="1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E92A1" w14:textId="77777777" w:rsidR="007466ED" w:rsidRPr="00436901" w:rsidRDefault="007466ED" w:rsidP="00482806">
    <w:pPr>
      <w:tabs>
        <w:tab w:val="decimal" w:pos="8352"/>
      </w:tabs>
      <w:jc w:val="right"/>
      <w:rPr>
        <w:b/>
        <w:bCs/>
        <w:sz w:val="22"/>
        <w:szCs w:val="22"/>
      </w:rPr>
    </w:pPr>
    <w:r w:rsidRPr="00436901">
      <w:rPr>
        <w:b/>
        <w:bCs/>
        <w:sz w:val="22"/>
        <w:szCs w:val="22"/>
      </w:rPr>
      <w:t>AFI Europe N.V.</w:t>
    </w:r>
  </w:p>
  <w:p w14:paraId="12FBF86B" w14:textId="45248558" w:rsidR="007466ED" w:rsidRPr="006753FC" w:rsidRDefault="007466ED" w:rsidP="00842F6A">
    <w:pPr>
      <w:pBdr>
        <w:bottom w:val="single" w:sz="6" w:space="1" w:color="auto"/>
      </w:pBdr>
      <w:tabs>
        <w:tab w:val="decimal" w:pos="8352"/>
      </w:tabs>
      <w:rPr>
        <w:b/>
        <w:bCs/>
        <w:sz w:val="22"/>
        <w:szCs w:val="22"/>
      </w:rPr>
    </w:pPr>
    <w:bookmarkStart w:id="16" w:name="_Hlk124846054"/>
    <w:bookmarkStart w:id="17" w:name="_Hlk124846055"/>
    <w:r>
      <w:rPr>
        <w:b/>
        <w:bCs/>
        <w:sz w:val="22"/>
        <w:szCs w:val="22"/>
      </w:rPr>
      <w:t xml:space="preserve">Consolidated statement of changes in equity </w:t>
    </w:r>
    <w:r>
      <w:rPr>
        <w:rFonts w:cs="Miriam"/>
        <w:b/>
        <w:bCs/>
        <w:sz w:val="22"/>
        <w:szCs w:val="22"/>
      </w:rPr>
      <w:t>for the year ended December 31,</w:t>
    </w:r>
    <w:bookmarkEnd w:id="16"/>
    <w:bookmarkEnd w:id="17"/>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63237" w14:textId="77777777" w:rsidR="007466ED" w:rsidRDefault="007466ED">
    <w:pPr>
      <w:pStyle w:val="a6"/>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6BDF9A" w14:textId="77777777" w:rsidR="007466ED" w:rsidRDefault="007466ED">
    <w:pPr>
      <w:tabs>
        <w:tab w:val="decimal" w:pos="8352"/>
      </w:tabs>
      <w:jc w:val="right"/>
      <w:rPr>
        <w:b/>
        <w:bCs/>
        <w:sz w:val="22"/>
        <w:szCs w:val="22"/>
      </w:rPr>
    </w:pPr>
    <w:r w:rsidRPr="00436901">
      <w:rPr>
        <w:b/>
        <w:bCs/>
        <w:sz w:val="22"/>
        <w:szCs w:val="22"/>
      </w:rPr>
      <w:t>AFI Europe N.V.</w:t>
    </w:r>
  </w:p>
  <w:p w14:paraId="03347AC3" w14:textId="77777777" w:rsidR="00436901" w:rsidRPr="00436901" w:rsidRDefault="00436901">
    <w:pPr>
      <w:tabs>
        <w:tab w:val="decimal" w:pos="8352"/>
      </w:tabs>
      <w:jc w:val="right"/>
      <w:rPr>
        <w:b/>
        <w:bCs/>
        <w:sz w:val="22"/>
        <w:szCs w:val="22"/>
      </w:rPr>
    </w:pPr>
  </w:p>
  <w:p w14:paraId="2D38ED65" w14:textId="3A0500F2" w:rsidR="007466ED" w:rsidRDefault="007466ED" w:rsidP="00237FC5">
    <w:pPr>
      <w:pBdr>
        <w:bottom w:val="single" w:sz="6" w:space="1" w:color="auto"/>
      </w:pBdr>
      <w:outlineLvl w:val="0"/>
      <w:rPr>
        <w:rStyle w:val="Koteret"/>
        <w:b w:val="0"/>
        <w:bCs/>
        <w:i/>
        <w:iCs/>
      </w:rPr>
    </w:pPr>
    <w:r>
      <w:rPr>
        <w:b/>
        <w:sz w:val="22"/>
        <w:szCs w:val="22"/>
      </w:rPr>
      <w:t>Consolidated statement of cash flows for the year ended December 31,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D6E18" w14:textId="77777777" w:rsidR="007466ED" w:rsidRDefault="007466ED">
    <w:pPr>
      <w:pStyle w:val="a6"/>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38A64" w14:textId="77777777" w:rsidR="007466ED" w:rsidRPr="002C3038" w:rsidRDefault="007466ED">
    <w:pPr>
      <w:tabs>
        <w:tab w:val="decimal" w:pos="8352"/>
      </w:tabs>
      <w:jc w:val="right"/>
      <w:rPr>
        <w:b/>
        <w:bCs/>
        <w:sz w:val="22"/>
        <w:szCs w:val="22"/>
      </w:rPr>
    </w:pPr>
    <w:r w:rsidRPr="002C3038">
      <w:rPr>
        <w:b/>
        <w:bCs/>
        <w:sz w:val="22"/>
        <w:szCs w:val="22"/>
      </w:rPr>
      <w:t>AFI Europe N.V.</w:t>
    </w:r>
  </w:p>
  <w:p w14:paraId="7F710C65" w14:textId="52B2BEFA" w:rsidR="007466ED" w:rsidRDefault="007466ED" w:rsidP="00E72BB6">
    <w:pPr>
      <w:pBdr>
        <w:bottom w:val="single" w:sz="6" w:space="1" w:color="auto"/>
      </w:pBdr>
      <w:outlineLvl w:val="0"/>
      <w:rPr>
        <w:sz w:val="22"/>
        <w:szCs w:val="22"/>
      </w:rPr>
    </w:pPr>
    <w:bookmarkStart w:id="31" w:name="_Hlk124846330"/>
    <w:r>
      <w:rPr>
        <w:b/>
        <w:sz w:val="22"/>
        <w:szCs w:val="22"/>
      </w:rPr>
      <w:t>Notes to consolidated financial statement</w:t>
    </w:r>
    <w:r>
      <w:rPr>
        <w:sz w:val="22"/>
        <w:szCs w:val="22"/>
      </w:rPr>
      <w:t>s</w:t>
    </w:r>
  </w:p>
  <w:bookmarkEnd w:id="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C0092"/>
    <w:multiLevelType w:val="hybridMultilevel"/>
    <w:tmpl w:val="19726BC4"/>
    <w:lvl w:ilvl="0" w:tplc="0BD8D60A">
      <w:start w:val="2"/>
      <w:numFmt w:val="decimal"/>
      <w:lvlText w:val="(%1)"/>
      <w:lvlJc w:val="left"/>
      <w:pPr>
        <w:ind w:left="1080"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4A97B65"/>
    <w:multiLevelType w:val="hybridMultilevel"/>
    <w:tmpl w:val="94B436E6"/>
    <w:lvl w:ilvl="0" w:tplc="FFA2AA24">
      <w:start w:val="765"/>
      <w:numFmt w:val="bullet"/>
      <w:lvlText w:val="-"/>
      <w:lvlJc w:val="left"/>
      <w:pPr>
        <w:ind w:left="1440" w:hanging="360"/>
      </w:pPr>
      <w:rPr>
        <w:rFonts w:ascii="Times New Roman" w:eastAsia="Times New Roman" w:hAnsi="Times New Roman" w:cs="Times New Roman"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 w15:restartNumberingAfterBreak="0">
    <w:nsid w:val="05523A88"/>
    <w:multiLevelType w:val="hybridMultilevel"/>
    <w:tmpl w:val="9F446F0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1CE3A4E"/>
    <w:multiLevelType w:val="hybridMultilevel"/>
    <w:tmpl w:val="3A648062"/>
    <w:lvl w:ilvl="0" w:tplc="9746C2B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29474F8"/>
    <w:multiLevelType w:val="hybridMultilevel"/>
    <w:tmpl w:val="37D43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C035EB"/>
    <w:multiLevelType w:val="hybridMultilevel"/>
    <w:tmpl w:val="31120BC2"/>
    <w:lvl w:ilvl="0" w:tplc="66146EBA">
      <w:start w:val="5"/>
      <w:numFmt w:val="upperLetter"/>
      <w:lvlText w:val="%1."/>
      <w:lvlJc w:val="left"/>
      <w:pPr>
        <w:ind w:left="1210" w:hanging="360"/>
      </w:pPr>
      <w:rPr>
        <w:rFonts w:hint="default"/>
      </w:rPr>
    </w:lvl>
    <w:lvl w:ilvl="1" w:tplc="20000019" w:tentative="1">
      <w:start w:val="1"/>
      <w:numFmt w:val="lowerLetter"/>
      <w:lvlText w:val="%2."/>
      <w:lvlJc w:val="left"/>
      <w:pPr>
        <w:ind w:left="1930" w:hanging="360"/>
      </w:pPr>
    </w:lvl>
    <w:lvl w:ilvl="2" w:tplc="2000001B" w:tentative="1">
      <w:start w:val="1"/>
      <w:numFmt w:val="lowerRoman"/>
      <w:lvlText w:val="%3."/>
      <w:lvlJc w:val="right"/>
      <w:pPr>
        <w:ind w:left="2650" w:hanging="180"/>
      </w:pPr>
    </w:lvl>
    <w:lvl w:ilvl="3" w:tplc="2000000F" w:tentative="1">
      <w:start w:val="1"/>
      <w:numFmt w:val="decimal"/>
      <w:lvlText w:val="%4."/>
      <w:lvlJc w:val="left"/>
      <w:pPr>
        <w:ind w:left="3370" w:hanging="360"/>
      </w:pPr>
    </w:lvl>
    <w:lvl w:ilvl="4" w:tplc="20000019" w:tentative="1">
      <w:start w:val="1"/>
      <w:numFmt w:val="lowerLetter"/>
      <w:lvlText w:val="%5."/>
      <w:lvlJc w:val="left"/>
      <w:pPr>
        <w:ind w:left="4090" w:hanging="360"/>
      </w:pPr>
    </w:lvl>
    <w:lvl w:ilvl="5" w:tplc="2000001B" w:tentative="1">
      <w:start w:val="1"/>
      <w:numFmt w:val="lowerRoman"/>
      <w:lvlText w:val="%6."/>
      <w:lvlJc w:val="right"/>
      <w:pPr>
        <w:ind w:left="4810" w:hanging="180"/>
      </w:pPr>
    </w:lvl>
    <w:lvl w:ilvl="6" w:tplc="2000000F" w:tentative="1">
      <w:start w:val="1"/>
      <w:numFmt w:val="decimal"/>
      <w:lvlText w:val="%7."/>
      <w:lvlJc w:val="left"/>
      <w:pPr>
        <w:ind w:left="5530" w:hanging="360"/>
      </w:pPr>
    </w:lvl>
    <w:lvl w:ilvl="7" w:tplc="20000019" w:tentative="1">
      <w:start w:val="1"/>
      <w:numFmt w:val="lowerLetter"/>
      <w:lvlText w:val="%8."/>
      <w:lvlJc w:val="left"/>
      <w:pPr>
        <w:ind w:left="6250" w:hanging="360"/>
      </w:pPr>
    </w:lvl>
    <w:lvl w:ilvl="8" w:tplc="2000001B" w:tentative="1">
      <w:start w:val="1"/>
      <w:numFmt w:val="lowerRoman"/>
      <w:lvlText w:val="%9."/>
      <w:lvlJc w:val="right"/>
      <w:pPr>
        <w:ind w:left="6970" w:hanging="180"/>
      </w:pPr>
    </w:lvl>
  </w:abstractNum>
  <w:abstractNum w:abstractNumId="6" w15:restartNumberingAfterBreak="0">
    <w:nsid w:val="1A2820FE"/>
    <w:multiLevelType w:val="hybridMultilevel"/>
    <w:tmpl w:val="FF589F8A"/>
    <w:lvl w:ilvl="0" w:tplc="FFFFFFFF">
      <w:start w:val="1"/>
      <w:numFmt w:val="decimal"/>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FDA1E6B"/>
    <w:multiLevelType w:val="hybridMultilevel"/>
    <w:tmpl w:val="324849F4"/>
    <w:lvl w:ilvl="0" w:tplc="B12EA360">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8" w15:restartNumberingAfterBreak="0">
    <w:nsid w:val="252D7404"/>
    <w:multiLevelType w:val="hybridMultilevel"/>
    <w:tmpl w:val="D7940BE8"/>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74121BD"/>
    <w:multiLevelType w:val="hybridMultilevel"/>
    <w:tmpl w:val="24A8BB98"/>
    <w:lvl w:ilvl="0" w:tplc="1AAE01E2">
      <w:start w:val="2"/>
      <w:numFmt w:val="decimal"/>
      <w:lvlText w:val="(%1)"/>
      <w:lvlJc w:val="left"/>
      <w:pPr>
        <w:ind w:left="1080"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8673032"/>
    <w:multiLevelType w:val="hybridMultilevel"/>
    <w:tmpl w:val="E690C940"/>
    <w:lvl w:ilvl="0" w:tplc="2D06B094">
      <w:start w:val="1"/>
      <w:numFmt w:val="decimal"/>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A717735"/>
    <w:multiLevelType w:val="multilevel"/>
    <w:tmpl w:val="ADB44126"/>
    <w:lvl w:ilvl="0">
      <w:start w:val="1"/>
      <w:numFmt w:val="upperLetter"/>
      <w:pStyle w:val="a"/>
      <w:lvlText w:val="(%1)"/>
      <w:lvlJc w:val="left"/>
      <w:pPr>
        <w:tabs>
          <w:tab w:val="num" w:pos="709"/>
        </w:tabs>
        <w:ind w:left="709" w:hanging="709"/>
      </w:pPr>
      <w:rPr>
        <w:rFonts w:ascii="Tahoma" w:eastAsia="Times New Roman" w:hAnsi="Tahoma" w:cs="Tahoma" w:hint="default"/>
      </w:rPr>
    </w:lvl>
    <w:lvl w:ilvl="1">
      <w:start w:val="1"/>
      <w:numFmt w:val="lowerLetter"/>
      <w:pStyle w:val="2"/>
      <w:lvlText w:val="(%2)"/>
      <w:lvlJc w:val="left"/>
      <w:pPr>
        <w:tabs>
          <w:tab w:val="num" w:pos="1418"/>
        </w:tabs>
        <w:ind w:left="1418" w:hanging="709"/>
      </w:pPr>
      <w:rPr>
        <w:rFonts w:ascii="Tahoma" w:hAnsi="Tahoma" w:cs="Tahoma" w:hint="default"/>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3"/>
      <w:lvlText w:val=" (%3)"/>
      <w:lvlJc w:val="left"/>
      <w:pPr>
        <w:tabs>
          <w:tab w:val="num" w:pos="2127"/>
        </w:tabs>
        <w:ind w:left="2127" w:hanging="709"/>
      </w:pPr>
      <w:rPr>
        <w:rFonts w:cs="Times New Roman" w:hint="default"/>
      </w:rPr>
    </w:lvl>
    <w:lvl w:ilvl="3">
      <w:start w:val="1"/>
      <w:numFmt w:val="upperLetter"/>
      <w:pStyle w:val="4"/>
      <w:lvlText w:val="(%4)"/>
      <w:lvlJc w:val="left"/>
      <w:pPr>
        <w:tabs>
          <w:tab w:val="num" w:pos="2835"/>
        </w:tabs>
        <w:ind w:left="2835" w:hanging="709"/>
      </w:pPr>
      <w:rPr>
        <w:rFonts w:cs="Times New Roman" w:hint="default"/>
        <w:sz w:val="24"/>
        <w:szCs w:val="24"/>
        <w:vertAlign w:val="baseline"/>
      </w:rPr>
    </w:lvl>
    <w:lvl w:ilvl="4">
      <w:start w:val="1"/>
      <w:numFmt w:val="upperRoman"/>
      <w:pStyle w:val="5"/>
      <w:lvlText w:val="(%5)"/>
      <w:lvlJc w:val="left"/>
      <w:pPr>
        <w:tabs>
          <w:tab w:val="num" w:pos="3544"/>
        </w:tabs>
        <w:ind w:left="3544" w:hanging="709"/>
      </w:pPr>
      <w:rPr>
        <w:rFonts w:cs="Times New Roman" w:hint="default"/>
        <w:vertAlign w:val="baseline"/>
      </w:rPr>
    </w:lvl>
    <w:lvl w:ilvl="5">
      <w:start w:val="1"/>
      <w:numFmt w:val="upperRoman"/>
      <w:lvlText w:val="(%6)"/>
      <w:lvlJc w:val="left"/>
      <w:pPr>
        <w:tabs>
          <w:tab w:val="num" w:pos="3915"/>
        </w:tabs>
        <w:ind w:left="3544" w:hanging="709"/>
      </w:pPr>
      <w:rPr>
        <w:rFonts w:cs="Times New Roman" w:hint="default"/>
      </w:rPr>
    </w:lvl>
    <w:lvl w:ilvl="6">
      <w:start w:val="1"/>
      <w:numFmt w:val="upperLetter"/>
      <w:lvlText w:val="(%7)"/>
      <w:lvlJc w:val="left"/>
      <w:pPr>
        <w:tabs>
          <w:tab w:val="num" w:pos="4253"/>
        </w:tabs>
        <w:ind w:left="4253" w:hanging="709"/>
      </w:pPr>
      <w:rPr>
        <w:rFonts w:cs="Times New Roman" w:hint="default"/>
      </w:rPr>
    </w:lvl>
    <w:lvl w:ilvl="7">
      <w:start w:val="1"/>
      <w:numFmt w:val="decimal"/>
      <w:lvlText w:val="(%8)"/>
      <w:lvlJc w:val="left"/>
      <w:pPr>
        <w:tabs>
          <w:tab w:val="num" w:pos="4962"/>
        </w:tabs>
        <w:ind w:left="4962" w:hanging="709"/>
      </w:pPr>
      <w:rPr>
        <w:rFonts w:cs="Times New Roman" w:hint="default"/>
      </w:rPr>
    </w:lvl>
    <w:lvl w:ilvl="8">
      <w:start w:val="1"/>
      <w:numFmt w:val="bullet"/>
      <w:lvlText w:val=""/>
      <w:lvlJc w:val="left"/>
      <w:pPr>
        <w:tabs>
          <w:tab w:val="num" w:pos="5322"/>
        </w:tabs>
        <w:ind w:left="5245" w:hanging="283"/>
      </w:pPr>
      <w:rPr>
        <w:rFonts w:ascii="Symbol" w:hAnsi="Symbol" w:hint="default"/>
        <w:color w:val="auto"/>
      </w:rPr>
    </w:lvl>
  </w:abstractNum>
  <w:abstractNum w:abstractNumId="12" w15:restartNumberingAfterBreak="0">
    <w:nsid w:val="2CEF78D6"/>
    <w:multiLevelType w:val="hybridMultilevel"/>
    <w:tmpl w:val="3E408628"/>
    <w:lvl w:ilvl="0" w:tplc="351CBA30">
      <w:start w:val="1"/>
      <w:numFmt w:val="decimal"/>
      <w:lvlText w:val="(%1)"/>
      <w:lvlJc w:val="left"/>
      <w:pPr>
        <w:ind w:left="1800" w:hanging="36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13" w15:restartNumberingAfterBreak="0">
    <w:nsid w:val="2F1868CE"/>
    <w:multiLevelType w:val="hybridMultilevel"/>
    <w:tmpl w:val="72E67724"/>
    <w:lvl w:ilvl="0" w:tplc="7F92A52E">
      <w:start w:val="2"/>
      <w:numFmt w:val="upperLetter"/>
      <w:lvlText w:val="%1."/>
      <w:lvlJc w:val="left"/>
      <w:pPr>
        <w:ind w:left="1210" w:hanging="360"/>
      </w:pPr>
      <w:rPr>
        <w:rFonts w:hint="default"/>
      </w:rPr>
    </w:lvl>
    <w:lvl w:ilvl="1" w:tplc="20000019" w:tentative="1">
      <w:start w:val="1"/>
      <w:numFmt w:val="lowerLetter"/>
      <w:lvlText w:val="%2."/>
      <w:lvlJc w:val="left"/>
      <w:pPr>
        <w:ind w:left="1930" w:hanging="360"/>
      </w:pPr>
    </w:lvl>
    <w:lvl w:ilvl="2" w:tplc="2000001B" w:tentative="1">
      <w:start w:val="1"/>
      <w:numFmt w:val="lowerRoman"/>
      <w:lvlText w:val="%3."/>
      <w:lvlJc w:val="right"/>
      <w:pPr>
        <w:ind w:left="2650" w:hanging="180"/>
      </w:pPr>
    </w:lvl>
    <w:lvl w:ilvl="3" w:tplc="2000000F" w:tentative="1">
      <w:start w:val="1"/>
      <w:numFmt w:val="decimal"/>
      <w:lvlText w:val="%4."/>
      <w:lvlJc w:val="left"/>
      <w:pPr>
        <w:ind w:left="3370" w:hanging="360"/>
      </w:pPr>
    </w:lvl>
    <w:lvl w:ilvl="4" w:tplc="20000019" w:tentative="1">
      <w:start w:val="1"/>
      <w:numFmt w:val="lowerLetter"/>
      <w:lvlText w:val="%5."/>
      <w:lvlJc w:val="left"/>
      <w:pPr>
        <w:ind w:left="4090" w:hanging="360"/>
      </w:pPr>
    </w:lvl>
    <w:lvl w:ilvl="5" w:tplc="2000001B" w:tentative="1">
      <w:start w:val="1"/>
      <w:numFmt w:val="lowerRoman"/>
      <w:lvlText w:val="%6."/>
      <w:lvlJc w:val="right"/>
      <w:pPr>
        <w:ind w:left="4810" w:hanging="180"/>
      </w:pPr>
    </w:lvl>
    <w:lvl w:ilvl="6" w:tplc="2000000F" w:tentative="1">
      <w:start w:val="1"/>
      <w:numFmt w:val="decimal"/>
      <w:lvlText w:val="%7."/>
      <w:lvlJc w:val="left"/>
      <w:pPr>
        <w:ind w:left="5530" w:hanging="360"/>
      </w:pPr>
    </w:lvl>
    <w:lvl w:ilvl="7" w:tplc="20000019" w:tentative="1">
      <w:start w:val="1"/>
      <w:numFmt w:val="lowerLetter"/>
      <w:lvlText w:val="%8."/>
      <w:lvlJc w:val="left"/>
      <w:pPr>
        <w:ind w:left="6250" w:hanging="360"/>
      </w:pPr>
    </w:lvl>
    <w:lvl w:ilvl="8" w:tplc="2000001B" w:tentative="1">
      <w:start w:val="1"/>
      <w:numFmt w:val="lowerRoman"/>
      <w:lvlText w:val="%9."/>
      <w:lvlJc w:val="right"/>
      <w:pPr>
        <w:ind w:left="6970" w:hanging="180"/>
      </w:pPr>
    </w:lvl>
  </w:abstractNum>
  <w:abstractNum w:abstractNumId="14" w15:restartNumberingAfterBreak="0">
    <w:nsid w:val="2F186CFD"/>
    <w:multiLevelType w:val="hybridMultilevel"/>
    <w:tmpl w:val="CE60C378"/>
    <w:lvl w:ilvl="0" w:tplc="7F5EDCDC">
      <w:start w:val="1"/>
      <w:numFmt w:val="upperLetter"/>
      <w:lvlText w:val="%1."/>
      <w:lvlJc w:val="left"/>
      <w:pPr>
        <w:ind w:left="1080" w:hanging="360"/>
      </w:pPr>
      <w:rPr>
        <w:rFonts w:hint="default"/>
        <w:b/>
        <w:bCs/>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5" w15:restartNumberingAfterBreak="0">
    <w:nsid w:val="32232091"/>
    <w:multiLevelType w:val="hybridMultilevel"/>
    <w:tmpl w:val="E850C94C"/>
    <w:lvl w:ilvl="0" w:tplc="E336185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3D18F6"/>
    <w:multiLevelType w:val="hybridMultilevel"/>
    <w:tmpl w:val="3A648062"/>
    <w:lvl w:ilvl="0" w:tplc="9746C2B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B3A6F8E"/>
    <w:multiLevelType w:val="hybridMultilevel"/>
    <w:tmpl w:val="BEA669AE"/>
    <w:lvl w:ilvl="0" w:tplc="EF0AD172">
      <w:start w:val="3"/>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E43589A"/>
    <w:multiLevelType w:val="hybridMultilevel"/>
    <w:tmpl w:val="9F446F0A"/>
    <w:lvl w:ilvl="0" w:tplc="4BDC8E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F8230EA"/>
    <w:multiLevelType w:val="hybridMultilevel"/>
    <w:tmpl w:val="6F16FD5C"/>
    <w:lvl w:ilvl="0" w:tplc="04090001">
      <w:start w:val="1"/>
      <w:numFmt w:val="bullet"/>
      <w:lvlText w:val=""/>
      <w:lvlJc w:val="left"/>
      <w:pPr>
        <w:ind w:left="1854" w:hanging="360"/>
      </w:pPr>
      <w:rPr>
        <w:rFonts w:ascii="Symbol" w:hAnsi="Symbol" w:hint="default"/>
      </w:rPr>
    </w:lvl>
    <w:lvl w:ilvl="1" w:tplc="04090003">
      <w:start w:val="1"/>
      <w:numFmt w:val="bullet"/>
      <w:lvlText w:val="o"/>
      <w:lvlJc w:val="left"/>
      <w:pPr>
        <w:ind w:left="2574" w:hanging="360"/>
      </w:pPr>
      <w:rPr>
        <w:rFonts w:ascii="Courier New" w:hAnsi="Courier New" w:cs="Courier New" w:hint="default"/>
      </w:rPr>
    </w:lvl>
    <w:lvl w:ilvl="2" w:tplc="04090005">
      <w:start w:val="1"/>
      <w:numFmt w:val="bullet"/>
      <w:lvlText w:val=""/>
      <w:lvlJc w:val="left"/>
      <w:pPr>
        <w:ind w:left="3294" w:hanging="360"/>
      </w:pPr>
      <w:rPr>
        <w:rFonts w:ascii="Wingdings" w:hAnsi="Wingdings" w:hint="default"/>
      </w:rPr>
    </w:lvl>
    <w:lvl w:ilvl="3" w:tplc="04090001">
      <w:start w:val="1"/>
      <w:numFmt w:val="bullet"/>
      <w:lvlText w:val=""/>
      <w:lvlJc w:val="left"/>
      <w:pPr>
        <w:ind w:left="4014" w:hanging="360"/>
      </w:pPr>
      <w:rPr>
        <w:rFonts w:ascii="Symbol" w:hAnsi="Symbol" w:hint="default"/>
      </w:rPr>
    </w:lvl>
    <w:lvl w:ilvl="4" w:tplc="04090003">
      <w:start w:val="1"/>
      <w:numFmt w:val="bullet"/>
      <w:lvlText w:val="o"/>
      <w:lvlJc w:val="left"/>
      <w:pPr>
        <w:ind w:left="4734" w:hanging="360"/>
      </w:pPr>
      <w:rPr>
        <w:rFonts w:ascii="Courier New" w:hAnsi="Courier New" w:cs="Courier New" w:hint="default"/>
      </w:rPr>
    </w:lvl>
    <w:lvl w:ilvl="5" w:tplc="04090005">
      <w:start w:val="1"/>
      <w:numFmt w:val="bullet"/>
      <w:lvlText w:val=""/>
      <w:lvlJc w:val="left"/>
      <w:pPr>
        <w:ind w:left="5454" w:hanging="360"/>
      </w:pPr>
      <w:rPr>
        <w:rFonts w:ascii="Wingdings" w:hAnsi="Wingdings" w:hint="default"/>
      </w:rPr>
    </w:lvl>
    <w:lvl w:ilvl="6" w:tplc="04090001">
      <w:start w:val="1"/>
      <w:numFmt w:val="bullet"/>
      <w:lvlText w:val=""/>
      <w:lvlJc w:val="left"/>
      <w:pPr>
        <w:ind w:left="6174" w:hanging="360"/>
      </w:pPr>
      <w:rPr>
        <w:rFonts w:ascii="Symbol" w:hAnsi="Symbol" w:hint="default"/>
      </w:rPr>
    </w:lvl>
    <w:lvl w:ilvl="7" w:tplc="04090003">
      <w:start w:val="1"/>
      <w:numFmt w:val="bullet"/>
      <w:lvlText w:val="o"/>
      <w:lvlJc w:val="left"/>
      <w:pPr>
        <w:ind w:left="6894" w:hanging="360"/>
      </w:pPr>
      <w:rPr>
        <w:rFonts w:ascii="Courier New" w:hAnsi="Courier New" w:cs="Courier New" w:hint="default"/>
      </w:rPr>
    </w:lvl>
    <w:lvl w:ilvl="8" w:tplc="04090005">
      <w:start w:val="1"/>
      <w:numFmt w:val="bullet"/>
      <w:lvlText w:val=""/>
      <w:lvlJc w:val="left"/>
      <w:pPr>
        <w:ind w:left="7614" w:hanging="360"/>
      </w:pPr>
      <w:rPr>
        <w:rFonts w:ascii="Wingdings" w:hAnsi="Wingdings" w:hint="default"/>
      </w:rPr>
    </w:lvl>
  </w:abstractNum>
  <w:abstractNum w:abstractNumId="20" w15:restartNumberingAfterBreak="0">
    <w:nsid w:val="4CCB5B47"/>
    <w:multiLevelType w:val="hybridMultilevel"/>
    <w:tmpl w:val="FEA0E6B8"/>
    <w:lvl w:ilvl="0" w:tplc="6C94D2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EC06A25"/>
    <w:multiLevelType w:val="hybridMultilevel"/>
    <w:tmpl w:val="AD949EAC"/>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506A46B6"/>
    <w:multiLevelType w:val="hybridMultilevel"/>
    <w:tmpl w:val="89E213BA"/>
    <w:lvl w:ilvl="0" w:tplc="FFFFFFFF">
      <w:start w:val="1"/>
      <w:numFmt w:val="upp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23" w15:restartNumberingAfterBreak="0">
    <w:nsid w:val="57FE7F03"/>
    <w:multiLevelType w:val="hybridMultilevel"/>
    <w:tmpl w:val="FEA0E6B8"/>
    <w:lvl w:ilvl="0" w:tplc="6C94D244">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5E2912E8"/>
    <w:multiLevelType w:val="hybridMultilevel"/>
    <w:tmpl w:val="6A1657B4"/>
    <w:lvl w:ilvl="0" w:tplc="D5C8F598">
      <w:start w:val="1"/>
      <w:numFmt w:val="decimal"/>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5" w15:restartNumberingAfterBreak="0">
    <w:nsid w:val="5F25659C"/>
    <w:multiLevelType w:val="hybridMultilevel"/>
    <w:tmpl w:val="409C0F06"/>
    <w:lvl w:ilvl="0" w:tplc="D85832A4">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61122950"/>
    <w:multiLevelType w:val="hybridMultilevel"/>
    <w:tmpl w:val="FF589F8A"/>
    <w:lvl w:ilvl="0" w:tplc="1728B048">
      <w:start w:val="1"/>
      <w:numFmt w:val="decimal"/>
      <w:lvlText w:val="(%1)"/>
      <w:lvlJc w:val="left"/>
      <w:pPr>
        <w:ind w:left="1080" w:hanging="360"/>
      </w:pPr>
      <w:rPr>
        <w:rFonts w:hint="default"/>
        <w:b/>
        <w:bCs/>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7" w15:restartNumberingAfterBreak="0">
    <w:nsid w:val="62D95FB3"/>
    <w:multiLevelType w:val="hybridMultilevel"/>
    <w:tmpl w:val="C220F25E"/>
    <w:lvl w:ilvl="0" w:tplc="51662FF2">
      <w:start w:val="1"/>
      <w:numFmt w:val="upperLetter"/>
      <w:lvlText w:val="%1."/>
      <w:lvlJc w:val="left"/>
      <w:pPr>
        <w:ind w:left="417" w:hanging="360"/>
      </w:pPr>
      <w:rPr>
        <w:rFonts w:hint="default"/>
      </w:rPr>
    </w:lvl>
    <w:lvl w:ilvl="1" w:tplc="20000019" w:tentative="1">
      <w:start w:val="1"/>
      <w:numFmt w:val="lowerLetter"/>
      <w:lvlText w:val="%2."/>
      <w:lvlJc w:val="left"/>
      <w:pPr>
        <w:ind w:left="1137" w:hanging="360"/>
      </w:pPr>
    </w:lvl>
    <w:lvl w:ilvl="2" w:tplc="2000001B" w:tentative="1">
      <w:start w:val="1"/>
      <w:numFmt w:val="lowerRoman"/>
      <w:lvlText w:val="%3."/>
      <w:lvlJc w:val="right"/>
      <w:pPr>
        <w:ind w:left="1857" w:hanging="180"/>
      </w:pPr>
    </w:lvl>
    <w:lvl w:ilvl="3" w:tplc="2000000F" w:tentative="1">
      <w:start w:val="1"/>
      <w:numFmt w:val="decimal"/>
      <w:lvlText w:val="%4."/>
      <w:lvlJc w:val="left"/>
      <w:pPr>
        <w:ind w:left="2577" w:hanging="360"/>
      </w:pPr>
    </w:lvl>
    <w:lvl w:ilvl="4" w:tplc="20000019" w:tentative="1">
      <w:start w:val="1"/>
      <w:numFmt w:val="lowerLetter"/>
      <w:lvlText w:val="%5."/>
      <w:lvlJc w:val="left"/>
      <w:pPr>
        <w:ind w:left="3297" w:hanging="360"/>
      </w:pPr>
    </w:lvl>
    <w:lvl w:ilvl="5" w:tplc="2000001B" w:tentative="1">
      <w:start w:val="1"/>
      <w:numFmt w:val="lowerRoman"/>
      <w:lvlText w:val="%6."/>
      <w:lvlJc w:val="right"/>
      <w:pPr>
        <w:ind w:left="4017" w:hanging="180"/>
      </w:pPr>
    </w:lvl>
    <w:lvl w:ilvl="6" w:tplc="2000000F" w:tentative="1">
      <w:start w:val="1"/>
      <w:numFmt w:val="decimal"/>
      <w:lvlText w:val="%7."/>
      <w:lvlJc w:val="left"/>
      <w:pPr>
        <w:ind w:left="4737" w:hanging="360"/>
      </w:pPr>
    </w:lvl>
    <w:lvl w:ilvl="7" w:tplc="20000019" w:tentative="1">
      <w:start w:val="1"/>
      <w:numFmt w:val="lowerLetter"/>
      <w:lvlText w:val="%8."/>
      <w:lvlJc w:val="left"/>
      <w:pPr>
        <w:ind w:left="5457" w:hanging="360"/>
      </w:pPr>
    </w:lvl>
    <w:lvl w:ilvl="8" w:tplc="2000001B" w:tentative="1">
      <w:start w:val="1"/>
      <w:numFmt w:val="lowerRoman"/>
      <w:lvlText w:val="%9."/>
      <w:lvlJc w:val="right"/>
      <w:pPr>
        <w:ind w:left="6177" w:hanging="180"/>
      </w:pPr>
    </w:lvl>
  </w:abstractNum>
  <w:abstractNum w:abstractNumId="28" w15:restartNumberingAfterBreak="0">
    <w:nsid w:val="66144D52"/>
    <w:multiLevelType w:val="hybridMultilevel"/>
    <w:tmpl w:val="24FC6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793F1B"/>
    <w:multiLevelType w:val="hybridMultilevel"/>
    <w:tmpl w:val="3CBC6ABA"/>
    <w:lvl w:ilvl="0" w:tplc="CBC2621E">
      <w:start w:val="1"/>
      <w:numFmt w:val="upperLetter"/>
      <w:lvlText w:val="%1."/>
      <w:lvlJc w:val="left"/>
      <w:pPr>
        <w:ind w:left="720"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68EC7BE8"/>
    <w:multiLevelType w:val="hybridMultilevel"/>
    <w:tmpl w:val="FEA0E6B8"/>
    <w:lvl w:ilvl="0" w:tplc="6C94D2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0D90625"/>
    <w:multiLevelType w:val="hybridMultilevel"/>
    <w:tmpl w:val="FEA0E6B8"/>
    <w:lvl w:ilvl="0" w:tplc="6C94D2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13314D5"/>
    <w:multiLevelType w:val="hybridMultilevel"/>
    <w:tmpl w:val="AE6865D8"/>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3" w15:restartNumberingAfterBreak="0">
    <w:nsid w:val="72450B57"/>
    <w:multiLevelType w:val="hybridMultilevel"/>
    <w:tmpl w:val="1A741630"/>
    <w:lvl w:ilvl="0" w:tplc="4164014C">
      <w:start w:val="1"/>
      <w:numFmt w:val="upperLetter"/>
      <w:lvlText w:val="%1."/>
      <w:lvlJc w:val="left"/>
      <w:pPr>
        <w:ind w:left="1080" w:hanging="360"/>
      </w:pPr>
      <w:rPr>
        <w:rFonts w:hint="default"/>
        <w:b/>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4" w15:restartNumberingAfterBreak="0">
    <w:nsid w:val="730004FF"/>
    <w:multiLevelType w:val="hybridMultilevel"/>
    <w:tmpl w:val="DD965A3E"/>
    <w:lvl w:ilvl="0" w:tplc="EE9C7026">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5" w15:restartNumberingAfterBreak="0">
    <w:nsid w:val="73B529F8"/>
    <w:multiLevelType w:val="hybridMultilevel"/>
    <w:tmpl w:val="EFE264A2"/>
    <w:lvl w:ilvl="0" w:tplc="94F4C708">
      <w:start w:val="1"/>
      <w:numFmt w:val="decimal"/>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6" w15:restartNumberingAfterBreak="0">
    <w:nsid w:val="756608D5"/>
    <w:multiLevelType w:val="hybridMultilevel"/>
    <w:tmpl w:val="BF7CA298"/>
    <w:lvl w:ilvl="0" w:tplc="2E9EC4C0">
      <w:start w:val="1"/>
      <w:numFmt w:val="decimal"/>
      <w:lvlText w:val="(%1)"/>
      <w:lvlJc w:val="left"/>
      <w:pPr>
        <w:ind w:left="1080" w:hanging="360"/>
      </w:pPr>
      <w:rPr>
        <w:rFonts w:hint="default"/>
        <w:sz w:val="22"/>
        <w:szCs w:val="2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7" w15:restartNumberingAfterBreak="0">
    <w:nsid w:val="75E34F98"/>
    <w:multiLevelType w:val="hybridMultilevel"/>
    <w:tmpl w:val="C8CAA5F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FF2588"/>
    <w:multiLevelType w:val="hybridMultilevel"/>
    <w:tmpl w:val="BDA846C6"/>
    <w:lvl w:ilvl="0" w:tplc="5C9AEDF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9" w15:restartNumberingAfterBreak="0">
    <w:nsid w:val="79337E95"/>
    <w:multiLevelType w:val="hybridMultilevel"/>
    <w:tmpl w:val="B510C2D0"/>
    <w:lvl w:ilvl="0" w:tplc="1B2CEBE2">
      <w:start w:val="1"/>
      <w:numFmt w:val="decimal"/>
      <w:lvlText w:val="(%1)"/>
      <w:lvlJc w:val="left"/>
      <w:pPr>
        <w:ind w:left="1080" w:hanging="360"/>
      </w:pPr>
      <w:rPr>
        <w:rFonts w:hint="default"/>
        <w:b w:val="0"/>
        <w:bCs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CC13F7D"/>
    <w:multiLevelType w:val="hybridMultilevel"/>
    <w:tmpl w:val="205E32D6"/>
    <w:lvl w:ilvl="0" w:tplc="33ACDE42">
      <w:start w:val="1"/>
      <w:numFmt w:val="upp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1" w15:restartNumberingAfterBreak="0">
    <w:nsid w:val="7E4748C8"/>
    <w:multiLevelType w:val="hybridMultilevel"/>
    <w:tmpl w:val="5EF0B884"/>
    <w:lvl w:ilvl="0" w:tplc="20000015">
      <w:start w:val="8"/>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2" w15:restartNumberingAfterBreak="0">
    <w:nsid w:val="7E5857C2"/>
    <w:multiLevelType w:val="hybridMultilevel"/>
    <w:tmpl w:val="799A803C"/>
    <w:lvl w:ilvl="0" w:tplc="20000015">
      <w:start w:val="1"/>
      <w:numFmt w:val="upperLetter"/>
      <w:lvlText w:val="%1."/>
      <w:lvlJc w:val="left"/>
      <w:pPr>
        <w:ind w:left="643"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43" w15:restartNumberingAfterBreak="0">
    <w:nsid w:val="7FFD6EA0"/>
    <w:multiLevelType w:val="hybridMultilevel"/>
    <w:tmpl w:val="FEA0E6B8"/>
    <w:lvl w:ilvl="0" w:tplc="6C94D2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08444374">
    <w:abstractNumId w:val="11"/>
  </w:num>
  <w:num w:numId="2" w16cid:durableId="1246304329">
    <w:abstractNumId w:val="17"/>
  </w:num>
  <w:num w:numId="3" w16cid:durableId="901671454">
    <w:abstractNumId w:val="23"/>
  </w:num>
  <w:num w:numId="4" w16cid:durableId="450706155">
    <w:abstractNumId w:val="18"/>
  </w:num>
  <w:num w:numId="5" w16cid:durableId="796525774">
    <w:abstractNumId w:val="15"/>
  </w:num>
  <w:num w:numId="6" w16cid:durableId="728379005">
    <w:abstractNumId w:val="31"/>
  </w:num>
  <w:num w:numId="7" w16cid:durableId="1923642332">
    <w:abstractNumId w:val="39"/>
  </w:num>
  <w:num w:numId="8" w16cid:durableId="201282738">
    <w:abstractNumId w:val="20"/>
  </w:num>
  <w:num w:numId="9" w16cid:durableId="1041520611">
    <w:abstractNumId w:val="43"/>
  </w:num>
  <w:num w:numId="10" w16cid:durableId="1334994512">
    <w:abstractNumId w:val="30"/>
  </w:num>
  <w:num w:numId="11" w16cid:durableId="467673825">
    <w:abstractNumId w:val="16"/>
  </w:num>
  <w:num w:numId="12" w16cid:durableId="236600934">
    <w:abstractNumId w:val="3"/>
  </w:num>
  <w:num w:numId="13" w16cid:durableId="1347438470">
    <w:abstractNumId w:val="19"/>
  </w:num>
  <w:num w:numId="14" w16cid:durableId="1087531258">
    <w:abstractNumId w:val="38"/>
  </w:num>
  <w:num w:numId="15" w16cid:durableId="845749840">
    <w:abstractNumId w:val="14"/>
  </w:num>
  <w:num w:numId="16" w16cid:durableId="1985621369">
    <w:abstractNumId w:val="36"/>
  </w:num>
  <w:num w:numId="17" w16cid:durableId="2011060714">
    <w:abstractNumId w:val="26"/>
  </w:num>
  <w:num w:numId="18" w16cid:durableId="1905682395">
    <w:abstractNumId w:val="28"/>
  </w:num>
  <w:num w:numId="19" w16cid:durableId="1413505035">
    <w:abstractNumId w:val="29"/>
  </w:num>
  <w:num w:numId="20" w16cid:durableId="2051369641">
    <w:abstractNumId w:val="34"/>
  </w:num>
  <w:num w:numId="21" w16cid:durableId="608582259">
    <w:abstractNumId w:val="22"/>
  </w:num>
  <w:num w:numId="22" w16cid:durableId="2046757940">
    <w:abstractNumId w:val="33"/>
  </w:num>
  <w:num w:numId="23" w16cid:durableId="1849250926">
    <w:abstractNumId w:val="13"/>
  </w:num>
  <w:num w:numId="24" w16cid:durableId="1145313128">
    <w:abstractNumId w:val="5"/>
  </w:num>
  <w:num w:numId="25" w16cid:durableId="897935821">
    <w:abstractNumId w:val="41"/>
  </w:num>
  <w:num w:numId="26" w16cid:durableId="938607444">
    <w:abstractNumId w:val="35"/>
  </w:num>
  <w:num w:numId="27" w16cid:durableId="843741873">
    <w:abstractNumId w:val="12"/>
  </w:num>
  <w:num w:numId="28" w16cid:durableId="1712152268">
    <w:abstractNumId w:val="32"/>
  </w:num>
  <w:num w:numId="29" w16cid:durableId="2117796222">
    <w:abstractNumId w:val="1"/>
  </w:num>
  <w:num w:numId="30" w16cid:durableId="430007714">
    <w:abstractNumId w:val="10"/>
  </w:num>
  <w:num w:numId="31" w16cid:durableId="1599682062">
    <w:abstractNumId w:val="37"/>
  </w:num>
  <w:num w:numId="32" w16cid:durableId="2006857184">
    <w:abstractNumId w:val="6"/>
  </w:num>
  <w:num w:numId="33" w16cid:durableId="1071663046">
    <w:abstractNumId w:val="2"/>
  </w:num>
  <w:num w:numId="34" w16cid:durableId="587662126">
    <w:abstractNumId w:val="27"/>
  </w:num>
  <w:num w:numId="35" w16cid:durableId="1277835678">
    <w:abstractNumId w:val="9"/>
  </w:num>
  <w:num w:numId="36" w16cid:durableId="1726946819">
    <w:abstractNumId w:val="0"/>
  </w:num>
  <w:num w:numId="37" w16cid:durableId="2123258869">
    <w:abstractNumId w:val="40"/>
  </w:num>
  <w:num w:numId="38" w16cid:durableId="446581467">
    <w:abstractNumId w:val="25"/>
  </w:num>
  <w:num w:numId="39" w16cid:durableId="11422890">
    <w:abstractNumId w:val="7"/>
  </w:num>
  <w:num w:numId="40" w16cid:durableId="175072201">
    <w:abstractNumId w:val="24"/>
  </w:num>
  <w:num w:numId="41" w16cid:durableId="136531696">
    <w:abstractNumId w:val="42"/>
  </w:num>
  <w:num w:numId="42" w16cid:durableId="698356935">
    <w:abstractNumId w:val="21"/>
  </w:num>
  <w:num w:numId="43" w16cid:durableId="274558144">
    <w:abstractNumId w:val="4"/>
  </w:num>
  <w:num w:numId="44" w16cid:durableId="1345398568">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2050"/>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3" w:val="........................................................................................................................................................................................................................................................................................................................................................................................................................................................................................................................................................................................................................................................................................................................................................................................................................................................................................................................................................................................................................................"/>
    <w:docVar w:name="4" w:val="........................................................................................................................................................................................................................................................................................................................................................................................................................................................................................................................................................................................................................................................................................................................................................................................................................................................................................................................................................................................................................................"/>
    <w:docVar w:name="69" w:val="........................................................................................................................................................................................................................................................................................................................................................................................................................................................................................................................................................................................................................................................................................................................................................................................................................................................................................................................................................................................................................................"/>
    <w:docVar w:name="71" w:val="........................................................................................................................................................................................................................................................................................................................................................................................................................................................................................................................................................................................................................................................................................................................................................................................................................................................................................................................................................................................................................................"/>
    <w:docVar w:name="DocTable" w:val="62"/>
    <w:docVar w:name="Document MetaData-1/17/2023 10:07:27 AM" w:val="........................................................................................................................................................................................................................................................................................................................................................................................................................................................................................................................................................................................................................................................................................................................................................................................................................................................................................................................................................................................................................................"/>
    <w:docVar w:name="Document MetaData-1/17/2023 11:14:57 PM" w:val="........................................................................................................................................................................................................................................................................................................................................................................................................................................................................................................................................................................................................................................................................................................................................................................................................................................................................................................................................................................................................................................"/>
    <w:docVar w:name="P1" w:val="Document MetaData-1/17/2023 11:14:57 PM"/>
    <w:docVar w:name="ParaNumber" w:val="3"/>
  </w:docVars>
  <w:rsids>
    <w:rsidRoot w:val="001046E4"/>
    <w:rsid w:val="000007D2"/>
    <w:rsid w:val="0000197C"/>
    <w:rsid w:val="00001B60"/>
    <w:rsid w:val="00001C32"/>
    <w:rsid w:val="0000276F"/>
    <w:rsid w:val="00003502"/>
    <w:rsid w:val="00003938"/>
    <w:rsid w:val="00003BBE"/>
    <w:rsid w:val="00003E05"/>
    <w:rsid w:val="00003F1A"/>
    <w:rsid w:val="0000409D"/>
    <w:rsid w:val="000048AE"/>
    <w:rsid w:val="00004D1C"/>
    <w:rsid w:val="0000626D"/>
    <w:rsid w:val="000075AB"/>
    <w:rsid w:val="00007938"/>
    <w:rsid w:val="00007A60"/>
    <w:rsid w:val="00007AFA"/>
    <w:rsid w:val="0001005C"/>
    <w:rsid w:val="00010A43"/>
    <w:rsid w:val="00010B92"/>
    <w:rsid w:val="00010FB1"/>
    <w:rsid w:val="000110FF"/>
    <w:rsid w:val="00011420"/>
    <w:rsid w:val="000116BD"/>
    <w:rsid w:val="0001172C"/>
    <w:rsid w:val="00011C3F"/>
    <w:rsid w:val="00011EB6"/>
    <w:rsid w:val="0001223D"/>
    <w:rsid w:val="00013045"/>
    <w:rsid w:val="000132D8"/>
    <w:rsid w:val="0001348A"/>
    <w:rsid w:val="000137B9"/>
    <w:rsid w:val="000141DB"/>
    <w:rsid w:val="00014452"/>
    <w:rsid w:val="000145A2"/>
    <w:rsid w:val="00014B9B"/>
    <w:rsid w:val="00014D65"/>
    <w:rsid w:val="00015036"/>
    <w:rsid w:val="000152A0"/>
    <w:rsid w:val="000158CA"/>
    <w:rsid w:val="00016581"/>
    <w:rsid w:val="0001658C"/>
    <w:rsid w:val="00016739"/>
    <w:rsid w:val="00016F64"/>
    <w:rsid w:val="00017004"/>
    <w:rsid w:val="000170C5"/>
    <w:rsid w:val="00017533"/>
    <w:rsid w:val="00017DB3"/>
    <w:rsid w:val="00017F88"/>
    <w:rsid w:val="000204C7"/>
    <w:rsid w:val="00020E17"/>
    <w:rsid w:val="000213E3"/>
    <w:rsid w:val="0002175B"/>
    <w:rsid w:val="00021EB7"/>
    <w:rsid w:val="0002242C"/>
    <w:rsid w:val="000225C1"/>
    <w:rsid w:val="0002262C"/>
    <w:rsid w:val="00022CD3"/>
    <w:rsid w:val="00023304"/>
    <w:rsid w:val="0002335C"/>
    <w:rsid w:val="000234EB"/>
    <w:rsid w:val="00024096"/>
    <w:rsid w:val="00024C34"/>
    <w:rsid w:val="00024C4A"/>
    <w:rsid w:val="00024FA3"/>
    <w:rsid w:val="00025679"/>
    <w:rsid w:val="00025E6D"/>
    <w:rsid w:val="00026095"/>
    <w:rsid w:val="000260BD"/>
    <w:rsid w:val="000260C6"/>
    <w:rsid w:val="00026504"/>
    <w:rsid w:val="000265BA"/>
    <w:rsid w:val="000265FF"/>
    <w:rsid w:val="00026CB3"/>
    <w:rsid w:val="00026E96"/>
    <w:rsid w:val="00026F03"/>
    <w:rsid w:val="000272B8"/>
    <w:rsid w:val="000273D7"/>
    <w:rsid w:val="000276A3"/>
    <w:rsid w:val="000302BB"/>
    <w:rsid w:val="000308CB"/>
    <w:rsid w:val="00030B3B"/>
    <w:rsid w:val="00030CEF"/>
    <w:rsid w:val="00031E12"/>
    <w:rsid w:val="00031E59"/>
    <w:rsid w:val="00032314"/>
    <w:rsid w:val="00032661"/>
    <w:rsid w:val="0003291C"/>
    <w:rsid w:val="000339DD"/>
    <w:rsid w:val="00034414"/>
    <w:rsid w:val="0003447E"/>
    <w:rsid w:val="000348B7"/>
    <w:rsid w:val="0003492B"/>
    <w:rsid w:val="00034F25"/>
    <w:rsid w:val="000354F1"/>
    <w:rsid w:val="0003666D"/>
    <w:rsid w:val="00036CC9"/>
    <w:rsid w:val="00036D49"/>
    <w:rsid w:val="00036DE3"/>
    <w:rsid w:val="00036E28"/>
    <w:rsid w:val="0003758E"/>
    <w:rsid w:val="0003775D"/>
    <w:rsid w:val="00037829"/>
    <w:rsid w:val="00037DC4"/>
    <w:rsid w:val="00040227"/>
    <w:rsid w:val="00040883"/>
    <w:rsid w:val="00040A53"/>
    <w:rsid w:val="00040A87"/>
    <w:rsid w:val="00040DFB"/>
    <w:rsid w:val="000410CD"/>
    <w:rsid w:val="000411CF"/>
    <w:rsid w:val="00041896"/>
    <w:rsid w:val="00041F13"/>
    <w:rsid w:val="00042476"/>
    <w:rsid w:val="00042699"/>
    <w:rsid w:val="00042AEA"/>
    <w:rsid w:val="00042B97"/>
    <w:rsid w:val="000433C8"/>
    <w:rsid w:val="00043C41"/>
    <w:rsid w:val="0004434C"/>
    <w:rsid w:val="00044A2C"/>
    <w:rsid w:val="0004598E"/>
    <w:rsid w:val="00045C3B"/>
    <w:rsid w:val="00045ED8"/>
    <w:rsid w:val="00047097"/>
    <w:rsid w:val="000471A5"/>
    <w:rsid w:val="000471B4"/>
    <w:rsid w:val="00047BB9"/>
    <w:rsid w:val="00050221"/>
    <w:rsid w:val="0005095D"/>
    <w:rsid w:val="000509EC"/>
    <w:rsid w:val="00050A4E"/>
    <w:rsid w:val="00050B5B"/>
    <w:rsid w:val="00050EE7"/>
    <w:rsid w:val="00050FC9"/>
    <w:rsid w:val="00051365"/>
    <w:rsid w:val="000518B7"/>
    <w:rsid w:val="0005198A"/>
    <w:rsid w:val="00051AD3"/>
    <w:rsid w:val="00051BD6"/>
    <w:rsid w:val="00051CFC"/>
    <w:rsid w:val="00051F85"/>
    <w:rsid w:val="00052300"/>
    <w:rsid w:val="000527E2"/>
    <w:rsid w:val="00052C6F"/>
    <w:rsid w:val="00053203"/>
    <w:rsid w:val="00053539"/>
    <w:rsid w:val="000537EF"/>
    <w:rsid w:val="00053CBB"/>
    <w:rsid w:val="00053E85"/>
    <w:rsid w:val="000540E0"/>
    <w:rsid w:val="00054485"/>
    <w:rsid w:val="000545B1"/>
    <w:rsid w:val="0005552D"/>
    <w:rsid w:val="00055795"/>
    <w:rsid w:val="000557F7"/>
    <w:rsid w:val="00055843"/>
    <w:rsid w:val="0005599C"/>
    <w:rsid w:val="00055BCF"/>
    <w:rsid w:val="00055BD0"/>
    <w:rsid w:val="00055D24"/>
    <w:rsid w:val="00055E01"/>
    <w:rsid w:val="00056281"/>
    <w:rsid w:val="00056486"/>
    <w:rsid w:val="00056637"/>
    <w:rsid w:val="0005668E"/>
    <w:rsid w:val="00056A1A"/>
    <w:rsid w:val="00056A1C"/>
    <w:rsid w:val="00056A63"/>
    <w:rsid w:val="00056DBB"/>
    <w:rsid w:val="00057880"/>
    <w:rsid w:val="00057E1F"/>
    <w:rsid w:val="0006081B"/>
    <w:rsid w:val="00060C7C"/>
    <w:rsid w:val="000610CB"/>
    <w:rsid w:val="000614C7"/>
    <w:rsid w:val="000620F2"/>
    <w:rsid w:val="000622A2"/>
    <w:rsid w:val="000623DA"/>
    <w:rsid w:val="0006241F"/>
    <w:rsid w:val="000626FA"/>
    <w:rsid w:val="0006275C"/>
    <w:rsid w:val="00062B66"/>
    <w:rsid w:val="00062F3B"/>
    <w:rsid w:val="000633C5"/>
    <w:rsid w:val="0006374A"/>
    <w:rsid w:val="000638EA"/>
    <w:rsid w:val="000642C9"/>
    <w:rsid w:val="0006497C"/>
    <w:rsid w:val="00064A05"/>
    <w:rsid w:val="00064D76"/>
    <w:rsid w:val="00064FCC"/>
    <w:rsid w:val="000650B4"/>
    <w:rsid w:val="000653A1"/>
    <w:rsid w:val="00065BF1"/>
    <w:rsid w:val="000661E4"/>
    <w:rsid w:val="000665A4"/>
    <w:rsid w:val="00066FA7"/>
    <w:rsid w:val="00067584"/>
    <w:rsid w:val="00067638"/>
    <w:rsid w:val="00067A36"/>
    <w:rsid w:val="00070D46"/>
    <w:rsid w:val="00070F08"/>
    <w:rsid w:val="00071DCA"/>
    <w:rsid w:val="00072DDB"/>
    <w:rsid w:val="00072F72"/>
    <w:rsid w:val="000735AC"/>
    <w:rsid w:val="00073771"/>
    <w:rsid w:val="000738AB"/>
    <w:rsid w:val="00073D79"/>
    <w:rsid w:val="00074101"/>
    <w:rsid w:val="00074746"/>
    <w:rsid w:val="00074C95"/>
    <w:rsid w:val="00074CB3"/>
    <w:rsid w:val="00074FBD"/>
    <w:rsid w:val="00075731"/>
    <w:rsid w:val="00075AE1"/>
    <w:rsid w:val="000760B8"/>
    <w:rsid w:val="00076110"/>
    <w:rsid w:val="00076159"/>
    <w:rsid w:val="000761B8"/>
    <w:rsid w:val="00076235"/>
    <w:rsid w:val="0007656C"/>
    <w:rsid w:val="000771F4"/>
    <w:rsid w:val="0007738B"/>
    <w:rsid w:val="0007768F"/>
    <w:rsid w:val="00077CAD"/>
    <w:rsid w:val="00077DBA"/>
    <w:rsid w:val="00077E1E"/>
    <w:rsid w:val="00077E92"/>
    <w:rsid w:val="000804C3"/>
    <w:rsid w:val="0008069C"/>
    <w:rsid w:val="000806C0"/>
    <w:rsid w:val="00080BA6"/>
    <w:rsid w:val="00081D3C"/>
    <w:rsid w:val="00081E8C"/>
    <w:rsid w:val="0008276E"/>
    <w:rsid w:val="000827DF"/>
    <w:rsid w:val="000828BC"/>
    <w:rsid w:val="00082B8A"/>
    <w:rsid w:val="00082CBC"/>
    <w:rsid w:val="00082ECE"/>
    <w:rsid w:val="00083345"/>
    <w:rsid w:val="000835CE"/>
    <w:rsid w:val="00084DA6"/>
    <w:rsid w:val="00085065"/>
    <w:rsid w:val="000863D2"/>
    <w:rsid w:val="0008676C"/>
    <w:rsid w:val="00087422"/>
    <w:rsid w:val="00087470"/>
    <w:rsid w:val="0008758E"/>
    <w:rsid w:val="000877F3"/>
    <w:rsid w:val="0009065D"/>
    <w:rsid w:val="00090A7A"/>
    <w:rsid w:val="00090AD1"/>
    <w:rsid w:val="00091220"/>
    <w:rsid w:val="00091446"/>
    <w:rsid w:val="00091DDF"/>
    <w:rsid w:val="000925D6"/>
    <w:rsid w:val="00092635"/>
    <w:rsid w:val="00092A09"/>
    <w:rsid w:val="000930C5"/>
    <w:rsid w:val="0009318F"/>
    <w:rsid w:val="00093EA6"/>
    <w:rsid w:val="00093F1C"/>
    <w:rsid w:val="00093F29"/>
    <w:rsid w:val="0009410B"/>
    <w:rsid w:val="00094291"/>
    <w:rsid w:val="000943DD"/>
    <w:rsid w:val="00094AD0"/>
    <w:rsid w:val="00094AE8"/>
    <w:rsid w:val="00094B5D"/>
    <w:rsid w:val="00094C6F"/>
    <w:rsid w:val="000955DE"/>
    <w:rsid w:val="00095782"/>
    <w:rsid w:val="0009586C"/>
    <w:rsid w:val="0009592F"/>
    <w:rsid w:val="00095E6F"/>
    <w:rsid w:val="00096168"/>
    <w:rsid w:val="000966DC"/>
    <w:rsid w:val="00096C7E"/>
    <w:rsid w:val="000970FC"/>
    <w:rsid w:val="0009720B"/>
    <w:rsid w:val="00097417"/>
    <w:rsid w:val="00097F56"/>
    <w:rsid w:val="000A052C"/>
    <w:rsid w:val="000A0795"/>
    <w:rsid w:val="000A1377"/>
    <w:rsid w:val="000A177B"/>
    <w:rsid w:val="000A1839"/>
    <w:rsid w:val="000A20EE"/>
    <w:rsid w:val="000A21CC"/>
    <w:rsid w:val="000A22B6"/>
    <w:rsid w:val="000A2743"/>
    <w:rsid w:val="000A307A"/>
    <w:rsid w:val="000A340C"/>
    <w:rsid w:val="000A3B22"/>
    <w:rsid w:val="000A3D94"/>
    <w:rsid w:val="000A3F43"/>
    <w:rsid w:val="000A437E"/>
    <w:rsid w:val="000A4535"/>
    <w:rsid w:val="000A48CE"/>
    <w:rsid w:val="000A4D38"/>
    <w:rsid w:val="000A529F"/>
    <w:rsid w:val="000A5F2B"/>
    <w:rsid w:val="000A6BDB"/>
    <w:rsid w:val="000A6CC2"/>
    <w:rsid w:val="000A716B"/>
    <w:rsid w:val="000A7F0B"/>
    <w:rsid w:val="000B0EF9"/>
    <w:rsid w:val="000B14DF"/>
    <w:rsid w:val="000B2826"/>
    <w:rsid w:val="000B350F"/>
    <w:rsid w:val="000B39C2"/>
    <w:rsid w:val="000B3FF4"/>
    <w:rsid w:val="000B49DC"/>
    <w:rsid w:val="000B4AB9"/>
    <w:rsid w:val="000B51F0"/>
    <w:rsid w:val="000B5497"/>
    <w:rsid w:val="000B59AD"/>
    <w:rsid w:val="000B5E66"/>
    <w:rsid w:val="000B5F30"/>
    <w:rsid w:val="000B636D"/>
    <w:rsid w:val="000B6877"/>
    <w:rsid w:val="000B6AB1"/>
    <w:rsid w:val="000B6AF7"/>
    <w:rsid w:val="000B7D11"/>
    <w:rsid w:val="000C0179"/>
    <w:rsid w:val="000C0687"/>
    <w:rsid w:val="000C09AB"/>
    <w:rsid w:val="000C0A08"/>
    <w:rsid w:val="000C0D2B"/>
    <w:rsid w:val="000C10F1"/>
    <w:rsid w:val="000C1FE6"/>
    <w:rsid w:val="000C23B3"/>
    <w:rsid w:val="000C2438"/>
    <w:rsid w:val="000C25CD"/>
    <w:rsid w:val="000C262B"/>
    <w:rsid w:val="000C2B02"/>
    <w:rsid w:val="000C2BE4"/>
    <w:rsid w:val="000C37F3"/>
    <w:rsid w:val="000C3A1B"/>
    <w:rsid w:val="000C45E3"/>
    <w:rsid w:val="000C47C2"/>
    <w:rsid w:val="000C4ACD"/>
    <w:rsid w:val="000C53B8"/>
    <w:rsid w:val="000C5465"/>
    <w:rsid w:val="000C5E02"/>
    <w:rsid w:val="000C5FCC"/>
    <w:rsid w:val="000C60D5"/>
    <w:rsid w:val="000C6157"/>
    <w:rsid w:val="000C6776"/>
    <w:rsid w:val="000C68B9"/>
    <w:rsid w:val="000C6CAB"/>
    <w:rsid w:val="000C6E64"/>
    <w:rsid w:val="000C6FA6"/>
    <w:rsid w:val="000C782A"/>
    <w:rsid w:val="000D0475"/>
    <w:rsid w:val="000D0488"/>
    <w:rsid w:val="000D0E4A"/>
    <w:rsid w:val="000D0FC8"/>
    <w:rsid w:val="000D1AFD"/>
    <w:rsid w:val="000D1F14"/>
    <w:rsid w:val="000D2420"/>
    <w:rsid w:val="000D283E"/>
    <w:rsid w:val="000D332B"/>
    <w:rsid w:val="000D336B"/>
    <w:rsid w:val="000D40CE"/>
    <w:rsid w:val="000D40E6"/>
    <w:rsid w:val="000D4AF9"/>
    <w:rsid w:val="000D513A"/>
    <w:rsid w:val="000D55A4"/>
    <w:rsid w:val="000D643A"/>
    <w:rsid w:val="000D762C"/>
    <w:rsid w:val="000E0207"/>
    <w:rsid w:val="000E0807"/>
    <w:rsid w:val="000E0D6F"/>
    <w:rsid w:val="000E1461"/>
    <w:rsid w:val="000E24E3"/>
    <w:rsid w:val="000E25ED"/>
    <w:rsid w:val="000E28E6"/>
    <w:rsid w:val="000E31A6"/>
    <w:rsid w:val="000E35DD"/>
    <w:rsid w:val="000E42B2"/>
    <w:rsid w:val="000E5A58"/>
    <w:rsid w:val="000E5BDF"/>
    <w:rsid w:val="000E628E"/>
    <w:rsid w:val="000E63C4"/>
    <w:rsid w:val="000E65F6"/>
    <w:rsid w:val="000E6665"/>
    <w:rsid w:val="000E6FD3"/>
    <w:rsid w:val="000E7638"/>
    <w:rsid w:val="000E7988"/>
    <w:rsid w:val="000E7A43"/>
    <w:rsid w:val="000F0006"/>
    <w:rsid w:val="000F0073"/>
    <w:rsid w:val="000F00B8"/>
    <w:rsid w:val="000F087C"/>
    <w:rsid w:val="000F21F4"/>
    <w:rsid w:val="000F232A"/>
    <w:rsid w:val="000F281E"/>
    <w:rsid w:val="000F2B9C"/>
    <w:rsid w:val="000F2CC6"/>
    <w:rsid w:val="000F3595"/>
    <w:rsid w:val="000F3682"/>
    <w:rsid w:val="000F3775"/>
    <w:rsid w:val="000F3858"/>
    <w:rsid w:val="000F3DE7"/>
    <w:rsid w:val="000F4386"/>
    <w:rsid w:val="000F44BE"/>
    <w:rsid w:val="000F4554"/>
    <w:rsid w:val="000F5914"/>
    <w:rsid w:val="000F6304"/>
    <w:rsid w:val="000F6603"/>
    <w:rsid w:val="000F77DF"/>
    <w:rsid w:val="00100111"/>
    <w:rsid w:val="00100711"/>
    <w:rsid w:val="00100FD7"/>
    <w:rsid w:val="001013C9"/>
    <w:rsid w:val="00101BEF"/>
    <w:rsid w:val="00101F76"/>
    <w:rsid w:val="00102200"/>
    <w:rsid w:val="001024E1"/>
    <w:rsid w:val="00102599"/>
    <w:rsid w:val="00102B43"/>
    <w:rsid w:val="00103212"/>
    <w:rsid w:val="001046E4"/>
    <w:rsid w:val="001047CD"/>
    <w:rsid w:val="00104BFD"/>
    <w:rsid w:val="00104CC8"/>
    <w:rsid w:val="001050AC"/>
    <w:rsid w:val="0010514D"/>
    <w:rsid w:val="001051DD"/>
    <w:rsid w:val="0010556C"/>
    <w:rsid w:val="00105586"/>
    <w:rsid w:val="0010562B"/>
    <w:rsid w:val="001057E9"/>
    <w:rsid w:val="00106415"/>
    <w:rsid w:val="001065DD"/>
    <w:rsid w:val="00106CB6"/>
    <w:rsid w:val="00106E22"/>
    <w:rsid w:val="001071D6"/>
    <w:rsid w:val="001076DF"/>
    <w:rsid w:val="001104E8"/>
    <w:rsid w:val="00110844"/>
    <w:rsid w:val="001109CB"/>
    <w:rsid w:val="001120D2"/>
    <w:rsid w:val="0011228C"/>
    <w:rsid w:val="00112592"/>
    <w:rsid w:val="0011272F"/>
    <w:rsid w:val="00112928"/>
    <w:rsid w:val="00112E00"/>
    <w:rsid w:val="001130FA"/>
    <w:rsid w:val="001137AA"/>
    <w:rsid w:val="0011381D"/>
    <w:rsid w:val="00113956"/>
    <w:rsid w:val="00113C6E"/>
    <w:rsid w:val="00113E21"/>
    <w:rsid w:val="00114033"/>
    <w:rsid w:val="001141B2"/>
    <w:rsid w:val="0011489D"/>
    <w:rsid w:val="00114F93"/>
    <w:rsid w:val="00115008"/>
    <w:rsid w:val="001153C9"/>
    <w:rsid w:val="001158B0"/>
    <w:rsid w:val="00115A73"/>
    <w:rsid w:val="001165F6"/>
    <w:rsid w:val="00117280"/>
    <w:rsid w:val="001173E9"/>
    <w:rsid w:val="00117828"/>
    <w:rsid w:val="00117D50"/>
    <w:rsid w:val="00121010"/>
    <w:rsid w:val="0012167B"/>
    <w:rsid w:val="001219C8"/>
    <w:rsid w:val="00121B29"/>
    <w:rsid w:val="00121B35"/>
    <w:rsid w:val="00121C1C"/>
    <w:rsid w:val="001224D3"/>
    <w:rsid w:val="001226C3"/>
    <w:rsid w:val="00124801"/>
    <w:rsid w:val="00124A6F"/>
    <w:rsid w:val="00124B9D"/>
    <w:rsid w:val="00125002"/>
    <w:rsid w:val="00125012"/>
    <w:rsid w:val="00125107"/>
    <w:rsid w:val="0012535E"/>
    <w:rsid w:val="00125E78"/>
    <w:rsid w:val="001264AC"/>
    <w:rsid w:val="00126999"/>
    <w:rsid w:val="00126DDB"/>
    <w:rsid w:val="00127A42"/>
    <w:rsid w:val="00127D4E"/>
    <w:rsid w:val="00127EBB"/>
    <w:rsid w:val="00130051"/>
    <w:rsid w:val="00130160"/>
    <w:rsid w:val="001311A0"/>
    <w:rsid w:val="001319CA"/>
    <w:rsid w:val="00131B29"/>
    <w:rsid w:val="00131FAC"/>
    <w:rsid w:val="00132288"/>
    <w:rsid w:val="00132CC4"/>
    <w:rsid w:val="0013371E"/>
    <w:rsid w:val="001338CE"/>
    <w:rsid w:val="00133FC3"/>
    <w:rsid w:val="00134019"/>
    <w:rsid w:val="0013514D"/>
    <w:rsid w:val="00135DEA"/>
    <w:rsid w:val="00135F44"/>
    <w:rsid w:val="00136060"/>
    <w:rsid w:val="001362FE"/>
    <w:rsid w:val="00137E69"/>
    <w:rsid w:val="00140091"/>
    <w:rsid w:val="0014073A"/>
    <w:rsid w:val="00140983"/>
    <w:rsid w:val="00140E90"/>
    <w:rsid w:val="00140FF1"/>
    <w:rsid w:val="00141450"/>
    <w:rsid w:val="001423E0"/>
    <w:rsid w:val="00142F22"/>
    <w:rsid w:val="00142FCE"/>
    <w:rsid w:val="001430BC"/>
    <w:rsid w:val="00143814"/>
    <w:rsid w:val="001439B6"/>
    <w:rsid w:val="001439EB"/>
    <w:rsid w:val="00143D1F"/>
    <w:rsid w:val="001444E0"/>
    <w:rsid w:val="00144680"/>
    <w:rsid w:val="00145C2A"/>
    <w:rsid w:val="00145D0D"/>
    <w:rsid w:val="0014602C"/>
    <w:rsid w:val="00146133"/>
    <w:rsid w:val="001462BF"/>
    <w:rsid w:val="00146416"/>
    <w:rsid w:val="00146A51"/>
    <w:rsid w:val="00147216"/>
    <w:rsid w:val="001472DC"/>
    <w:rsid w:val="001473AD"/>
    <w:rsid w:val="00147AD7"/>
    <w:rsid w:val="00147C96"/>
    <w:rsid w:val="001500CD"/>
    <w:rsid w:val="00151827"/>
    <w:rsid w:val="00151A2A"/>
    <w:rsid w:val="00151D03"/>
    <w:rsid w:val="00151D7F"/>
    <w:rsid w:val="001520D3"/>
    <w:rsid w:val="0015266F"/>
    <w:rsid w:val="001526F3"/>
    <w:rsid w:val="0015278B"/>
    <w:rsid w:val="00152F70"/>
    <w:rsid w:val="00152F97"/>
    <w:rsid w:val="00153E46"/>
    <w:rsid w:val="001541F1"/>
    <w:rsid w:val="00154949"/>
    <w:rsid w:val="001549AA"/>
    <w:rsid w:val="00154B2D"/>
    <w:rsid w:val="0015638E"/>
    <w:rsid w:val="0015704D"/>
    <w:rsid w:val="001571CB"/>
    <w:rsid w:val="00157E9C"/>
    <w:rsid w:val="00157F2A"/>
    <w:rsid w:val="0016007C"/>
    <w:rsid w:val="001606B3"/>
    <w:rsid w:val="00160975"/>
    <w:rsid w:val="00160CB3"/>
    <w:rsid w:val="001614EF"/>
    <w:rsid w:val="001617C1"/>
    <w:rsid w:val="00161844"/>
    <w:rsid w:val="00161B5E"/>
    <w:rsid w:val="00161E73"/>
    <w:rsid w:val="001622D9"/>
    <w:rsid w:val="001623A0"/>
    <w:rsid w:val="0016242C"/>
    <w:rsid w:val="00162EAE"/>
    <w:rsid w:val="00162FC7"/>
    <w:rsid w:val="0016344A"/>
    <w:rsid w:val="00163960"/>
    <w:rsid w:val="00163D59"/>
    <w:rsid w:val="00164266"/>
    <w:rsid w:val="0016513B"/>
    <w:rsid w:val="0016568E"/>
    <w:rsid w:val="001660A5"/>
    <w:rsid w:val="00166958"/>
    <w:rsid w:val="00166E86"/>
    <w:rsid w:val="001675DE"/>
    <w:rsid w:val="001700C5"/>
    <w:rsid w:val="00170320"/>
    <w:rsid w:val="00171455"/>
    <w:rsid w:val="00171B5F"/>
    <w:rsid w:val="00171B80"/>
    <w:rsid w:val="00172761"/>
    <w:rsid w:val="001729AF"/>
    <w:rsid w:val="00172A53"/>
    <w:rsid w:val="00172ED0"/>
    <w:rsid w:val="00172EE6"/>
    <w:rsid w:val="001732D2"/>
    <w:rsid w:val="001733C9"/>
    <w:rsid w:val="00173914"/>
    <w:rsid w:val="00173EDF"/>
    <w:rsid w:val="001748AD"/>
    <w:rsid w:val="00174B2E"/>
    <w:rsid w:val="001752C1"/>
    <w:rsid w:val="00175F99"/>
    <w:rsid w:val="00176550"/>
    <w:rsid w:val="00176A8A"/>
    <w:rsid w:val="00176E27"/>
    <w:rsid w:val="00176ECE"/>
    <w:rsid w:val="0017715C"/>
    <w:rsid w:val="00177832"/>
    <w:rsid w:val="0017796D"/>
    <w:rsid w:val="00177D89"/>
    <w:rsid w:val="00177DEB"/>
    <w:rsid w:val="001802D3"/>
    <w:rsid w:val="001802D7"/>
    <w:rsid w:val="00180BBF"/>
    <w:rsid w:val="00180F5D"/>
    <w:rsid w:val="0018149D"/>
    <w:rsid w:val="001814BA"/>
    <w:rsid w:val="00181941"/>
    <w:rsid w:val="00181C23"/>
    <w:rsid w:val="00181D89"/>
    <w:rsid w:val="00181EE1"/>
    <w:rsid w:val="00181F2F"/>
    <w:rsid w:val="0018216E"/>
    <w:rsid w:val="001821BE"/>
    <w:rsid w:val="00182689"/>
    <w:rsid w:val="00182692"/>
    <w:rsid w:val="00182CCB"/>
    <w:rsid w:val="00182F2B"/>
    <w:rsid w:val="0018370B"/>
    <w:rsid w:val="00183A1E"/>
    <w:rsid w:val="0018413E"/>
    <w:rsid w:val="00184B55"/>
    <w:rsid w:val="001859CB"/>
    <w:rsid w:val="00185A97"/>
    <w:rsid w:val="001861B5"/>
    <w:rsid w:val="00186285"/>
    <w:rsid w:val="001866A0"/>
    <w:rsid w:val="0018670B"/>
    <w:rsid w:val="00186A38"/>
    <w:rsid w:val="00186A90"/>
    <w:rsid w:val="00186FED"/>
    <w:rsid w:val="001872F8"/>
    <w:rsid w:val="00187904"/>
    <w:rsid w:val="001879E2"/>
    <w:rsid w:val="00187B1A"/>
    <w:rsid w:val="001901DC"/>
    <w:rsid w:val="0019029E"/>
    <w:rsid w:val="001907E2"/>
    <w:rsid w:val="00191098"/>
    <w:rsid w:val="00191559"/>
    <w:rsid w:val="001915A9"/>
    <w:rsid w:val="00191D05"/>
    <w:rsid w:val="00191E68"/>
    <w:rsid w:val="001924AA"/>
    <w:rsid w:val="00192980"/>
    <w:rsid w:val="001932B3"/>
    <w:rsid w:val="00193728"/>
    <w:rsid w:val="00193EE3"/>
    <w:rsid w:val="00194210"/>
    <w:rsid w:val="00194530"/>
    <w:rsid w:val="00194DC5"/>
    <w:rsid w:val="001952D9"/>
    <w:rsid w:val="0019578F"/>
    <w:rsid w:val="00195EC6"/>
    <w:rsid w:val="001961C8"/>
    <w:rsid w:val="00196442"/>
    <w:rsid w:val="0019652F"/>
    <w:rsid w:val="00196B2F"/>
    <w:rsid w:val="00196F42"/>
    <w:rsid w:val="0019743D"/>
    <w:rsid w:val="00197B45"/>
    <w:rsid w:val="00197F6E"/>
    <w:rsid w:val="001A0214"/>
    <w:rsid w:val="001A02CA"/>
    <w:rsid w:val="001A031F"/>
    <w:rsid w:val="001A1121"/>
    <w:rsid w:val="001A1145"/>
    <w:rsid w:val="001A1788"/>
    <w:rsid w:val="001A17CA"/>
    <w:rsid w:val="001A2389"/>
    <w:rsid w:val="001A2DD3"/>
    <w:rsid w:val="001A2FE7"/>
    <w:rsid w:val="001A327A"/>
    <w:rsid w:val="001A3498"/>
    <w:rsid w:val="001A35C8"/>
    <w:rsid w:val="001A3741"/>
    <w:rsid w:val="001A3C73"/>
    <w:rsid w:val="001A3E6D"/>
    <w:rsid w:val="001A42CE"/>
    <w:rsid w:val="001A4337"/>
    <w:rsid w:val="001A4D45"/>
    <w:rsid w:val="001A5D61"/>
    <w:rsid w:val="001A600B"/>
    <w:rsid w:val="001A61C4"/>
    <w:rsid w:val="001A6329"/>
    <w:rsid w:val="001A6AFB"/>
    <w:rsid w:val="001A6B2D"/>
    <w:rsid w:val="001A6B93"/>
    <w:rsid w:val="001A6FB3"/>
    <w:rsid w:val="001A73A1"/>
    <w:rsid w:val="001B026B"/>
    <w:rsid w:val="001B05A1"/>
    <w:rsid w:val="001B08A4"/>
    <w:rsid w:val="001B0F1F"/>
    <w:rsid w:val="001B10DC"/>
    <w:rsid w:val="001B128A"/>
    <w:rsid w:val="001B21CB"/>
    <w:rsid w:val="001B25AE"/>
    <w:rsid w:val="001B2A66"/>
    <w:rsid w:val="001B3945"/>
    <w:rsid w:val="001B47B6"/>
    <w:rsid w:val="001B47D7"/>
    <w:rsid w:val="001B53B1"/>
    <w:rsid w:val="001B583F"/>
    <w:rsid w:val="001B5908"/>
    <w:rsid w:val="001B59F5"/>
    <w:rsid w:val="001B5F1B"/>
    <w:rsid w:val="001B61A9"/>
    <w:rsid w:val="001B61FA"/>
    <w:rsid w:val="001B66A6"/>
    <w:rsid w:val="001B6921"/>
    <w:rsid w:val="001B6DD4"/>
    <w:rsid w:val="001B6E7E"/>
    <w:rsid w:val="001B7072"/>
    <w:rsid w:val="001B73BB"/>
    <w:rsid w:val="001B7514"/>
    <w:rsid w:val="001C0271"/>
    <w:rsid w:val="001C027D"/>
    <w:rsid w:val="001C0891"/>
    <w:rsid w:val="001C1206"/>
    <w:rsid w:val="001C15AD"/>
    <w:rsid w:val="001C1B65"/>
    <w:rsid w:val="001C1E03"/>
    <w:rsid w:val="001C2858"/>
    <w:rsid w:val="001C2D15"/>
    <w:rsid w:val="001C30FD"/>
    <w:rsid w:val="001C318B"/>
    <w:rsid w:val="001C390F"/>
    <w:rsid w:val="001C392B"/>
    <w:rsid w:val="001C44BA"/>
    <w:rsid w:val="001C4814"/>
    <w:rsid w:val="001C4A98"/>
    <w:rsid w:val="001C4D62"/>
    <w:rsid w:val="001C5676"/>
    <w:rsid w:val="001C5D1C"/>
    <w:rsid w:val="001C5F28"/>
    <w:rsid w:val="001C5FDC"/>
    <w:rsid w:val="001C5FF4"/>
    <w:rsid w:val="001C6124"/>
    <w:rsid w:val="001C69BF"/>
    <w:rsid w:val="001C6ACC"/>
    <w:rsid w:val="001C6ADA"/>
    <w:rsid w:val="001C6DA3"/>
    <w:rsid w:val="001C6DC9"/>
    <w:rsid w:val="001C6E9B"/>
    <w:rsid w:val="001C76AF"/>
    <w:rsid w:val="001C7C51"/>
    <w:rsid w:val="001C7E5F"/>
    <w:rsid w:val="001D0041"/>
    <w:rsid w:val="001D04E9"/>
    <w:rsid w:val="001D078F"/>
    <w:rsid w:val="001D0E8A"/>
    <w:rsid w:val="001D1436"/>
    <w:rsid w:val="001D1BDA"/>
    <w:rsid w:val="001D1D04"/>
    <w:rsid w:val="001D2079"/>
    <w:rsid w:val="001D29E3"/>
    <w:rsid w:val="001D2D3A"/>
    <w:rsid w:val="001D324B"/>
    <w:rsid w:val="001D34F1"/>
    <w:rsid w:val="001D3E66"/>
    <w:rsid w:val="001D4427"/>
    <w:rsid w:val="001D4A24"/>
    <w:rsid w:val="001D4ADE"/>
    <w:rsid w:val="001D4C9E"/>
    <w:rsid w:val="001D4F85"/>
    <w:rsid w:val="001D5023"/>
    <w:rsid w:val="001D5456"/>
    <w:rsid w:val="001D55D7"/>
    <w:rsid w:val="001D5BF8"/>
    <w:rsid w:val="001D6057"/>
    <w:rsid w:val="001D6318"/>
    <w:rsid w:val="001D64C5"/>
    <w:rsid w:val="001D6EDA"/>
    <w:rsid w:val="001E0A31"/>
    <w:rsid w:val="001E1861"/>
    <w:rsid w:val="001E1AB6"/>
    <w:rsid w:val="001E1AFC"/>
    <w:rsid w:val="001E1FDA"/>
    <w:rsid w:val="001E2335"/>
    <w:rsid w:val="001E24ED"/>
    <w:rsid w:val="001E26AA"/>
    <w:rsid w:val="001E2DE7"/>
    <w:rsid w:val="001E32FB"/>
    <w:rsid w:val="001E3B21"/>
    <w:rsid w:val="001E3BAA"/>
    <w:rsid w:val="001E432D"/>
    <w:rsid w:val="001E5611"/>
    <w:rsid w:val="001E638D"/>
    <w:rsid w:val="001E6ACA"/>
    <w:rsid w:val="001E73A6"/>
    <w:rsid w:val="001E7AE3"/>
    <w:rsid w:val="001E7ED5"/>
    <w:rsid w:val="001F0577"/>
    <w:rsid w:val="001F07E4"/>
    <w:rsid w:val="001F08DF"/>
    <w:rsid w:val="001F0969"/>
    <w:rsid w:val="001F0CAA"/>
    <w:rsid w:val="001F1B26"/>
    <w:rsid w:val="001F2002"/>
    <w:rsid w:val="001F32B9"/>
    <w:rsid w:val="001F3E43"/>
    <w:rsid w:val="001F49B0"/>
    <w:rsid w:val="001F507B"/>
    <w:rsid w:val="001F55B2"/>
    <w:rsid w:val="001F6C0E"/>
    <w:rsid w:val="001F7300"/>
    <w:rsid w:val="001F76D3"/>
    <w:rsid w:val="001F7AD5"/>
    <w:rsid w:val="0020056C"/>
    <w:rsid w:val="00200E6E"/>
    <w:rsid w:val="00200F5C"/>
    <w:rsid w:val="0020150B"/>
    <w:rsid w:val="00201877"/>
    <w:rsid w:val="00201C29"/>
    <w:rsid w:val="0020271D"/>
    <w:rsid w:val="002029E8"/>
    <w:rsid w:val="00202AD4"/>
    <w:rsid w:val="00202C04"/>
    <w:rsid w:val="00202C49"/>
    <w:rsid w:val="00202CCE"/>
    <w:rsid w:val="00202ECA"/>
    <w:rsid w:val="002030C6"/>
    <w:rsid w:val="002030FC"/>
    <w:rsid w:val="00204113"/>
    <w:rsid w:val="0020436D"/>
    <w:rsid w:val="002049E7"/>
    <w:rsid w:val="0020502A"/>
    <w:rsid w:val="002050CF"/>
    <w:rsid w:val="00205452"/>
    <w:rsid w:val="002055B2"/>
    <w:rsid w:val="00205659"/>
    <w:rsid w:val="002060EA"/>
    <w:rsid w:val="0020619F"/>
    <w:rsid w:val="002063A3"/>
    <w:rsid w:val="00206609"/>
    <w:rsid w:val="00206AE5"/>
    <w:rsid w:val="00206D3D"/>
    <w:rsid w:val="0020706F"/>
    <w:rsid w:val="002076E0"/>
    <w:rsid w:val="00210130"/>
    <w:rsid w:val="00210147"/>
    <w:rsid w:val="00210175"/>
    <w:rsid w:val="00210277"/>
    <w:rsid w:val="00210504"/>
    <w:rsid w:val="00210FED"/>
    <w:rsid w:val="002110B0"/>
    <w:rsid w:val="00211517"/>
    <w:rsid w:val="00211688"/>
    <w:rsid w:val="00211AFA"/>
    <w:rsid w:val="00211B40"/>
    <w:rsid w:val="00211FBD"/>
    <w:rsid w:val="00212091"/>
    <w:rsid w:val="00212213"/>
    <w:rsid w:val="00212882"/>
    <w:rsid w:val="00212B65"/>
    <w:rsid w:val="00213470"/>
    <w:rsid w:val="0021430A"/>
    <w:rsid w:val="00214387"/>
    <w:rsid w:val="00214481"/>
    <w:rsid w:val="00214502"/>
    <w:rsid w:val="00214B53"/>
    <w:rsid w:val="00215A15"/>
    <w:rsid w:val="00215D7E"/>
    <w:rsid w:val="00215F77"/>
    <w:rsid w:val="00215FA4"/>
    <w:rsid w:val="00216964"/>
    <w:rsid w:val="002169BB"/>
    <w:rsid w:val="00216C21"/>
    <w:rsid w:val="00216D4F"/>
    <w:rsid w:val="00216D80"/>
    <w:rsid w:val="00217274"/>
    <w:rsid w:val="0021758A"/>
    <w:rsid w:val="002177D1"/>
    <w:rsid w:val="00217CA6"/>
    <w:rsid w:val="002208CB"/>
    <w:rsid w:val="00220905"/>
    <w:rsid w:val="00220CCF"/>
    <w:rsid w:val="00220F31"/>
    <w:rsid w:val="002217AB"/>
    <w:rsid w:val="00221CED"/>
    <w:rsid w:val="0022212B"/>
    <w:rsid w:val="0022263C"/>
    <w:rsid w:val="00223319"/>
    <w:rsid w:val="0022345F"/>
    <w:rsid w:val="00223B49"/>
    <w:rsid w:val="00223DB3"/>
    <w:rsid w:val="00224342"/>
    <w:rsid w:val="00224AEC"/>
    <w:rsid w:val="00224B47"/>
    <w:rsid w:val="0022527D"/>
    <w:rsid w:val="00225EC2"/>
    <w:rsid w:val="00226F27"/>
    <w:rsid w:val="00227274"/>
    <w:rsid w:val="002277F3"/>
    <w:rsid w:val="00227C46"/>
    <w:rsid w:val="00227FB0"/>
    <w:rsid w:val="00230AE6"/>
    <w:rsid w:val="00230B49"/>
    <w:rsid w:val="00230C2F"/>
    <w:rsid w:val="00230F3E"/>
    <w:rsid w:val="00230FC2"/>
    <w:rsid w:val="002312AF"/>
    <w:rsid w:val="00231D19"/>
    <w:rsid w:val="00231EF1"/>
    <w:rsid w:val="00232C85"/>
    <w:rsid w:val="00233276"/>
    <w:rsid w:val="002334A3"/>
    <w:rsid w:val="00233D9A"/>
    <w:rsid w:val="002344E2"/>
    <w:rsid w:val="002345B6"/>
    <w:rsid w:val="00234A95"/>
    <w:rsid w:val="0023515F"/>
    <w:rsid w:val="002356DA"/>
    <w:rsid w:val="0023612C"/>
    <w:rsid w:val="00236157"/>
    <w:rsid w:val="002361CE"/>
    <w:rsid w:val="002365DE"/>
    <w:rsid w:val="00236B14"/>
    <w:rsid w:val="00236DF2"/>
    <w:rsid w:val="00237264"/>
    <w:rsid w:val="00237561"/>
    <w:rsid w:val="00237BB1"/>
    <w:rsid w:val="00237E5F"/>
    <w:rsid w:val="00237FC5"/>
    <w:rsid w:val="00240355"/>
    <w:rsid w:val="00240871"/>
    <w:rsid w:val="00240DE4"/>
    <w:rsid w:val="00240F9B"/>
    <w:rsid w:val="0024103C"/>
    <w:rsid w:val="002413DC"/>
    <w:rsid w:val="0024176A"/>
    <w:rsid w:val="00241B8B"/>
    <w:rsid w:val="00241FEB"/>
    <w:rsid w:val="00242099"/>
    <w:rsid w:val="00242595"/>
    <w:rsid w:val="00243412"/>
    <w:rsid w:val="00243770"/>
    <w:rsid w:val="00244372"/>
    <w:rsid w:val="002447FF"/>
    <w:rsid w:val="00244DFA"/>
    <w:rsid w:val="00244E9B"/>
    <w:rsid w:val="002455BA"/>
    <w:rsid w:val="00245AB6"/>
    <w:rsid w:val="00245B34"/>
    <w:rsid w:val="00245E4C"/>
    <w:rsid w:val="002460C2"/>
    <w:rsid w:val="002465DD"/>
    <w:rsid w:val="0024693D"/>
    <w:rsid w:val="00247094"/>
    <w:rsid w:val="0024718F"/>
    <w:rsid w:val="00247AB1"/>
    <w:rsid w:val="00247B6F"/>
    <w:rsid w:val="00247B99"/>
    <w:rsid w:val="00247DD9"/>
    <w:rsid w:val="00247DF2"/>
    <w:rsid w:val="00247E03"/>
    <w:rsid w:val="00250064"/>
    <w:rsid w:val="00250238"/>
    <w:rsid w:val="0025057A"/>
    <w:rsid w:val="002505A2"/>
    <w:rsid w:val="002505BD"/>
    <w:rsid w:val="00250B1F"/>
    <w:rsid w:val="00251106"/>
    <w:rsid w:val="00251244"/>
    <w:rsid w:val="002515E9"/>
    <w:rsid w:val="002517A3"/>
    <w:rsid w:val="00252209"/>
    <w:rsid w:val="002528A8"/>
    <w:rsid w:val="00252F6C"/>
    <w:rsid w:val="00253074"/>
    <w:rsid w:val="00253185"/>
    <w:rsid w:val="002533B5"/>
    <w:rsid w:val="00253763"/>
    <w:rsid w:val="002538B8"/>
    <w:rsid w:val="00253A5F"/>
    <w:rsid w:val="00254125"/>
    <w:rsid w:val="00254310"/>
    <w:rsid w:val="002547CA"/>
    <w:rsid w:val="0025511D"/>
    <w:rsid w:val="00255177"/>
    <w:rsid w:val="00255363"/>
    <w:rsid w:val="00255533"/>
    <w:rsid w:val="002559C2"/>
    <w:rsid w:val="00256A1D"/>
    <w:rsid w:val="00256B47"/>
    <w:rsid w:val="0025750D"/>
    <w:rsid w:val="00257C1B"/>
    <w:rsid w:val="00260959"/>
    <w:rsid w:val="00260B42"/>
    <w:rsid w:val="00260C55"/>
    <w:rsid w:val="00260F10"/>
    <w:rsid w:val="00261FC4"/>
    <w:rsid w:val="0026209B"/>
    <w:rsid w:val="002621E2"/>
    <w:rsid w:val="00262286"/>
    <w:rsid w:val="00262977"/>
    <w:rsid w:val="00262BEA"/>
    <w:rsid w:val="00263C3F"/>
    <w:rsid w:val="00263D1C"/>
    <w:rsid w:val="00263D34"/>
    <w:rsid w:val="00263EC8"/>
    <w:rsid w:val="00264BD5"/>
    <w:rsid w:val="00264F61"/>
    <w:rsid w:val="00265527"/>
    <w:rsid w:val="002655AB"/>
    <w:rsid w:val="00265C53"/>
    <w:rsid w:val="00266416"/>
    <w:rsid w:val="0026682D"/>
    <w:rsid w:val="002673AF"/>
    <w:rsid w:val="002675EB"/>
    <w:rsid w:val="00267993"/>
    <w:rsid w:val="002701F1"/>
    <w:rsid w:val="00270256"/>
    <w:rsid w:val="00270643"/>
    <w:rsid w:val="0027069C"/>
    <w:rsid w:val="002709F3"/>
    <w:rsid w:val="00270C6F"/>
    <w:rsid w:val="00271D4A"/>
    <w:rsid w:val="002722B5"/>
    <w:rsid w:val="00272AEA"/>
    <w:rsid w:val="00272C20"/>
    <w:rsid w:val="00273950"/>
    <w:rsid w:val="00273980"/>
    <w:rsid w:val="002739B3"/>
    <w:rsid w:val="00274474"/>
    <w:rsid w:val="002744B9"/>
    <w:rsid w:val="00275044"/>
    <w:rsid w:val="00275158"/>
    <w:rsid w:val="002759FE"/>
    <w:rsid w:val="00276B22"/>
    <w:rsid w:val="0027722B"/>
    <w:rsid w:val="002772E6"/>
    <w:rsid w:val="00277A44"/>
    <w:rsid w:val="00277C79"/>
    <w:rsid w:val="00280461"/>
    <w:rsid w:val="00280A18"/>
    <w:rsid w:val="00281625"/>
    <w:rsid w:val="00281AF7"/>
    <w:rsid w:val="0028285D"/>
    <w:rsid w:val="00283720"/>
    <w:rsid w:val="00283825"/>
    <w:rsid w:val="00283B61"/>
    <w:rsid w:val="00283B90"/>
    <w:rsid w:val="0028435A"/>
    <w:rsid w:val="00284494"/>
    <w:rsid w:val="00284F54"/>
    <w:rsid w:val="00284F68"/>
    <w:rsid w:val="00285626"/>
    <w:rsid w:val="00285A38"/>
    <w:rsid w:val="00286223"/>
    <w:rsid w:val="00286412"/>
    <w:rsid w:val="00286DA7"/>
    <w:rsid w:val="00286EFA"/>
    <w:rsid w:val="00287A02"/>
    <w:rsid w:val="00287ECE"/>
    <w:rsid w:val="002906DC"/>
    <w:rsid w:val="002907B1"/>
    <w:rsid w:val="00291218"/>
    <w:rsid w:val="0029163C"/>
    <w:rsid w:val="00291AA8"/>
    <w:rsid w:val="00291AC2"/>
    <w:rsid w:val="00291BFB"/>
    <w:rsid w:val="00292D9F"/>
    <w:rsid w:val="0029310F"/>
    <w:rsid w:val="002932E6"/>
    <w:rsid w:val="00293305"/>
    <w:rsid w:val="002933DF"/>
    <w:rsid w:val="002941C0"/>
    <w:rsid w:val="00294944"/>
    <w:rsid w:val="00294B06"/>
    <w:rsid w:val="00294BF6"/>
    <w:rsid w:val="002952B5"/>
    <w:rsid w:val="00295908"/>
    <w:rsid w:val="002959F6"/>
    <w:rsid w:val="00295AB6"/>
    <w:rsid w:val="00295CEB"/>
    <w:rsid w:val="00295F97"/>
    <w:rsid w:val="0029606E"/>
    <w:rsid w:val="00296D02"/>
    <w:rsid w:val="0029736E"/>
    <w:rsid w:val="00297951"/>
    <w:rsid w:val="00297CC9"/>
    <w:rsid w:val="002A04C3"/>
    <w:rsid w:val="002A0C95"/>
    <w:rsid w:val="002A0EF7"/>
    <w:rsid w:val="002A11E7"/>
    <w:rsid w:val="002A16AF"/>
    <w:rsid w:val="002A1B99"/>
    <w:rsid w:val="002A2084"/>
    <w:rsid w:val="002A28BA"/>
    <w:rsid w:val="002A2B2F"/>
    <w:rsid w:val="002A2BEA"/>
    <w:rsid w:val="002A2F94"/>
    <w:rsid w:val="002A3075"/>
    <w:rsid w:val="002A33A7"/>
    <w:rsid w:val="002A3648"/>
    <w:rsid w:val="002A3B18"/>
    <w:rsid w:val="002A3E81"/>
    <w:rsid w:val="002A430C"/>
    <w:rsid w:val="002A482F"/>
    <w:rsid w:val="002A4B5E"/>
    <w:rsid w:val="002A4D1B"/>
    <w:rsid w:val="002A5564"/>
    <w:rsid w:val="002A5721"/>
    <w:rsid w:val="002A6065"/>
    <w:rsid w:val="002A67EB"/>
    <w:rsid w:val="002A6A4E"/>
    <w:rsid w:val="002A7210"/>
    <w:rsid w:val="002A766E"/>
    <w:rsid w:val="002A77C3"/>
    <w:rsid w:val="002A7852"/>
    <w:rsid w:val="002A7A9D"/>
    <w:rsid w:val="002A7EC3"/>
    <w:rsid w:val="002B00ED"/>
    <w:rsid w:val="002B0D59"/>
    <w:rsid w:val="002B155E"/>
    <w:rsid w:val="002B1B4E"/>
    <w:rsid w:val="002B1E29"/>
    <w:rsid w:val="002B1FE4"/>
    <w:rsid w:val="002B2989"/>
    <w:rsid w:val="002B2DBA"/>
    <w:rsid w:val="002B2F95"/>
    <w:rsid w:val="002B32A3"/>
    <w:rsid w:val="002B33B6"/>
    <w:rsid w:val="002B3534"/>
    <w:rsid w:val="002B38F3"/>
    <w:rsid w:val="002B3FED"/>
    <w:rsid w:val="002B40EA"/>
    <w:rsid w:val="002B4933"/>
    <w:rsid w:val="002B4AB2"/>
    <w:rsid w:val="002B4B5D"/>
    <w:rsid w:val="002B4C5F"/>
    <w:rsid w:val="002B4F01"/>
    <w:rsid w:val="002B51C1"/>
    <w:rsid w:val="002B5520"/>
    <w:rsid w:val="002B596D"/>
    <w:rsid w:val="002B5C05"/>
    <w:rsid w:val="002B5CB9"/>
    <w:rsid w:val="002B60BA"/>
    <w:rsid w:val="002B6399"/>
    <w:rsid w:val="002B698D"/>
    <w:rsid w:val="002B6CC4"/>
    <w:rsid w:val="002B6F14"/>
    <w:rsid w:val="002B7377"/>
    <w:rsid w:val="002B7598"/>
    <w:rsid w:val="002B7AFC"/>
    <w:rsid w:val="002C03C2"/>
    <w:rsid w:val="002C03EB"/>
    <w:rsid w:val="002C0A6A"/>
    <w:rsid w:val="002C0E70"/>
    <w:rsid w:val="002C1EA8"/>
    <w:rsid w:val="002C2011"/>
    <w:rsid w:val="002C203D"/>
    <w:rsid w:val="002C22D7"/>
    <w:rsid w:val="002C231A"/>
    <w:rsid w:val="002C3038"/>
    <w:rsid w:val="002C323E"/>
    <w:rsid w:val="002C3380"/>
    <w:rsid w:val="002C33D6"/>
    <w:rsid w:val="002C3BD2"/>
    <w:rsid w:val="002C3D16"/>
    <w:rsid w:val="002C4287"/>
    <w:rsid w:val="002C4594"/>
    <w:rsid w:val="002C48C1"/>
    <w:rsid w:val="002C4A97"/>
    <w:rsid w:val="002C4F7B"/>
    <w:rsid w:val="002C4FFA"/>
    <w:rsid w:val="002C51CD"/>
    <w:rsid w:val="002C53D7"/>
    <w:rsid w:val="002C633F"/>
    <w:rsid w:val="002C7408"/>
    <w:rsid w:val="002C792E"/>
    <w:rsid w:val="002D049D"/>
    <w:rsid w:val="002D0698"/>
    <w:rsid w:val="002D0824"/>
    <w:rsid w:val="002D09A2"/>
    <w:rsid w:val="002D0A26"/>
    <w:rsid w:val="002D0E7F"/>
    <w:rsid w:val="002D1006"/>
    <w:rsid w:val="002D1B61"/>
    <w:rsid w:val="002D1B6D"/>
    <w:rsid w:val="002D2651"/>
    <w:rsid w:val="002D28E5"/>
    <w:rsid w:val="002D2A2C"/>
    <w:rsid w:val="002D2C0B"/>
    <w:rsid w:val="002D2D62"/>
    <w:rsid w:val="002D32E2"/>
    <w:rsid w:val="002D3625"/>
    <w:rsid w:val="002D3BFD"/>
    <w:rsid w:val="002D3C45"/>
    <w:rsid w:val="002D49EC"/>
    <w:rsid w:val="002D55A0"/>
    <w:rsid w:val="002D6D4F"/>
    <w:rsid w:val="002D712A"/>
    <w:rsid w:val="002D7D68"/>
    <w:rsid w:val="002E0505"/>
    <w:rsid w:val="002E080C"/>
    <w:rsid w:val="002E08B8"/>
    <w:rsid w:val="002E0A41"/>
    <w:rsid w:val="002E0C49"/>
    <w:rsid w:val="002E1120"/>
    <w:rsid w:val="002E1A55"/>
    <w:rsid w:val="002E1BB4"/>
    <w:rsid w:val="002E1BEC"/>
    <w:rsid w:val="002E2017"/>
    <w:rsid w:val="002E20A5"/>
    <w:rsid w:val="002E217D"/>
    <w:rsid w:val="002E2D15"/>
    <w:rsid w:val="002E312A"/>
    <w:rsid w:val="002E336D"/>
    <w:rsid w:val="002E3B54"/>
    <w:rsid w:val="002E49B3"/>
    <w:rsid w:val="002E4F56"/>
    <w:rsid w:val="002E559D"/>
    <w:rsid w:val="002E5633"/>
    <w:rsid w:val="002E57AB"/>
    <w:rsid w:val="002E5971"/>
    <w:rsid w:val="002E5BF0"/>
    <w:rsid w:val="002E5EDF"/>
    <w:rsid w:val="002E61AA"/>
    <w:rsid w:val="002E65B5"/>
    <w:rsid w:val="002E6C9E"/>
    <w:rsid w:val="002E6E38"/>
    <w:rsid w:val="002E7299"/>
    <w:rsid w:val="002E7325"/>
    <w:rsid w:val="002E75C0"/>
    <w:rsid w:val="002E76E0"/>
    <w:rsid w:val="002E791E"/>
    <w:rsid w:val="002E7959"/>
    <w:rsid w:val="002E7AD7"/>
    <w:rsid w:val="002E7ED3"/>
    <w:rsid w:val="002F043D"/>
    <w:rsid w:val="002F0744"/>
    <w:rsid w:val="002F17FC"/>
    <w:rsid w:val="002F1AC1"/>
    <w:rsid w:val="002F1CF2"/>
    <w:rsid w:val="002F1D97"/>
    <w:rsid w:val="002F2079"/>
    <w:rsid w:val="002F25D1"/>
    <w:rsid w:val="002F2DF5"/>
    <w:rsid w:val="002F3ABE"/>
    <w:rsid w:val="002F42B5"/>
    <w:rsid w:val="002F46EC"/>
    <w:rsid w:val="002F494D"/>
    <w:rsid w:val="002F49B2"/>
    <w:rsid w:val="002F4F86"/>
    <w:rsid w:val="002F4F9C"/>
    <w:rsid w:val="002F555F"/>
    <w:rsid w:val="002F60B5"/>
    <w:rsid w:val="002F670A"/>
    <w:rsid w:val="002F6A7D"/>
    <w:rsid w:val="002F6BE7"/>
    <w:rsid w:val="002F7555"/>
    <w:rsid w:val="002F7569"/>
    <w:rsid w:val="00300001"/>
    <w:rsid w:val="00300035"/>
    <w:rsid w:val="003004C6"/>
    <w:rsid w:val="00300888"/>
    <w:rsid w:val="00300CDC"/>
    <w:rsid w:val="0030135A"/>
    <w:rsid w:val="003015F6"/>
    <w:rsid w:val="003019B9"/>
    <w:rsid w:val="00301C3B"/>
    <w:rsid w:val="00302707"/>
    <w:rsid w:val="00302CFA"/>
    <w:rsid w:val="00303911"/>
    <w:rsid w:val="003039DD"/>
    <w:rsid w:val="00303E38"/>
    <w:rsid w:val="0030465A"/>
    <w:rsid w:val="00304777"/>
    <w:rsid w:val="00304897"/>
    <w:rsid w:val="00304916"/>
    <w:rsid w:val="00304935"/>
    <w:rsid w:val="00304C93"/>
    <w:rsid w:val="0030500A"/>
    <w:rsid w:val="003058D3"/>
    <w:rsid w:val="003058F6"/>
    <w:rsid w:val="00305B32"/>
    <w:rsid w:val="00305C04"/>
    <w:rsid w:val="003063B9"/>
    <w:rsid w:val="00306C23"/>
    <w:rsid w:val="003071C7"/>
    <w:rsid w:val="0030748F"/>
    <w:rsid w:val="003074C5"/>
    <w:rsid w:val="00307996"/>
    <w:rsid w:val="00307CD3"/>
    <w:rsid w:val="00307F4C"/>
    <w:rsid w:val="003106D0"/>
    <w:rsid w:val="00310A9D"/>
    <w:rsid w:val="00310BA8"/>
    <w:rsid w:val="00310C8E"/>
    <w:rsid w:val="00311160"/>
    <w:rsid w:val="00311974"/>
    <w:rsid w:val="003119E9"/>
    <w:rsid w:val="00311CC8"/>
    <w:rsid w:val="00311D74"/>
    <w:rsid w:val="0031241F"/>
    <w:rsid w:val="00312E07"/>
    <w:rsid w:val="00312FC3"/>
    <w:rsid w:val="0031320C"/>
    <w:rsid w:val="00314A15"/>
    <w:rsid w:val="00314C1E"/>
    <w:rsid w:val="0031532B"/>
    <w:rsid w:val="003161D7"/>
    <w:rsid w:val="003167EA"/>
    <w:rsid w:val="00317184"/>
    <w:rsid w:val="00317485"/>
    <w:rsid w:val="00317C48"/>
    <w:rsid w:val="003202D4"/>
    <w:rsid w:val="00321102"/>
    <w:rsid w:val="003215D8"/>
    <w:rsid w:val="003220C1"/>
    <w:rsid w:val="00322A2F"/>
    <w:rsid w:val="00322A68"/>
    <w:rsid w:val="00322ACD"/>
    <w:rsid w:val="00322BD0"/>
    <w:rsid w:val="00323553"/>
    <w:rsid w:val="00323AB9"/>
    <w:rsid w:val="00323C74"/>
    <w:rsid w:val="00323E61"/>
    <w:rsid w:val="00325052"/>
    <w:rsid w:val="00325E6F"/>
    <w:rsid w:val="00326099"/>
    <w:rsid w:val="00326149"/>
    <w:rsid w:val="003266BB"/>
    <w:rsid w:val="00326BEC"/>
    <w:rsid w:val="00326F1E"/>
    <w:rsid w:val="003279C9"/>
    <w:rsid w:val="00327F53"/>
    <w:rsid w:val="00330587"/>
    <w:rsid w:val="00330F7D"/>
    <w:rsid w:val="00330FBF"/>
    <w:rsid w:val="003312EA"/>
    <w:rsid w:val="0033136A"/>
    <w:rsid w:val="003314DE"/>
    <w:rsid w:val="0033155C"/>
    <w:rsid w:val="00331A3D"/>
    <w:rsid w:val="00331FF7"/>
    <w:rsid w:val="0033297C"/>
    <w:rsid w:val="0033317B"/>
    <w:rsid w:val="003331FA"/>
    <w:rsid w:val="003335C6"/>
    <w:rsid w:val="003339C4"/>
    <w:rsid w:val="00333B81"/>
    <w:rsid w:val="00333DD9"/>
    <w:rsid w:val="00333F43"/>
    <w:rsid w:val="00334A97"/>
    <w:rsid w:val="00334B8D"/>
    <w:rsid w:val="00334DC0"/>
    <w:rsid w:val="0033532C"/>
    <w:rsid w:val="00335706"/>
    <w:rsid w:val="00335A05"/>
    <w:rsid w:val="00335FBB"/>
    <w:rsid w:val="0033615D"/>
    <w:rsid w:val="00336346"/>
    <w:rsid w:val="00336816"/>
    <w:rsid w:val="00336911"/>
    <w:rsid w:val="00336D58"/>
    <w:rsid w:val="00336E5E"/>
    <w:rsid w:val="00337189"/>
    <w:rsid w:val="003372F5"/>
    <w:rsid w:val="00337CD9"/>
    <w:rsid w:val="00337E32"/>
    <w:rsid w:val="00337EC0"/>
    <w:rsid w:val="003401DD"/>
    <w:rsid w:val="003405F4"/>
    <w:rsid w:val="003408BF"/>
    <w:rsid w:val="00340B03"/>
    <w:rsid w:val="00340F50"/>
    <w:rsid w:val="00341322"/>
    <w:rsid w:val="00341EE8"/>
    <w:rsid w:val="00341FF0"/>
    <w:rsid w:val="003425D4"/>
    <w:rsid w:val="003428F9"/>
    <w:rsid w:val="00342AD6"/>
    <w:rsid w:val="00342C62"/>
    <w:rsid w:val="00342E9D"/>
    <w:rsid w:val="00342EF3"/>
    <w:rsid w:val="0034316C"/>
    <w:rsid w:val="0034355F"/>
    <w:rsid w:val="0034408A"/>
    <w:rsid w:val="00344491"/>
    <w:rsid w:val="003445E0"/>
    <w:rsid w:val="00344DDA"/>
    <w:rsid w:val="003453A0"/>
    <w:rsid w:val="0034548A"/>
    <w:rsid w:val="00345A3B"/>
    <w:rsid w:val="00345A76"/>
    <w:rsid w:val="00346621"/>
    <w:rsid w:val="0034675F"/>
    <w:rsid w:val="00346881"/>
    <w:rsid w:val="00346AB8"/>
    <w:rsid w:val="00346DC5"/>
    <w:rsid w:val="00346F1B"/>
    <w:rsid w:val="003471BD"/>
    <w:rsid w:val="00347298"/>
    <w:rsid w:val="0034734E"/>
    <w:rsid w:val="003475E0"/>
    <w:rsid w:val="00347865"/>
    <w:rsid w:val="00347D8A"/>
    <w:rsid w:val="00347FC0"/>
    <w:rsid w:val="00350747"/>
    <w:rsid w:val="00350A24"/>
    <w:rsid w:val="00350F0A"/>
    <w:rsid w:val="00350F6C"/>
    <w:rsid w:val="003517E7"/>
    <w:rsid w:val="00351874"/>
    <w:rsid w:val="003518C1"/>
    <w:rsid w:val="00352DF7"/>
    <w:rsid w:val="00353257"/>
    <w:rsid w:val="00353505"/>
    <w:rsid w:val="0035362E"/>
    <w:rsid w:val="0035508D"/>
    <w:rsid w:val="00355314"/>
    <w:rsid w:val="00355416"/>
    <w:rsid w:val="00355594"/>
    <w:rsid w:val="00356604"/>
    <w:rsid w:val="00356BB3"/>
    <w:rsid w:val="00356E78"/>
    <w:rsid w:val="00357116"/>
    <w:rsid w:val="00357B90"/>
    <w:rsid w:val="003606B5"/>
    <w:rsid w:val="003606F2"/>
    <w:rsid w:val="00360D91"/>
    <w:rsid w:val="0036163D"/>
    <w:rsid w:val="00361655"/>
    <w:rsid w:val="003617AD"/>
    <w:rsid w:val="00361A99"/>
    <w:rsid w:val="00361EB5"/>
    <w:rsid w:val="00363BC2"/>
    <w:rsid w:val="00363F8B"/>
    <w:rsid w:val="0036435F"/>
    <w:rsid w:val="00364689"/>
    <w:rsid w:val="00364AC7"/>
    <w:rsid w:val="003658E4"/>
    <w:rsid w:val="0036600C"/>
    <w:rsid w:val="003663A6"/>
    <w:rsid w:val="00366DDA"/>
    <w:rsid w:val="003670D1"/>
    <w:rsid w:val="00367A95"/>
    <w:rsid w:val="0037067D"/>
    <w:rsid w:val="0037099F"/>
    <w:rsid w:val="003710C1"/>
    <w:rsid w:val="00371195"/>
    <w:rsid w:val="00371A57"/>
    <w:rsid w:val="00372424"/>
    <w:rsid w:val="00372AD4"/>
    <w:rsid w:val="00372E43"/>
    <w:rsid w:val="003730AB"/>
    <w:rsid w:val="00373514"/>
    <w:rsid w:val="003739C1"/>
    <w:rsid w:val="0037401B"/>
    <w:rsid w:val="00374387"/>
    <w:rsid w:val="0037477C"/>
    <w:rsid w:val="0037485F"/>
    <w:rsid w:val="003749AE"/>
    <w:rsid w:val="00374C20"/>
    <w:rsid w:val="003753F1"/>
    <w:rsid w:val="00375427"/>
    <w:rsid w:val="00375953"/>
    <w:rsid w:val="00375B77"/>
    <w:rsid w:val="00375C2E"/>
    <w:rsid w:val="0037607E"/>
    <w:rsid w:val="003764AD"/>
    <w:rsid w:val="003765D4"/>
    <w:rsid w:val="003769EC"/>
    <w:rsid w:val="00376A6E"/>
    <w:rsid w:val="00377083"/>
    <w:rsid w:val="00377C5D"/>
    <w:rsid w:val="00377C8B"/>
    <w:rsid w:val="00377EAB"/>
    <w:rsid w:val="00380631"/>
    <w:rsid w:val="003806F4"/>
    <w:rsid w:val="003807B6"/>
    <w:rsid w:val="00380935"/>
    <w:rsid w:val="003811F1"/>
    <w:rsid w:val="003814A2"/>
    <w:rsid w:val="0038189F"/>
    <w:rsid w:val="00381E9A"/>
    <w:rsid w:val="00383059"/>
    <w:rsid w:val="0038309B"/>
    <w:rsid w:val="00383645"/>
    <w:rsid w:val="00383DC5"/>
    <w:rsid w:val="00383F24"/>
    <w:rsid w:val="003843C7"/>
    <w:rsid w:val="0038498E"/>
    <w:rsid w:val="00384A7D"/>
    <w:rsid w:val="00384D3A"/>
    <w:rsid w:val="00384E81"/>
    <w:rsid w:val="00385EA8"/>
    <w:rsid w:val="00385F5A"/>
    <w:rsid w:val="00386484"/>
    <w:rsid w:val="00386707"/>
    <w:rsid w:val="003868F4"/>
    <w:rsid w:val="00386D8A"/>
    <w:rsid w:val="003875FD"/>
    <w:rsid w:val="003878D0"/>
    <w:rsid w:val="00387970"/>
    <w:rsid w:val="00387A9A"/>
    <w:rsid w:val="00387E42"/>
    <w:rsid w:val="003903EB"/>
    <w:rsid w:val="003905BB"/>
    <w:rsid w:val="00391227"/>
    <w:rsid w:val="003914A9"/>
    <w:rsid w:val="003914FC"/>
    <w:rsid w:val="0039216C"/>
    <w:rsid w:val="003921E9"/>
    <w:rsid w:val="00392445"/>
    <w:rsid w:val="0039248D"/>
    <w:rsid w:val="00392EFC"/>
    <w:rsid w:val="0039302F"/>
    <w:rsid w:val="00393635"/>
    <w:rsid w:val="00393761"/>
    <w:rsid w:val="00393843"/>
    <w:rsid w:val="00393B57"/>
    <w:rsid w:val="00393B8B"/>
    <w:rsid w:val="00393FB1"/>
    <w:rsid w:val="00394BF9"/>
    <w:rsid w:val="00395A6C"/>
    <w:rsid w:val="00395E4D"/>
    <w:rsid w:val="00396180"/>
    <w:rsid w:val="003961C8"/>
    <w:rsid w:val="003961F7"/>
    <w:rsid w:val="00396768"/>
    <w:rsid w:val="003968AC"/>
    <w:rsid w:val="003968B9"/>
    <w:rsid w:val="003969F8"/>
    <w:rsid w:val="00396A9C"/>
    <w:rsid w:val="00396BAE"/>
    <w:rsid w:val="00396CEC"/>
    <w:rsid w:val="0039700F"/>
    <w:rsid w:val="003970AF"/>
    <w:rsid w:val="00397623"/>
    <w:rsid w:val="00397B16"/>
    <w:rsid w:val="00397BBB"/>
    <w:rsid w:val="00397F72"/>
    <w:rsid w:val="003A0024"/>
    <w:rsid w:val="003A0052"/>
    <w:rsid w:val="003A017E"/>
    <w:rsid w:val="003A09FD"/>
    <w:rsid w:val="003A0EF2"/>
    <w:rsid w:val="003A12B1"/>
    <w:rsid w:val="003A33BF"/>
    <w:rsid w:val="003A3437"/>
    <w:rsid w:val="003A372C"/>
    <w:rsid w:val="003A3CE2"/>
    <w:rsid w:val="003A3CFD"/>
    <w:rsid w:val="003A3ED1"/>
    <w:rsid w:val="003A45E3"/>
    <w:rsid w:val="003A4689"/>
    <w:rsid w:val="003A49C4"/>
    <w:rsid w:val="003A4BE2"/>
    <w:rsid w:val="003A4C68"/>
    <w:rsid w:val="003A4F7D"/>
    <w:rsid w:val="003A5008"/>
    <w:rsid w:val="003A5526"/>
    <w:rsid w:val="003A56EB"/>
    <w:rsid w:val="003A5947"/>
    <w:rsid w:val="003A5D40"/>
    <w:rsid w:val="003A5EBA"/>
    <w:rsid w:val="003A6278"/>
    <w:rsid w:val="003A647E"/>
    <w:rsid w:val="003A67B6"/>
    <w:rsid w:val="003A6908"/>
    <w:rsid w:val="003A6E1E"/>
    <w:rsid w:val="003A721B"/>
    <w:rsid w:val="003A743E"/>
    <w:rsid w:val="003A75B2"/>
    <w:rsid w:val="003A7603"/>
    <w:rsid w:val="003A76A6"/>
    <w:rsid w:val="003A7771"/>
    <w:rsid w:val="003A7E7D"/>
    <w:rsid w:val="003B0598"/>
    <w:rsid w:val="003B0BF1"/>
    <w:rsid w:val="003B1221"/>
    <w:rsid w:val="003B14F6"/>
    <w:rsid w:val="003B1D4E"/>
    <w:rsid w:val="003B277E"/>
    <w:rsid w:val="003B2B96"/>
    <w:rsid w:val="003B2CD2"/>
    <w:rsid w:val="003B3174"/>
    <w:rsid w:val="003B32EC"/>
    <w:rsid w:val="003B4C29"/>
    <w:rsid w:val="003B51B1"/>
    <w:rsid w:val="003B51ED"/>
    <w:rsid w:val="003B59E2"/>
    <w:rsid w:val="003B5C52"/>
    <w:rsid w:val="003B6654"/>
    <w:rsid w:val="003B6BC0"/>
    <w:rsid w:val="003B716E"/>
    <w:rsid w:val="003B79B9"/>
    <w:rsid w:val="003B7CA1"/>
    <w:rsid w:val="003C008B"/>
    <w:rsid w:val="003C17B7"/>
    <w:rsid w:val="003C19B8"/>
    <w:rsid w:val="003C1AB9"/>
    <w:rsid w:val="003C1D87"/>
    <w:rsid w:val="003C209C"/>
    <w:rsid w:val="003C22FB"/>
    <w:rsid w:val="003C239B"/>
    <w:rsid w:val="003C2A28"/>
    <w:rsid w:val="003C3A7B"/>
    <w:rsid w:val="003C3F6D"/>
    <w:rsid w:val="003C4576"/>
    <w:rsid w:val="003C4623"/>
    <w:rsid w:val="003C4B9B"/>
    <w:rsid w:val="003C5445"/>
    <w:rsid w:val="003C5531"/>
    <w:rsid w:val="003C5E0D"/>
    <w:rsid w:val="003C5E67"/>
    <w:rsid w:val="003C603B"/>
    <w:rsid w:val="003C6274"/>
    <w:rsid w:val="003C6A12"/>
    <w:rsid w:val="003C6ACD"/>
    <w:rsid w:val="003C7558"/>
    <w:rsid w:val="003C7FD2"/>
    <w:rsid w:val="003C7FF4"/>
    <w:rsid w:val="003D00D1"/>
    <w:rsid w:val="003D0911"/>
    <w:rsid w:val="003D0948"/>
    <w:rsid w:val="003D0A56"/>
    <w:rsid w:val="003D0B62"/>
    <w:rsid w:val="003D1055"/>
    <w:rsid w:val="003D1126"/>
    <w:rsid w:val="003D167D"/>
    <w:rsid w:val="003D17A2"/>
    <w:rsid w:val="003D2054"/>
    <w:rsid w:val="003D29D0"/>
    <w:rsid w:val="003D37B7"/>
    <w:rsid w:val="003D3B25"/>
    <w:rsid w:val="003D3D8F"/>
    <w:rsid w:val="003D4217"/>
    <w:rsid w:val="003D445B"/>
    <w:rsid w:val="003D4D7C"/>
    <w:rsid w:val="003D55A7"/>
    <w:rsid w:val="003D57C8"/>
    <w:rsid w:val="003D5A58"/>
    <w:rsid w:val="003D6367"/>
    <w:rsid w:val="003D6727"/>
    <w:rsid w:val="003D687F"/>
    <w:rsid w:val="003D6A2E"/>
    <w:rsid w:val="003D7466"/>
    <w:rsid w:val="003E046A"/>
    <w:rsid w:val="003E05E0"/>
    <w:rsid w:val="003E07E3"/>
    <w:rsid w:val="003E0AFE"/>
    <w:rsid w:val="003E0EBC"/>
    <w:rsid w:val="003E196D"/>
    <w:rsid w:val="003E1FD5"/>
    <w:rsid w:val="003E222A"/>
    <w:rsid w:val="003E2388"/>
    <w:rsid w:val="003E264B"/>
    <w:rsid w:val="003E3428"/>
    <w:rsid w:val="003E3739"/>
    <w:rsid w:val="003E39DA"/>
    <w:rsid w:val="003E3A1B"/>
    <w:rsid w:val="003E40D6"/>
    <w:rsid w:val="003E480D"/>
    <w:rsid w:val="003E50E0"/>
    <w:rsid w:val="003E5104"/>
    <w:rsid w:val="003E54EC"/>
    <w:rsid w:val="003E5652"/>
    <w:rsid w:val="003E5A24"/>
    <w:rsid w:val="003E5E72"/>
    <w:rsid w:val="003E64DB"/>
    <w:rsid w:val="003E6A2D"/>
    <w:rsid w:val="003E6E81"/>
    <w:rsid w:val="003E76B2"/>
    <w:rsid w:val="003E7B98"/>
    <w:rsid w:val="003E7D3F"/>
    <w:rsid w:val="003E7E75"/>
    <w:rsid w:val="003F002C"/>
    <w:rsid w:val="003F0555"/>
    <w:rsid w:val="003F0587"/>
    <w:rsid w:val="003F05CE"/>
    <w:rsid w:val="003F0886"/>
    <w:rsid w:val="003F0DA4"/>
    <w:rsid w:val="003F115E"/>
    <w:rsid w:val="003F1A19"/>
    <w:rsid w:val="003F1CAF"/>
    <w:rsid w:val="003F2045"/>
    <w:rsid w:val="003F226A"/>
    <w:rsid w:val="003F26F3"/>
    <w:rsid w:val="003F2947"/>
    <w:rsid w:val="003F330D"/>
    <w:rsid w:val="003F34AC"/>
    <w:rsid w:val="003F3BE7"/>
    <w:rsid w:val="003F3CD5"/>
    <w:rsid w:val="003F3D3D"/>
    <w:rsid w:val="003F43EC"/>
    <w:rsid w:val="003F4515"/>
    <w:rsid w:val="003F4608"/>
    <w:rsid w:val="003F4C57"/>
    <w:rsid w:val="003F5102"/>
    <w:rsid w:val="003F57BD"/>
    <w:rsid w:val="003F5CD5"/>
    <w:rsid w:val="003F613F"/>
    <w:rsid w:val="003F6179"/>
    <w:rsid w:val="003F68B9"/>
    <w:rsid w:val="003F6ECE"/>
    <w:rsid w:val="003F7374"/>
    <w:rsid w:val="003F7B60"/>
    <w:rsid w:val="003F7E9D"/>
    <w:rsid w:val="004009DD"/>
    <w:rsid w:val="00400E73"/>
    <w:rsid w:val="00400FB7"/>
    <w:rsid w:val="00400FEE"/>
    <w:rsid w:val="00401663"/>
    <w:rsid w:val="00401769"/>
    <w:rsid w:val="00402109"/>
    <w:rsid w:val="0040274D"/>
    <w:rsid w:val="00402E1F"/>
    <w:rsid w:val="004030C3"/>
    <w:rsid w:val="004039C5"/>
    <w:rsid w:val="00403B1C"/>
    <w:rsid w:val="00403C8C"/>
    <w:rsid w:val="004043E5"/>
    <w:rsid w:val="00404700"/>
    <w:rsid w:val="004048E7"/>
    <w:rsid w:val="004050B4"/>
    <w:rsid w:val="00405181"/>
    <w:rsid w:val="004055E5"/>
    <w:rsid w:val="0040585B"/>
    <w:rsid w:val="00405EA2"/>
    <w:rsid w:val="0040609B"/>
    <w:rsid w:val="004060AA"/>
    <w:rsid w:val="00407078"/>
    <w:rsid w:val="0040794F"/>
    <w:rsid w:val="00407F22"/>
    <w:rsid w:val="00410491"/>
    <w:rsid w:val="00410B4A"/>
    <w:rsid w:val="00410CA6"/>
    <w:rsid w:val="00410F6C"/>
    <w:rsid w:val="0041149A"/>
    <w:rsid w:val="0041183F"/>
    <w:rsid w:val="00411BCE"/>
    <w:rsid w:val="00412249"/>
    <w:rsid w:val="00412352"/>
    <w:rsid w:val="004126FA"/>
    <w:rsid w:val="00412CC5"/>
    <w:rsid w:val="00413A11"/>
    <w:rsid w:val="00413BAB"/>
    <w:rsid w:val="004144C4"/>
    <w:rsid w:val="0041458E"/>
    <w:rsid w:val="00414761"/>
    <w:rsid w:val="00414F42"/>
    <w:rsid w:val="0041542E"/>
    <w:rsid w:val="00415B5E"/>
    <w:rsid w:val="0041686A"/>
    <w:rsid w:val="00416889"/>
    <w:rsid w:val="00416AC8"/>
    <w:rsid w:val="00416CF0"/>
    <w:rsid w:val="004172D1"/>
    <w:rsid w:val="00417B13"/>
    <w:rsid w:val="00420397"/>
    <w:rsid w:val="00420A86"/>
    <w:rsid w:val="00421C65"/>
    <w:rsid w:val="00421D2E"/>
    <w:rsid w:val="00421E24"/>
    <w:rsid w:val="00422388"/>
    <w:rsid w:val="00422F10"/>
    <w:rsid w:val="004240F0"/>
    <w:rsid w:val="00424A6E"/>
    <w:rsid w:val="00425536"/>
    <w:rsid w:val="00425A04"/>
    <w:rsid w:val="00425B1B"/>
    <w:rsid w:val="00425D39"/>
    <w:rsid w:val="00425DB1"/>
    <w:rsid w:val="00430353"/>
    <w:rsid w:val="004304BC"/>
    <w:rsid w:val="00430E44"/>
    <w:rsid w:val="00431254"/>
    <w:rsid w:val="00432067"/>
    <w:rsid w:val="0043296C"/>
    <w:rsid w:val="004333F2"/>
    <w:rsid w:val="004338D1"/>
    <w:rsid w:val="004345FD"/>
    <w:rsid w:val="004346AD"/>
    <w:rsid w:val="004347F1"/>
    <w:rsid w:val="004355A8"/>
    <w:rsid w:val="00435844"/>
    <w:rsid w:val="0043596F"/>
    <w:rsid w:val="00435F63"/>
    <w:rsid w:val="004362CD"/>
    <w:rsid w:val="00436901"/>
    <w:rsid w:val="00436F5E"/>
    <w:rsid w:val="00436FDD"/>
    <w:rsid w:val="004372B0"/>
    <w:rsid w:val="00437602"/>
    <w:rsid w:val="004377C8"/>
    <w:rsid w:val="00437959"/>
    <w:rsid w:val="00437FB5"/>
    <w:rsid w:val="00440157"/>
    <w:rsid w:val="00440751"/>
    <w:rsid w:val="00440C55"/>
    <w:rsid w:val="00440DCB"/>
    <w:rsid w:val="00440DF4"/>
    <w:rsid w:val="0044116C"/>
    <w:rsid w:val="0044128D"/>
    <w:rsid w:val="004413BE"/>
    <w:rsid w:val="00441798"/>
    <w:rsid w:val="0044196B"/>
    <w:rsid w:val="004419A1"/>
    <w:rsid w:val="004422D2"/>
    <w:rsid w:val="004427E1"/>
    <w:rsid w:val="0044303B"/>
    <w:rsid w:val="00443121"/>
    <w:rsid w:val="004431E0"/>
    <w:rsid w:val="00443264"/>
    <w:rsid w:val="00443463"/>
    <w:rsid w:val="00443729"/>
    <w:rsid w:val="004438A4"/>
    <w:rsid w:val="004441C0"/>
    <w:rsid w:val="004448C8"/>
    <w:rsid w:val="00445302"/>
    <w:rsid w:val="004466AB"/>
    <w:rsid w:val="004467A7"/>
    <w:rsid w:val="00446C0D"/>
    <w:rsid w:val="00447167"/>
    <w:rsid w:val="0044719B"/>
    <w:rsid w:val="004472EF"/>
    <w:rsid w:val="00447714"/>
    <w:rsid w:val="0044774A"/>
    <w:rsid w:val="00450B39"/>
    <w:rsid w:val="004513D2"/>
    <w:rsid w:val="00451B2D"/>
    <w:rsid w:val="00451C1A"/>
    <w:rsid w:val="00451C8B"/>
    <w:rsid w:val="00451FCB"/>
    <w:rsid w:val="00451FFD"/>
    <w:rsid w:val="004523CB"/>
    <w:rsid w:val="00452BD0"/>
    <w:rsid w:val="0045472D"/>
    <w:rsid w:val="00454B7C"/>
    <w:rsid w:val="00455650"/>
    <w:rsid w:val="004556DB"/>
    <w:rsid w:val="00455DE5"/>
    <w:rsid w:val="004560ED"/>
    <w:rsid w:val="0045614D"/>
    <w:rsid w:val="004564B3"/>
    <w:rsid w:val="00457685"/>
    <w:rsid w:val="00457794"/>
    <w:rsid w:val="00457CE4"/>
    <w:rsid w:val="00460028"/>
    <w:rsid w:val="0046018D"/>
    <w:rsid w:val="00460714"/>
    <w:rsid w:val="00460A1D"/>
    <w:rsid w:val="00460A25"/>
    <w:rsid w:val="00461232"/>
    <w:rsid w:val="0046128A"/>
    <w:rsid w:val="00461AB9"/>
    <w:rsid w:val="00461B2C"/>
    <w:rsid w:val="00461F23"/>
    <w:rsid w:val="0046237A"/>
    <w:rsid w:val="00462ED3"/>
    <w:rsid w:val="0046328A"/>
    <w:rsid w:val="0046371A"/>
    <w:rsid w:val="00463C7B"/>
    <w:rsid w:val="00463FAC"/>
    <w:rsid w:val="0046413A"/>
    <w:rsid w:val="00464219"/>
    <w:rsid w:val="0046427E"/>
    <w:rsid w:val="0046446F"/>
    <w:rsid w:val="00464965"/>
    <w:rsid w:val="004649EC"/>
    <w:rsid w:val="00464DEB"/>
    <w:rsid w:val="00465385"/>
    <w:rsid w:val="0046557C"/>
    <w:rsid w:val="00465BAB"/>
    <w:rsid w:val="00466053"/>
    <w:rsid w:val="00466106"/>
    <w:rsid w:val="004663A6"/>
    <w:rsid w:val="00466614"/>
    <w:rsid w:val="004667DD"/>
    <w:rsid w:val="00466C60"/>
    <w:rsid w:val="0046728A"/>
    <w:rsid w:val="0046757B"/>
    <w:rsid w:val="0046759E"/>
    <w:rsid w:val="00467970"/>
    <w:rsid w:val="00467F04"/>
    <w:rsid w:val="004700F7"/>
    <w:rsid w:val="004701AF"/>
    <w:rsid w:val="00471078"/>
    <w:rsid w:val="004714BE"/>
    <w:rsid w:val="00471764"/>
    <w:rsid w:val="00471A8D"/>
    <w:rsid w:val="004728ED"/>
    <w:rsid w:val="00474E93"/>
    <w:rsid w:val="00475014"/>
    <w:rsid w:val="004750AC"/>
    <w:rsid w:val="004757AC"/>
    <w:rsid w:val="004761A3"/>
    <w:rsid w:val="00476215"/>
    <w:rsid w:val="004767D3"/>
    <w:rsid w:val="0047692F"/>
    <w:rsid w:val="00476D8F"/>
    <w:rsid w:val="004773A1"/>
    <w:rsid w:val="00477588"/>
    <w:rsid w:val="00477785"/>
    <w:rsid w:val="004777DE"/>
    <w:rsid w:val="00477C7B"/>
    <w:rsid w:val="00477D4C"/>
    <w:rsid w:val="00480281"/>
    <w:rsid w:val="0048056F"/>
    <w:rsid w:val="0048063B"/>
    <w:rsid w:val="004813A4"/>
    <w:rsid w:val="004814D6"/>
    <w:rsid w:val="00481738"/>
    <w:rsid w:val="00481776"/>
    <w:rsid w:val="00481B1F"/>
    <w:rsid w:val="00481B97"/>
    <w:rsid w:val="0048260F"/>
    <w:rsid w:val="00482806"/>
    <w:rsid w:val="00482A8F"/>
    <w:rsid w:val="00482BDB"/>
    <w:rsid w:val="0048304A"/>
    <w:rsid w:val="00483191"/>
    <w:rsid w:val="0048325C"/>
    <w:rsid w:val="0048326F"/>
    <w:rsid w:val="0048329D"/>
    <w:rsid w:val="00483B84"/>
    <w:rsid w:val="00483BD6"/>
    <w:rsid w:val="00483EE4"/>
    <w:rsid w:val="004841DF"/>
    <w:rsid w:val="00484AF2"/>
    <w:rsid w:val="00484D33"/>
    <w:rsid w:val="00484E4F"/>
    <w:rsid w:val="00485492"/>
    <w:rsid w:val="00485598"/>
    <w:rsid w:val="00485A2A"/>
    <w:rsid w:val="00485D93"/>
    <w:rsid w:val="00485E2D"/>
    <w:rsid w:val="004866AD"/>
    <w:rsid w:val="00486825"/>
    <w:rsid w:val="00486906"/>
    <w:rsid w:val="00487790"/>
    <w:rsid w:val="00487EA7"/>
    <w:rsid w:val="00487FD1"/>
    <w:rsid w:val="00490366"/>
    <w:rsid w:val="00490A3D"/>
    <w:rsid w:val="0049192E"/>
    <w:rsid w:val="00491ACE"/>
    <w:rsid w:val="00492DE5"/>
    <w:rsid w:val="00493322"/>
    <w:rsid w:val="00493876"/>
    <w:rsid w:val="00493E12"/>
    <w:rsid w:val="00493E21"/>
    <w:rsid w:val="0049416F"/>
    <w:rsid w:val="00494A1B"/>
    <w:rsid w:val="004952B8"/>
    <w:rsid w:val="004956DF"/>
    <w:rsid w:val="004958DD"/>
    <w:rsid w:val="00495AB8"/>
    <w:rsid w:val="00495ACA"/>
    <w:rsid w:val="00495CD6"/>
    <w:rsid w:val="00495FEE"/>
    <w:rsid w:val="0049628C"/>
    <w:rsid w:val="00496414"/>
    <w:rsid w:val="00496895"/>
    <w:rsid w:val="004968C9"/>
    <w:rsid w:val="004969E1"/>
    <w:rsid w:val="00496BD6"/>
    <w:rsid w:val="00497230"/>
    <w:rsid w:val="00497659"/>
    <w:rsid w:val="00497B2D"/>
    <w:rsid w:val="004A009A"/>
    <w:rsid w:val="004A0CBB"/>
    <w:rsid w:val="004A0DDB"/>
    <w:rsid w:val="004A11B6"/>
    <w:rsid w:val="004A137F"/>
    <w:rsid w:val="004A25E9"/>
    <w:rsid w:val="004A2D19"/>
    <w:rsid w:val="004A3C21"/>
    <w:rsid w:val="004A4489"/>
    <w:rsid w:val="004A4B8C"/>
    <w:rsid w:val="004A521F"/>
    <w:rsid w:val="004A5697"/>
    <w:rsid w:val="004A595D"/>
    <w:rsid w:val="004A5ADA"/>
    <w:rsid w:val="004A5F56"/>
    <w:rsid w:val="004A5F5C"/>
    <w:rsid w:val="004A6A39"/>
    <w:rsid w:val="004A6B6C"/>
    <w:rsid w:val="004A6E2C"/>
    <w:rsid w:val="004A6E74"/>
    <w:rsid w:val="004A738F"/>
    <w:rsid w:val="004A758B"/>
    <w:rsid w:val="004A792E"/>
    <w:rsid w:val="004A7A6C"/>
    <w:rsid w:val="004A7F84"/>
    <w:rsid w:val="004B05B1"/>
    <w:rsid w:val="004B09C7"/>
    <w:rsid w:val="004B2126"/>
    <w:rsid w:val="004B28F7"/>
    <w:rsid w:val="004B29B1"/>
    <w:rsid w:val="004B334C"/>
    <w:rsid w:val="004B34EE"/>
    <w:rsid w:val="004B3CA4"/>
    <w:rsid w:val="004B43A5"/>
    <w:rsid w:val="004B4D3A"/>
    <w:rsid w:val="004B4E43"/>
    <w:rsid w:val="004B5465"/>
    <w:rsid w:val="004B563B"/>
    <w:rsid w:val="004B6281"/>
    <w:rsid w:val="004B6352"/>
    <w:rsid w:val="004B6897"/>
    <w:rsid w:val="004B6A76"/>
    <w:rsid w:val="004B70F6"/>
    <w:rsid w:val="004B73AB"/>
    <w:rsid w:val="004B77A0"/>
    <w:rsid w:val="004B7EBA"/>
    <w:rsid w:val="004C006B"/>
    <w:rsid w:val="004C010B"/>
    <w:rsid w:val="004C06A0"/>
    <w:rsid w:val="004C0C1E"/>
    <w:rsid w:val="004C0D15"/>
    <w:rsid w:val="004C0E5D"/>
    <w:rsid w:val="004C1174"/>
    <w:rsid w:val="004C12F9"/>
    <w:rsid w:val="004C1431"/>
    <w:rsid w:val="004C188B"/>
    <w:rsid w:val="004C1BBB"/>
    <w:rsid w:val="004C1D5E"/>
    <w:rsid w:val="004C1FBC"/>
    <w:rsid w:val="004C20A0"/>
    <w:rsid w:val="004C281D"/>
    <w:rsid w:val="004C2DDA"/>
    <w:rsid w:val="004C3038"/>
    <w:rsid w:val="004C3335"/>
    <w:rsid w:val="004C3A26"/>
    <w:rsid w:val="004C3C31"/>
    <w:rsid w:val="004C41AF"/>
    <w:rsid w:val="004C4438"/>
    <w:rsid w:val="004C4A07"/>
    <w:rsid w:val="004C4AD8"/>
    <w:rsid w:val="004C4E7A"/>
    <w:rsid w:val="004C52A4"/>
    <w:rsid w:val="004C5682"/>
    <w:rsid w:val="004C56A8"/>
    <w:rsid w:val="004C5C3E"/>
    <w:rsid w:val="004C6315"/>
    <w:rsid w:val="004C67AB"/>
    <w:rsid w:val="004C691A"/>
    <w:rsid w:val="004C7632"/>
    <w:rsid w:val="004C7E43"/>
    <w:rsid w:val="004D04D3"/>
    <w:rsid w:val="004D061B"/>
    <w:rsid w:val="004D11C9"/>
    <w:rsid w:val="004D14DF"/>
    <w:rsid w:val="004D1A04"/>
    <w:rsid w:val="004D1E58"/>
    <w:rsid w:val="004D2121"/>
    <w:rsid w:val="004D24A8"/>
    <w:rsid w:val="004D25A7"/>
    <w:rsid w:val="004D260B"/>
    <w:rsid w:val="004D27F8"/>
    <w:rsid w:val="004D2EDF"/>
    <w:rsid w:val="004D2EF7"/>
    <w:rsid w:val="004D31FD"/>
    <w:rsid w:val="004D337C"/>
    <w:rsid w:val="004D374C"/>
    <w:rsid w:val="004D3917"/>
    <w:rsid w:val="004D3B75"/>
    <w:rsid w:val="004D40C4"/>
    <w:rsid w:val="004D414D"/>
    <w:rsid w:val="004D4217"/>
    <w:rsid w:val="004D4710"/>
    <w:rsid w:val="004D48E4"/>
    <w:rsid w:val="004D4CBF"/>
    <w:rsid w:val="004D4D24"/>
    <w:rsid w:val="004D5212"/>
    <w:rsid w:val="004D53C6"/>
    <w:rsid w:val="004D583D"/>
    <w:rsid w:val="004D5ED3"/>
    <w:rsid w:val="004D6B56"/>
    <w:rsid w:val="004D7039"/>
    <w:rsid w:val="004D75BD"/>
    <w:rsid w:val="004D7A8A"/>
    <w:rsid w:val="004E0074"/>
    <w:rsid w:val="004E021F"/>
    <w:rsid w:val="004E02FB"/>
    <w:rsid w:val="004E0549"/>
    <w:rsid w:val="004E110C"/>
    <w:rsid w:val="004E1685"/>
    <w:rsid w:val="004E1CE7"/>
    <w:rsid w:val="004E24B3"/>
    <w:rsid w:val="004E3073"/>
    <w:rsid w:val="004E32A7"/>
    <w:rsid w:val="004E384B"/>
    <w:rsid w:val="004E387A"/>
    <w:rsid w:val="004E398E"/>
    <w:rsid w:val="004E3C1F"/>
    <w:rsid w:val="004E3DF0"/>
    <w:rsid w:val="004E41A7"/>
    <w:rsid w:val="004E4386"/>
    <w:rsid w:val="004E5289"/>
    <w:rsid w:val="004E53A3"/>
    <w:rsid w:val="004E579A"/>
    <w:rsid w:val="004E5877"/>
    <w:rsid w:val="004E5C9E"/>
    <w:rsid w:val="004E5F6B"/>
    <w:rsid w:val="004E5FD9"/>
    <w:rsid w:val="004E62B0"/>
    <w:rsid w:val="004E6383"/>
    <w:rsid w:val="004E683C"/>
    <w:rsid w:val="004E74D3"/>
    <w:rsid w:val="004E75DC"/>
    <w:rsid w:val="004F02A5"/>
    <w:rsid w:val="004F126A"/>
    <w:rsid w:val="004F1563"/>
    <w:rsid w:val="004F160C"/>
    <w:rsid w:val="004F2159"/>
    <w:rsid w:val="004F21FF"/>
    <w:rsid w:val="004F24F1"/>
    <w:rsid w:val="004F25D7"/>
    <w:rsid w:val="004F2987"/>
    <w:rsid w:val="004F2B19"/>
    <w:rsid w:val="004F2EDD"/>
    <w:rsid w:val="004F366A"/>
    <w:rsid w:val="004F3829"/>
    <w:rsid w:val="004F3EC9"/>
    <w:rsid w:val="004F45A7"/>
    <w:rsid w:val="004F45C0"/>
    <w:rsid w:val="004F4A8B"/>
    <w:rsid w:val="004F4B64"/>
    <w:rsid w:val="004F5430"/>
    <w:rsid w:val="004F618F"/>
    <w:rsid w:val="004F6797"/>
    <w:rsid w:val="004F6A36"/>
    <w:rsid w:val="004F7689"/>
    <w:rsid w:val="00500922"/>
    <w:rsid w:val="00500B36"/>
    <w:rsid w:val="00500FCE"/>
    <w:rsid w:val="005010D8"/>
    <w:rsid w:val="0050160B"/>
    <w:rsid w:val="00501864"/>
    <w:rsid w:val="00501D7F"/>
    <w:rsid w:val="00502108"/>
    <w:rsid w:val="00502839"/>
    <w:rsid w:val="005029CF"/>
    <w:rsid w:val="00502C08"/>
    <w:rsid w:val="00502C5C"/>
    <w:rsid w:val="005031F8"/>
    <w:rsid w:val="005054AB"/>
    <w:rsid w:val="00505D24"/>
    <w:rsid w:val="005061BD"/>
    <w:rsid w:val="00506357"/>
    <w:rsid w:val="00506B4A"/>
    <w:rsid w:val="00507249"/>
    <w:rsid w:val="0050769C"/>
    <w:rsid w:val="0050777C"/>
    <w:rsid w:val="00507BF4"/>
    <w:rsid w:val="00507EAD"/>
    <w:rsid w:val="00507F65"/>
    <w:rsid w:val="00510136"/>
    <w:rsid w:val="005101BC"/>
    <w:rsid w:val="005106B2"/>
    <w:rsid w:val="00510A19"/>
    <w:rsid w:val="00510EAF"/>
    <w:rsid w:val="0051107D"/>
    <w:rsid w:val="00511388"/>
    <w:rsid w:val="00511CE8"/>
    <w:rsid w:val="00511E56"/>
    <w:rsid w:val="005122BB"/>
    <w:rsid w:val="00512AE1"/>
    <w:rsid w:val="00512B13"/>
    <w:rsid w:val="00512EBD"/>
    <w:rsid w:val="0051350C"/>
    <w:rsid w:val="00513A5F"/>
    <w:rsid w:val="00513BE8"/>
    <w:rsid w:val="00513FAC"/>
    <w:rsid w:val="0051503F"/>
    <w:rsid w:val="0051508C"/>
    <w:rsid w:val="00515896"/>
    <w:rsid w:val="00515F2A"/>
    <w:rsid w:val="00516397"/>
    <w:rsid w:val="0051720A"/>
    <w:rsid w:val="00517E04"/>
    <w:rsid w:val="00517F09"/>
    <w:rsid w:val="005200AE"/>
    <w:rsid w:val="005206FB"/>
    <w:rsid w:val="00520C23"/>
    <w:rsid w:val="00520DC5"/>
    <w:rsid w:val="00521272"/>
    <w:rsid w:val="005214C7"/>
    <w:rsid w:val="00521524"/>
    <w:rsid w:val="00521543"/>
    <w:rsid w:val="00521F47"/>
    <w:rsid w:val="005220BF"/>
    <w:rsid w:val="005226F0"/>
    <w:rsid w:val="00522BD6"/>
    <w:rsid w:val="005230A2"/>
    <w:rsid w:val="005234A9"/>
    <w:rsid w:val="005234BF"/>
    <w:rsid w:val="00523CEE"/>
    <w:rsid w:val="00524514"/>
    <w:rsid w:val="00524ED9"/>
    <w:rsid w:val="00524FF8"/>
    <w:rsid w:val="005254B6"/>
    <w:rsid w:val="0052580C"/>
    <w:rsid w:val="00525F76"/>
    <w:rsid w:val="005265F6"/>
    <w:rsid w:val="005266C9"/>
    <w:rsid w:val="00526732"/>
    <w:rsid w:val="00526EAB"/>
    <w:rsid w:val="00527F67"/>
    <w:rsid w:val="005303D0"/>
    <w:rsid w:val="00530417"/>
    <w:rsid w:val="005306B0"/>
    <w:rsid w:val="00530921"/>
    <w:rsid w:val="00530EC6"/>
    <w:rsid w:val="0053171F"/>
    <w:rsid w:val="00531CCF"/>
    <w:rsid w:val="0053247F"/>
    <w:rsid w:val="0053371E"/>
    <w:rsid w:val="00533B91"/>
    <w:rsid w:val="00533CBF"/>
    <w:rsid w:val="00533E2B"/>
    <w:rsid w:val="005340CC"/>
    <w:rsid w:val="00534116"/>
    <w:rsid w:val="00534173"/>
    <w:rsid w:val="005342BA"/>
    <w:rsid w:val="0053441E"/>
    <w:rsid w:val="0053463A"/>
    <w:rsid w:val="005346B6"/>
    <w:rsid w:val="00534BA7"/>
    <w:rsid w:val="00534DF2"/>
    <w:rsid w:val="005351B6"/>
    <w:rsid w:val="00535648"/>
    <w:rsid w:val="00535E6F"/>
    <w:rsid w:val="00536502"/>
    <w:rsid w:val="00536AC5"/>
    <w:rsid w:val="00536D89"/>
    <w:rsid w:val="00537548"/>
    <w:rsid w:val="005379F6"/>
    <w:rsid w:val="00537BAA"/>
    <w:rsid w:val="00537BCB"/>
    <w:rsid w:val="005401CA"/>
    <w:rsid w:val="005407A9"/>
    <w:rsid w:val="0054081B"/>
    <w:rsid w:val="0054105B"/>
    <w:rsid w:val="00541143"/>
    <w:rsid w:val="0054164A"/>
    <w:rsid w:val="00542E80"/>
    <w:rsid w:val="00543265"/>
    <w:rsid w:val="005436AB"/>
    <w:rsid w:val="005438B9"/>
    <w:rsid w:val="0054395D"/>
    <w:rsid w:val="00543A54"/>
    <w:rsid w:val="00543CAC"/>
    <w:rsid w:val="00543DAD"/>
    <w:rsid w:val="00543E25"/>
    <w:rsid w:val="00543E78"/>
    <w:rsid w:val="0054469E"/>
    <w:rsid w:val="00544736"/>
    <w:rsid w:val="0054504B"/>
    <w:rsid w:val="005457AC"/>
    <w:rsid w:val="00545BE0"/>
    <w:rsid w:val="00545E6F"/>
    <w:rsid w:val="00546DA2"/>
    <w:rsid w:val="005470B1"/>
    <w:rsid w:val="00547D5A"/>
    <w:rsid w:val="00547ED1"/>
    <w:rsid w:val="005502BB"/>
    <w:rsid w:val="00550429"/>
    <w:rsid w:val="00550524"/>
    <w:rsid w:val="00550E49"/>
    <w:rsid w:val="005510B6"/>
    <w:rsid w:val="0055126B"/>
    <w:rsid w:val="005516C6"/>
    <w:rsid w:val="00551763"/>
    <w:rsid w:val="0055183B"/>
    <w:rsid w:val="00551E22"/>
    <w:rsid w:val="00552530"/>
    <w:rsid w:val="005526E6"/>
    <w:rsid w:val="00552EB6"/>
    <w:rsid w:val="00552ECF"/>
    <w:rsid w:val="00553312"/>
    <w:rsid w:val="00553682"/>
    <w:rsid w:val="00553819"/>
    <w:rsid w:val="005539B5"/>
    <w:rsid w:val="00555113"/>
    <w:rsid w:val="00555704"/>
    <w:rsid w:val="0055664C"/>
    <w:rsid w:val="00556AD3"/>
    <w:rsid w:val="00556ECD"/>
    <w:rsid w:val="0055739C"/>
    <w:rsid w:val="005578B7"/>
    <w:rsid w:val="00557E54"/>
    <w:rsid w:val="00560493"/>
    <w:rsid w:val="00560CDC"/>
    <w:rsid w:val="00560D37"/>
    <w:rsid w:val="00561902"/>
    <w:rsid w:val="005630B8"/>
    <w:rsid w:val="005640F6"/>
    <w:rsid w:val="00564254"/>
    <w:rsid w:val="00564A8F"/>
    <w:rsid w:val="0056577B"/>
    <w:rsid w:val="00565869"/>
    <w:rsid w:val="00566190"/>
    <w:rsid w:val="0056644D"/>
    <w:rsid w:val="00566580"/>
    <w:rsid w:val="0056677A"/>
    <w:rsid w:val="005678AE"/>
    <w:rsid w:val="00567D1F"/>
    <w:rsid w:val="0057019E"/>
    <w:rsid w:val="005702A7"/>
    <w:rsid w:val="0057042B"/>
    <w:rsid w:val="00570AA0"/>
    <w:rsid w:val="00570BFF"/>
    <w:rsid w:val="00570E2C"/>
    <w:rsid w:val="00571559"/>
    <w:rsid w:val="005720EB"/>
    <w:rsid w:val="0057212E"/>
    <w:rsid w:val="00572349"/>
    <w:rsid w:val="00572B86"/>
    <w:rsid w:val="00572BF0"/>
    <w:rsid w:val="00572D3D"/>
    <w:rsid w:val="00572E1D"/>
    <w:rsid w:val="0057303B"/>
    <w:rsid w:val="0057335A"/>
    <w:rsid w:val="0057369F"/>
    <w:rsid w:val="00573B80"/>
    <w:rsid w:val="00573D62"/>
    <w:rsid w:val="00573D6D"/>
    <w:rsid w:val="00573E4A"/>
    <w:rsid w:val="005746A5"/>
    <w:rsid w:val="0057476B"/>
    <w:rsid w:val="005747C5"/>
    <w:rsid w:val="005749D7"/>
    <w:rsid w:val="00574E7A"/>
    <w:rsid w:val="00575359"/>
    <w:rsid w:val="005754FC"/>
    <w:rsid w:val="0057550E"/>
    <w:rsid w:val="00575ECA"/>
    <w:rsid w:val="005765C8"/>
    <w:rsid w:val="00576673"/>
    <w:rsid w:val="00576A7A"/>
    <w:rsid w:val="00576C3B"/>
    <w:rsid w:val="00576E30"/>
    <w:rsid w:val="005770B6"/>
    <w:rsid w:val="00577256"/>
    <w:rsid w:val="0057755A"/>
    <w:rsid w:val="00577A29"/>
    <w:rsid w:val="00580185"/>
    <w:rsid w:val="005801C6"/>
    <w:rsid w:val="0058049F"/>
    <w:rsid w:val="00580843"/>
    <w:rsid w:val="0058085F"/>
    <w:rsid w:val="00580919"/>
    <w:rsid w:val="00580A66"/>
    <w:rsid w:val="00580EA9"/>
    <w:rsid w:val="00580F82"/>
    <w:rsid w:val="00581023"/>
    <w:rsid w:val="005814B3"/>
    <w:rsid w:val="00581777"/>
    <w:rsid w:val="00582158"/>
    <w:rsid w:val="00582411"/>
    <w:rsid w:val="00582960"/>
    <w:rsid w:val="00582A0B"/>
    <w:rsid w:val="00582A93"/>
    <w:rsid w:val="00582CEC"/>
    <w:rsid w:val="00582DFD"/>
    <w:rsid w:val="005837CB"/>
    <w:rsid w:val="0058385C"/>
    <w:rsid w:val="005845CC"/>
    <w:rsid w:val="0058463A"/>
    <w:rsid w:val="005853D4"/>
    <w:rsid w:val="00585A81"/>
    <w:rsid w:val="00585B9E"/>
    <w:rsid w:val="005862F2"/>
    <w:rsid w:val="00586A07"/>
    <w:rsid w:val="005870FD"/>
    <w:rsid w:val="0059040E"/>
    <w:rsid w:val="005905A5"/>
    <w:rsid w:val="00590609"/>
    <w:rsid w:val="005908B6"/>
    <w:rsid w:val="00590934"/>
    <w:rsid w:val="00590AF3"/>
    <w:rsid w:val="00590B59"/>
    <w:rsid w:val="00590CF1"/>
    <w:rsid w:val="00590D41"/>
    <w:rsid w:val="0059135C"/>
    <w:rsid w:val="0059145C"/>
    <w:rsid w:val="00591E5A"/>
    <w:rsid w:val="005920BA"/>
    <w:rsid w:val="005926CE"/>
    <w:rsid w:val="005930EC"/>
    <w:rsid w:val="005933B6"/>
    <w:rsid w:val="0059386B"/>
    <w:rsid w:val="00593DD5"/>
    <w:rsid w:val="00593E8F"/>
    <w:rsid w:val="00593FB8"/>
    <w:rsid w:val="0059413A"/>
    <w:rsid w:val="00594425"/>
    <w:rsid w:val="00594B03"/>
    <w:rsid w:val="00594EA0"/>
    <w:rsid w:val="00595105"/>
    <w:rsid w:val="00595D19"/>
    <w:rsid w:val="00595F58"/>
    <w:rsid w:val="00595FB0"/>
    <w:rsid w:val="00596047"/>
    <w:rsid w:val="005960A6"/>
    <w:rsid w:val="005972ED"/>
    <w:rsid w:val="005975F6"/>
    <w:rsid w:val="00597710"/>
    <w:rsid w:val="00597A85"/>
    <w:rsid w:val="00597CC7"/>
    <w:rsid w:val="005A00D6"/>
    <w:rsid w:val="005A045C"/>
    <w:rsid w:val="005A0974"/>
    <w:rsid w:val="005A0C58"/>
    <w:rsid w:val="005A1646"/>
    <w:rsid w:val="005A17BD"/>
    <w:rsid w:val="005A194F"/>
    <w:rsid w:val="005A1BCA"/>
    <w:rsid w:val="005A1E42"/>
    <w:rsid w:val="005A20FD"/>
    <w:rsid w:val="005A2935"/>
    <w:rsid w:val="005A2BBF"/>
    <w:rsid w:val="005A2BC2"/>
    <w:rsid w:val="005A30A9"/>
    <w:rsid w:val="005A31ED"/>
    <w:rsid w:val="005A3386"/>
    <w:rsid w:val="005A3498"/>
    <w:rsid w:val="005A36B0"/>
    <w:rsid w:val="005A36E9"/>
    <w:rsid w:val="005A425D"/>
    <w:rsid w:val="005A4803"/>
    <w:rsid w:val="005A5100"/>
    <w:rsid w:val="005A514D"/>
    <w:rsid w:val="005A5152"/>
    <w:rsid w:val="005A593E"/>
    <w:rsid w:val="005A5BF2"/>
    <w:rsid w:val="005A6163"/>
    <w:rsid w:val="005A6344"/>
    <w:rsid w:val="005A6618"/>
    <w:rsid w:val="005A684C"/>
    <w:rsid w:val="005A7166"/>
    <w:rsid w:val="005A7269"/>
    <w:rsid w:val="005A7EF9"/>
    <w:rsid w:val="005B07D7"/>
    <w:rsid w:val="005B07E4"/>
    <w:rsid w:val="005B0D67"/>
    <w:rsid w:val="005B130B"/>
    <w:rsid w:val="005B1E58"/>
    <w:rsid w:val="005B235A"/>
    <w:rsid w:val="005B253A"/>
    <w:rsid w:val="005B2836"/>
    <w:rsid w:val="005B2E0C"/>
    <w:rsid w:val="005B2F45"/>
    <w:rsid w:val="005B31F7"/>
    <w:rsid w:val="005B39A0"/>
    <w:rsid w:val="005B3B06"/>
    <w:rsid w:val="005B3DFF"/>
    <w:rsid w:val="005B42AB"/>
    <w:rsid w:val="005B434A"/>
    <w:rsid w:val="005B45E7"/>
    <w:rsid w:val="005B4952"/>
    <w:rsid w:val="005B4C44"/>
    <w:rsid w:val="005B4C7F"/>
    <w:rsid w:val="005B4F47"/>
    <w:rsid w:val="005B63D0"/>
    <w:rsid w:val="005B7742"/>
    <w:rsid w:val="005B7752"/>
    <w:rsid w:val="005B7A64"/>
    <w:rsid w:val="005B7BDE"/>
    <w:rsid w:val="005C0006"/>
    <w:rsid w:val="005C011A"/>
    <w:rsid w:val="005C0743"/>
    <w:rsid w:val="005C0B3B"/>
    <w:rsid w:val="005C0D04"/>
    <w:rsid w:val="005C10D6"/>
    <w:rsid w:val="005C1689"/>
    <w:rsid w:val="005C1ED8"/>
    <w:rsid w:val="005C1F65"/>
    <w:rsid w:val="005C20B2"/>
    <w:rsid w:val="005C21B0"/>
    <w:rsid w:val="005C232A"/>
    <w:rsid w:val="005C2819"/>
    <w:rsid w:val="005C2F6C"/>
    <w:rsid w:val="005C3493"/>
    <w:rsid w:val="005C3785"/>
    <w:rsid w:val="005C3D33"/>
    <w:rsid w:val="005C411B"/>
    <w:rsid w:val="005C421D"/>
    <w:rsid w:val="005C4DAC"/>
    <w:rsid w:val="005C5407"/>
    <w:rsid w:val="005C55B2"/>
    <w:rsid w:val="005C5B04"/>
    <w:rsid w:val="005C5E5F"/>
    <w:rsid w:val="005C736C"/>
    <w:rsid w:val="005C79FD"/>
    <w:rsid w:val="005C7C93"/>
    <w:rsid w:val="005C7D15"/>
    <w:rsid w:val="005D09B8"/>
    <w:rsid w:val="005D12D9"/>
    <w:rsid w:val="005D16D0"/>
    <w:rsid w:val="005D193C"/>
    <w:rsid w:val="005D1E78"/>
    <w:rsid w:val="005D25FC"/>
    <w:rsid w:val="005D2C35"/>
    <w:rsid w:val="005D30BE"/>
    <w:rsid w:val="005D490D"/>
    <w:rsid w:val="005D4996"/>
    <w:rsid w:val="005D4D1F"/>
    <w:rsid w:val="005D54F3"/>
    <w:rsid w:val="005D60A2"/>
    <w:rsid w:val="005D65BA"/>
    <w:rsid w:val="005D6648"/>
    <w:rsid w:val="005D6C65"/>
    <w:rsid w:val="005D700E"/>
    <w:rsid w:val="005D772D"/>
    <w:rsid w:val="005D7BC0"/>
    <w:rsid w:val="005E0021"/>
    <w:rsid w:val="005E0389"/>
    <w:rsid w:val="005E0713"/>
    <w:rsid w:val="005E07EB"/>
    <w:rsid w:val="005E1674"/>
    <w:rsid w:val="005E1CAB"/>
    <w:rsid w:val="005E1DF3"/>
    <w:rsid w:val="005E1E29"/>
    <w:rsid w:val="005E1F96"/>
    <w:rsid w:val="005E2649"/>
    <w:rsid w:val="005E26EB"/>
    <w:rsid w:val="005E27A8"/>
    <w:rsid w:val="005E2BAB"/>
    <w:rsid w:val="005E2C93"/>
    <w:rsid w:val="005E3DFC"/>
    <w:rsid w:val="005E4454"/>
    <w:rsid w:val="005E4F48"/>
    <w:rsid w:val="005E60F9"/>
    <w:rsid w:val="005E62DD"/>
    <w:rsid w:val="005E69E7"/>
    <w:rsid w:val="005E6AEF"/>
    <w:rsid w:val="005E6B35"/>
    <w:rsid w:val="005E6BC7"/>
    <w:rsid w:val="005E7901"/>
    <w:rsid w:val="005E7B9C"/>
    <w:rsid w:val="005E7D5E"/>
    <w:rsid w:val="005F0C47"/>
    <w:rsid w:val="005F10B2"/>
    <w:rsid w:val="005F12D5"/>
    <w:rsid w:val="005F13B7"/>
    <w:rsid w:val="005F1578"/>
    <w:rsid w:val="005F1917"/>
    <w:rsid w:val="005F1EFE"/>
    <w:rsid w:val="005F2125"/>
    <w:rsid w:val="005F26E5"/>
    <w:rsid w:val="005F2ABB"/>
    <w:rsid w:val="005F2EA1"/>
    <w:rsid w:val="005F3C1F"/>
    <w:rsid w:val="005F468A"/>
    <w:rsid w:val="005F47E0"/>
    <w:rsid w:val="005F4F23"/>
    <w:rsid w:val="005F51E0"/>
    <w:rsid w:val="005F5296"/>
    <w:rsid w:val="005F562D"/>
    <w:rsid w:val="005F566F"/>
    <w:rsid w:val="005F57F7"/>
    <w:rsid w:val="005F59B1"/>
    <w:rsid w:val="005F5DB6"/>
    <w:rsid w:val="005F5E8B"/>
    <w:rsid w:val="005F5FA7"/>
    <w:rsid w:val="005F618A"/>
    <w:rsid w:val="005F7452"/>
    <w:rsid w:val="005F7BA2"/>
    <w:rsid w:val="005F7EAF"/>
    <w:rsid w:val="005F7F95"/>
    <w:rsid w:val="006001BF"/>
    <w:rsid w:val="006005C3"/>
    <w:rsid w:val="006008AB"/>
    <w:rsid w:val="006009A4"/>
    <w:rsid w:val="00601353"/>
    <w:rsid w:val="00601A06"/>
    <w:rsid w:val="00601BAA"/>
    <w:rsid w:val="006029A3"/>
    <w:rsid w:val="00602ADA"/>
    <w:rsid w:val="00602C3B"/>
    <w:rsid w:val="00602D67"/>
    <w:rsid w:val="00602FCA"/>
    <w:rsid w:val="006030A7"/>
    <w:rsid w:val="006038B1"/>
    <w:rsid w:val="00603AB5"/>
    <w:rsid w:val="00603B59"/>
    <w:rsid w:val="00603FE2"/>
    <w:rsid w:val="006041DA"/>
    <w:rsid w:val="00604320"/>
    <w:rsid w:val="00604CA0"/>
    <w:rsid w:val="00604E65"/>
    <w:rsid w:val="00605685"/>
    <w:rsid w:val="00605D85"/>
    <w:rsid w:val="0060619B"/>
    <w:rsid w:val="0060636B"/>
    <w:rsid w:val="00606606"/>
    <w:rsid w:val="0060689B"/>
    <w:rsid w:val="00606963"/>
    <w:rsid w:val="00606A20"/>
    <w:rsid w:val="00606B33"/>
    <w:rsid w:val="00606BFD"/>
    <w:rsid w:val="00606D3F"/>
    <w:rsid w:val="00606DF4"/>
    <w:rsid w:val="00606E89"/>
    <w:rsid w:val="00606FCF"/>
    <w:rsid w:val="00607074"/>
    <w:rsid w:val="006071C9"/>
    <w:rsid w:val="0060748D"/>
    <w:rsid w:val="0060770F"/>
    <w:rsid w:val="00607F6F"/>
    <w:rsid w:val="00610170"/>
    <w:rsid w:val="006105AB"/>
    <w:rsid w:val="00610CD0"/>
    <w:rsid w:val="0061151F"/>
    <w:rsid w:val="00611ACD"/>
    <w:rsid w:val="00611EBB"/>
    <w:rsid w:val="00612352"/>
    <w:rsid w:val="00612978"/>
    <w:rsid w:val="00612F1B"/>
    <w:rsid w:val="00613040"/>
    <w:rsid w:val="0061324A"/>
    <w:rsid w:val="006133C6"/>
    <w:rsid w:val="00613581"/>
    <w:rsid w:val="00613C4A"/>
    <w:rsid w:val="006143F6"/>
    <w:rsid w:val="00614B3B"/>
    <w:rsid w:val="00614D81"/>
    <w:rsid w:val="00614E73"/>
    <w:rsid w:val="00614EA4"/>
    <w:rsid w:val="00614EAE"/>
    <w:rsid w:val="00615709"/>
    <w:rsid w:val="00615C78"/>
    <w:rsid w:val="006161FC"/>
    <w:rsid w:val="00616558"/>
    <w:rsid w:val="00616760"/>
    <w:rsid w:val="00616D97"/>
    <w:rsid w:val="00616EC8"/>
    <w:rsid w:val="0061735A"/>
    <w:rsid w:val="006173A6"/>
    <w:rsid w:val="00617801"/>
    <w:rsid w:val="0061784B"/>
    <w:rsid w:val="00617AA2"/>
    <w:rsid w:val="00617EA7"/>
    <w:rsid w:val="006208BD"/>
    <w:rsid w:val="006210F5"/>
    <w:rsid w:val="0062150A"/>
    <w:rsid w:val="00621ABE"/>
    <w:rsid w:val="00621D4A"/>
    <w:rsid w:val="00622386"/>
    <w:rsid w:val="00622573"/>
    <w:rsid w:val="00622AE2"/>
    <w:rsid w:val="00622B9F"/>
    <w:rsid w:val="00622C4F"/>
    <w:rsid w:val="00623327"/>
    <w:rsid w:val="00623A1A"/>
    <w:rsid w:val="0062420F"/>
    <w:rsid w:val="00624233"/>
    <w:rsid w:val="00624327"/>
    <w:rsid w:val="00624502"/>
    <w:rsid w:val="00624B4F"/>
    <w:rsid w:val="006264E5"/>
    <w:rsid w:val="00626849"/>
    <w:rsid w:val="00626FFF"/>
    <w:rsid w:val="006277D4"/>
    <w:rsid w:val="00627CEF"/>
    <w:rsid w:val="00630799"/>
    <w:rsid w:val="006308ED"/>
    <w:rsid w:val="00630AFD"/>
    <w:rsid w:val="00630C50"/>
    <w:rsid w:val="00630DB3"/>
    <w:rsid w:val="00630EA5"/>
    <w:rsid w:val="00630EDB"/>
    <w:rsid w:val="0063182F"/>
    <w:rsid w:val="00631A14"/>
    <w:rsid w:val="006325EA"/>
    <w:rsid w:val="00632BDB"/>
    <w:rsid w:val="00633DFE"/>
    <w:rsid w:val="0063405F"/>
    <w:rsid w:val="00634483"/>
    <w:rsid w:val="0063456F"/>
    <w:rsid w:val="006347B9"/>
    <w:rsid w:val="00635140"/>
    <w:rsid w:val="00635178"/>
    <w:rsid w:val="00635195"/>
    <w:rsid w:val="0063535D"/>
    <w:rsid w:val="006356EB"/>
    <w:rsid w:val="00635733"/>
    <w:rsid w:val="00636024"/>
    <w:rsid w:val="006367D9"/>
    <w:rsid w:val="00636F06"/>
    <w:rsid w:val="006371C5"/>
    <w:rsid w:val="00637529"/>
    <w:rsid w:val="006378FB"/>
    <w:rsid w:val="00637BB7"/>
    <w:rsid w:val="006405C0"/>
    <w:rsid w:val="006409B8"/>
    <w:rsid w:val="0064181F"/>
    <w:rsid w:val="00641BD6"/>
    <w:rsid w:val="00641C9A"/>
    <w:rsid w:val="006423F7"/>
    <w:rsid w:val="00642750"/>
    <w:rsid w:val="006439AB"/>
    <w:rsid w:val="006468F6"/>
    <w:rsid w:val="00646DAD"/>
    <w:rsid w:val="006471BC"/>
    <w:rsid w:val="006474F2"/>
    <w:rsid w:val="006477BE"/>
    <w:rsid w:val="00650FF1"/>
    <w:rsid w:val="00651088"/>
    <w:rsid w:val="006511B2"/>
    <w:rsid w:val="00651392"/>
    <w:rsid w:val="00651ACB"/>
    <w:rsid w:val="006521B9"/>
    <w:rsid w:val="006521E9"/>
    <w:rsid w:val="0065222C"/>
    <w:rsid w:val="0065349C"/>
    <w:rsid w:val="00653B43"/>
    <w:rsid w:val="006546C0"/>
    <w:rsid w:val="00654C77"/>
    <w:rsid w:val="00654D62"/>
    <w:rsid w:val="00655128"/>
    <w:rsid w:val="006558AD"/>
    <w:rsid w:val="00655969"/>
    <w:rsid w:val="00655CA0"/>
    <w:rsid w:val="00655D67"/>
    <w:rsid w:val="00655F49"/>
    <w:rsid w:val="00656C23"/>
    <w:rsid w:val="00657052"/>
    <w:rsid w:val="006572CA"/>
    <w:rsid w:val="00657BCB"/>
    <w:rsid w:val="00657E12"/>
    <w:rsid w:val="0066037D"/>
    <w:rsid w:val="006606A9"/>
    <w:rsid w:val="006607DD"/>
    <w:rsid w:val="00660E64"/>
    <w:rsid w:val="006613B7"/>
    <w:rsid w:val="00661CD2"/>
    <w:rsid w:val="006620FE"/>
    <w:rsid w:val="0066299A"/>
    <w:rsid w:val="0066333B"/>
    <w:rsid w:val="00663B49"/>
    <w:rsid w:val="00663EF5"/>
    <w:rsid w:val="00663FD9"/>
    <w:rsid w:val="00664276"/>
    <w:rsid w:val="0066472A"/>
    <w:rsid w:val="00664DB2"/>
    <w:rsid w:val="00665169"/>
    <w:rsid w:val="00665B2F"/>
    <w:rsid w:val="00665CB5"/>
    <w:rsid w:val="00665EC5"/>
    <w:rsid w:val="0066649E"/>
    <w:rsid w:val="006664A3"/>
    <w:rsid w:val="006666C5"/>
    <w:rsid w:val="006669D6"/>
    <w:rsid w:val="00666BF2"/>
    <w:rsid w:val="00666DD8"/>
    <w:rsid w:val="00666E70"/>
    <w:rsid w:val="00667169"/>
    <w:rsid w:val="00667236"/>
    <w:rsid w:val="00667497"/>
    <w:rsid w:val="00667C75"/>
    <w:rsid w:val="00667C80"/>
    <w:rsid w:val="00667E31"/>
    <w:rsid w:val="00670035"/>
    <w:rsid w:val="00670631"/>
    <w:rsid w:val="00670675"/>
    <w:rsid w:val="006715C2"/>
    <w:rsid w:val="00671DF0"/>
    <w:rsid w:val="00672330"/>
    <w:rsid w:val="0067297C"/>
    <w:rsid w:val="00673DF3"/>
    <w:rsid w:val="00673FF9"/>
    <w:rsid w:val="006740A4"/>
    <w:rsid w:val="00674DC7"/>
    <w:rsid w:val="00674E6B"/>
    <w:rsid w:val="00674F18"/>
    <w:rsid w:val="00675278"/>
    <w:rsid w:val="006753FC"/>
    <w:rsid w:val="006758F5"/>
    <w:rsid w:val="00675989"/>
    <w:rsid w:val="00675B57"/>
    <w:rsid w:val="006766A0"/>
    <w:rsid w:val="006766F8"/>
    <w:rsid w:val="00676994"/>
    <w:rsid w:val="00676C3B"/>
    <w:rsid w:val="00676D99"/>
    <w:rsid w:val="00676DF6"/>
    <w:rsid w:val="006773AA"/>
    <w:rsid w:val="006802FE"/>
    <w:rsid w:val="00680423"/>
    <w:rsid w:val="006806D5"/>
    <w:rsid w:val="006808B3"/>
    <w:rsid w:val="00680CE3"/>
    <w:rsid w:val="0068143E"/>
    <w:rsid w:val="006822E1"/>
    <w:rsid w:val="00682774"/>
    <w:rsid w:val="00682968"/>
    <w:rsid w:val="00682DDA"/>
    <w:rsid w:val="00682E51"/>
    <w:rsid w:val="00683234"/>
    <w:rsid w:val="00683628"/>
    <w:rsid w:val="00684168"/>
    <w:rsid w:val="00684585"/>
    <w:rsid w:val="006845EB"/>
    <w:rsid w:val="006846D9"/>
    <w:rsid w:val="006851C7"/>
    <w:rsid w:val="006857E6"/>
    <w:rsid w:val="00686C9B"/>
    <w:rsid w:val="00686EBF"/>
    <w:rsid w:val="0068732F"/>
    <w:rsid w:val="0068761D"/>
    <w:rsid w:val="00687A05"/>
    <w:rsid w:val="00687BCA"/>
    <w:rsid w:val="0069032C"/>
    <w:rsid w:val="006909F2"/>
    <w:rsid w:val="0069153C"/>
    <w:rsid w:val="00691833"/>
    <w:rsid w:val="00691F8D"/>
    <w:rsid w:val="006920BA"/>
    <w:rsid w:val="00692DF4"/>
    <w:rsid w:val="0069358B"/>
    <w:rsid w:val="00693D8E"/>
    <w:rsid w:val="00694420"/>
    <w:rsid w:val="00694755"/>
    <w:rsid w:val="00694B23"/>
    <w:rsid w:val="00694CF3"/>
    <w:rsid w:val="00695DDF"/>
    <w:rsid w:val="00697164"/>
    <w:rsid w:val="006975CB"/>
    <w:rsid w:val="00697662"/>
    <w:rsid w:val="00697823"/>
    <w:rsid w:val="006A03A9"/>
    <w:rsid w:val="006A1242"/>
    <w:rsid w:val="006A1638"/>
    <w:rsid w:val="006A1BAE"/>
    <w:rsid w:val="006A2119"/>
    <w:rsid w:val="006A24A4"/>
    <w:rsid w:val="006A3790"/>
    <w:rsid w:val="006A3E60"/>
    <w:rsid w:val="006A40F0"/>
    <w:rsid w:val="006A484A"/>
    <w:rsid w:val="006A4D69"/>
    <w:rsid w:val="006A5672"/>
    <w:rsid w:val="006A571C"/>
    <w:rsid w:val="006A5B30"/>
    <w:rsid w:val="006A5BB9"/>
    <w:rsid w:val="006A5D1A"/>
    <w:rsid w:val="006A6951"/>
    <w:rsid w:val="006A69BC"/>
    <w:rsid w:val="006A6FF2"/>
    <w:rsid w:val="006A79B9"/>
    <w:rsid w:val="006A7AFD"/>
    <w:rsid w:val="006B0240"/>
    <w:rsid w:val="006B0305"/>
    <w:rsid w:val="006B06FC"/>
    <w:rsid w:val="006B0993"/>
    <w:rsid w:val="006B0A3B"/>
    <w:rsid w:val="006B1150"/>
    <w:rsid w:val="006B1657"/>
    <w:rsid w:val="006B169D"/>
    <w:rsid w:val="006B170F"/>
    <w:rsid w:val="006B1E4A"/>
    <w:rsid w:val="006B2162"/>
    <w:rsid w:val="006B2C7A"/>
    <w:rsid w:val="006B321B"/>
    <w:rsid w:val="006B33C1"/>
    <w:rsid w:val="006B38FA"/>
    <w:rsid w:val="006B479C"/>
    <w:rsid w:val="006B4B86"/>
    <w:rsid w:val="006B52AD"/>
    <w:rsid w:val="006B5378"/>
    <w:rsid w:val="006B5848"/>
    <w:rsid w:val="006B5881"/>
    <w:rsid w:val="006B61CB"/>
    <w:rsid w:val="006B661C"/>
    <w:rsid w:val="006B6686"/>
    <w:rsid w:val="006B66F3"/>
    <w:rsid w:val="006B72B4"/>
    <w:rsid w:val="006B7384"/>
    <w:rsid w:val="006B7DB3"/>
    <w:rsid w:val="006C0356"/>
    <w:rsid w:val="006C0BFC"/>
    <w:rsid w:val="006C1E5C"/>
    <w:rsid w:val="006C1EDC"/>
    <w:rsid w:val="006C1F8F"/>
    <w:rsid w:val="006C2126"/>
    <w:rsid w:val="006C266B"/>
    <w:rsid w:val="006C2752"/>
    <w:rsid w:val="006C277A"/>
    <w:rsid w:val="006C2944"/>
    <w:rsid w:val="006C3007"/>
    <w:rsid w:val="006C3452"/>
    <w:rsid w:val="006C3D09"/>
    <w:rsid w:val="006C4417"/>
    <w:rsid w:val="006C4F10"/>
    <w:rsid w:val="006C568D"/>
    <w:rsid w:val="006C5CAB"/>
    <w:rsid w:val="006C5CDA"/>
    <w:rsid w:val="006C5D35"/>
    <w:rsid w:val="006C631B"/>
    <w:rsid w:val="006C666D"/>
    <w:rsid w:val="006C66F2"/>
    <w:rsid w:val="006C68C5"/>
    <w:rsid w:val="006C6F33"/>
    <w:rsid w:val="006C72D8"/>
    <w:rsid w:val="006C737F"/>
    <w:rsid w:val="006C75F9"/>
    <w:rsid w:val="006C79B3"/>
    <w:rsid w:val="006C7B12"/>
    <w:rsid w:val="006C7CCD"/>
    <w:rsid w:val="006C7EC8"/>
    <w:rsid w:val="006C7EF1"/>
    <w:rsid w:val="006D001B"/>
    <w:rsid w:val="006D0851"/>
    <w:rsid w:val="006D0D31"/>
    <w:rsid w:val="006D0D52"/>
    <w:rsid w:val="006D107C"/>
    <w:rsid w:val="006D22B0"/>
    <w:rsid w:val="006D238A"/>
    <w:rsid w:val="006D240B"/>
    <w:rsid w:val="006D258F"/>
    <w:rsid w:val="006D2DD8"/>
    <w:rsid w:val="006D36D7"/>
    <w:rsid w:val="006D4290"/>
    <w:rsid w:val="006D4CBF"/>
    <w:rsid w:val="006D5B42"/>
    <w:rsid w:val="006D5EA1"/>
    <w:rsid w:val="006D633F"/>
    <w:rsid w:val="006D682B"/>
    <w:rsid w:val="006D683B"/>
    <w:rsid w:val="006D691C"/>
    <w:rsid w:val="006D6B91"/>
    <w:rsid w:val="006D7410"/>
    <w:rsid w:val="006D7B80"/>
    <w:rsid w:val="006D7C63"/>
    <w:rsid w:val="006D7DBD"/>
    <w:rsid w:val="006D7FD4"/>
    <w:rsid w:val="006E0B48"/>
    <w:rsid w:val="006E1228"/>
    <w:rsid w:val="006E13AD"/>
    <w:rsid w:val="006E1564"/>
    <w:rsid w:val="006E1C96"/>
    <w:rsid w:val="006E25DC"/>
    <w:rsid w:val="006E265A"/>
    <w:rsid w:val="006E26C5"/>
    <w:rsid w:val="006E26D4"/>
    <w:rsid w:val="006E27E5"/>
    <w:rsid w:val="006E2E29"/>
    <w:rsid w:val="006E3925"/>
    <w:rsid w:val="006E3C67"/>
    <w:rsid w:val="006E3F19"/>
    <w:rsid w:val="006E40B3"/>
    <w:rsid w:val="006E4AA1"/>
    <w:rsid w:val="006E52D1"/>
    <w:rsid w:val="006E5A8A"/>
    <w:rsid w:val="006E68C1"/>
    <w:rsid w:val="006E6E24"/>
    <w:rsid w:val="006E7204"/>
    <w:rsid w:val="006E7279"/>
    <w:rsid w:val="006E77DD"/>
    <w:rsid w:val="006F116F"/>
    <w:rsid w:val="006F1502"/>
    <w:rsid w:val="006F1AF7"/>
    <w:rsid w:val="006F2012"/>
    <w:rsid w:val="006F2526"/>
    <w:rsid w:val="006F2802"/>
    <w:rsid w:val="006F284E"/>
    <w:rsid w:val="006F3087"/>
    <w:rsid w:val="006F3C7A"/>
    <w:rsid w:val="006F4012"/>
    <w:rsid w:val="006F433B"/>
    <w:rsid w:val="006F5297"/>
    <w:rsid w:val="006F5932"/>
    <w:rsid w:val="006F5D29"/>
    <w:rsid w:val="006F5FD9"/>
    <w:rsid w:val="006F63D0"/>
    <w:rsid w:val="006F68FD"/>
    <w:rsid w:val="006F6922"/>
    <w:rsid w:val="006F6B0B"/>
    <w:rsid w:val="006F6F18"/>
    <w:rsid w:val="006F72E0"/>
    <w:rsid w:val="006F775B"/>
    <w:rsid w:val="006F7A7F"/>
    <w:rsid w:val="0070032E"/>
    <w:rsid w:val="00700965"/>
    <w:rsid w:val="00700AAE"/>
    <w:rsid w:val="00700E26"/>
    <w:rsid w:val="00701775"/>
    <w:rsid w:val="007029E4"/>
    <w:rsid w:val="00703ED6"/>
    <w:rsid w:val="00704113"/>
    <w:rsid w:val="00704DD5"/>
    <w:rsid w:val="00705581"/>
    <w:rsid w:val="007058CC"/>
    <w:rsid w:val="00705A78"/>
    <w:rsid w:val="0070739B"/>
    <w:rsid w:val="00707725"/>
    <w:rsid w:val="00707881"/>
    <w:rsid w:val="0071021E"/>
    <w:rsid w:val="007105C5"/>
    <w:rsid w:val="00710686"/>
    <w:rsid w:val="00710776"/>
    <w:rsid w:val="00710FBB"/>
    <w:rsid w:val="00711512"/>
    <w:rsid w:val="00711826"/>
    <w:rsid w:val="00711923"/>
    <w:rsid w:val="00711DD6"/>
    <w:rsid w:val="00712649"/>
    <w:rsid w:val="00712728"/>
    <w:rsid w:val="0071425F"/>
    <w:rsid w:val="007148F2"/>
    <w:rsid w:val="00714A7D"/>
    <w:rsid w:val="00714E21"/>
    <w:rsid w:val="00715110"/>
    <w:rsid w:val="00715947"/>
    <w:rsid w:val="00715AD8"/>
    <w:rsid w:val="00715D0A"/>
    <w:rsid w:val="00716734"/>
    <w:rsid w:val="00716737"/>
    <w:rsid w:val="007167E0"/>
    <w:rsid w:val="00716C1C"/>
    <w:rsid w:val="00716C71"/>
    <w:rsid w:val="00716E08"/>
    <w:rsid w:val="00717572"/>
    <w:rsid w:val="00717A43"/>
    <w:rsid w:val="00720B8D"/>
    <w:rsid w:val="00720CAE"/>
    <w:rsid w:val="00720D7C"/>
    <w:rsid w:val="00720E5B"/>
    <w:rsid w:val="0072244F"/>
    <w:rsid w:val="00722A78"/>
    <w:rsid w:val="00723C15"/>
    <w:rsid w:val="00723C60"/>
    <w:rsid w:val="00723E2C"/>
    <w:rsid w:val="00723F68"/>
    <w:rsid w:val="00724237"/>
    <w:rsid w:val="007245CA"/>
    <w:rsid w:val="00724605"/>
    <w:rsid w:val="007248D9"/>
    <w:rsid w:val="00725181"/>
    <w:rsid w:val="007255CD"/>
    <w:rsid w:val="007257E5"/>
    <w:rsid w:val="0072599A"/>
    <w:rsid w:val="00725CD8"/>
    <w:rsid w:val="007263C1"/>
    <w:rsid w:val="007269FC"/>
    <w:rsid w:val="00726EA4"/>
    <w:rsid w:val="00726F01"/>
    <w:rsid w:val="00726FE5"/>
    <w:rsid w:val="007270E7"/>
    <w:rsid w:val="00727F56"/>
    <w:rsid w:val="00730182"/>
    <w:rsid w:val="00730476"/>
    <w:rsid w:val="00730547"/>
    <w:rsid w:val="007309EE"/>
    <w:rsid w:val="00731D27"/>
    <w:rsid w:val="00732B77"/>
    <w:rsid w:val="007340BB"/>
    <w:rsid w:val="007341D9"/>
    <w:rsid w:val="007346DF"/>
    <w:rsid w:val="007348FA"/>
    <w:rsid w:val="00734B36"/>
    <w:rsid w:val="007351C3"/>
    <w:rsid w:val="00735866"/>
    <w:rsid w:val="00735DA9"/>
    <w:rsid w:val="00736319"/>
    <w:rsid w:val="007367E4"/>
    <w:rsid w:val="00736A8B"/>
    <w:rsid w:val="007378A7"/>
    <w:rsid w:val="007400BF"/>
    <w:rsid w:val="00740561"/>
    <w:rsid w:val="00740ADF"/>
    <w:rsid w:val="00740AF6"/>
    <w:rsid w:val="007410C8"/>
    <w:rsid w:val="00741C54"/>
    <w:rsid w:val="00742545"/>
    <w:rsid w:val="007428DE"/>
    <w:rsid w:val="007430F0"/>
    <w:rsid w:val="00743FC7"/>
    <w:rsid w:val="007441BD"/>
    <w:rsid w:val="00744C45"/>
    <w:rsid w:val="00745BA6"/>
    <w:rsid w:val="007466ED"/>
    <w:rsid w:val="00746F90"/>
    <w:rsid w:val="00746F92"/>
    <w:rsid w:val="00747269"/>
    <w:rsid w:val="0074751D"/>
    <w:rsid w:val="00747E72"/>
    <w:rsid w:val="00747EB8"/>
    <w:rsid w:val="0075036F"/>
    <w:rsid w:val="007508CC"/>
    <w:rsid w:val="00750CDD"/>
    <w:rsid w:val="00750F90"/>
    <w:rsid w:val="007515C1"/>
    <w:rsid w:val="00751618"/>
    <w:rsid w:val="00751633"/>
    <w:rsid w:val="00751B10"/>
    <w:rsid w:val="00752010"/>
    <w:rsid w:val="0075219F"/>
    <w:rsid w:val="007521A7"/>
    <w:rsid w:val="007522B9"/>
    <w:rsid w:val="00752679"/>
    <w:rsid w:val="007530BA"/>
    <w:rsid w:val="0075405C"/>
    <w:rsid w:val="00754217"/>
    <w:rsid w:val="00754547"/>
    <w:rsid w:val="00754A16"/>
    <w:rsid w:val="00754B37"/>
    <w:rsid w:val="00754E2D"/>
    <w:rsid w:val="00754F2A"/>
    <w:rsid w:val="00755939"/>
    <w:rsid w:val="00755C9B"/>
    <w:rsid w:val="0075658E"/>
    <w:rsid w:val="00756C7D"/>
    <w:rsid w:val="00756EC7"/>
    <w:rsid w:val="007570CB"/>
    <w:rsid w:val="00757222"/>
    <w:rsid w:val="00757252"/>
    <w:rsid w:val="0075729E"/>
    <w:rsid w:val="007572C3"/>
    <w:rsid w:val="007578FC"/>
    <w:rsid w:val="0076006B"/>
    <w:rsid w:val="00760096"/>
    <w:rsid w:val="00760459"/>
    <w:rsid w:val="007607EE"/>
    <w:rsid w:val="00760C12"/>
    <w:rsid w:val="00760C86"/>
    <w:rsid w:val="00760CA6"/>
    <w:rsid w:val="00761224"/>
    <w:rsid w:val="0076188E"/>
    <w:rsid w:val="007618A9"/>
    <w:rsid w:val="00761925"/>
    <w:rsid w:val="00761A43"/>
    <w:rsid w:val="00761F68"/>
    <w:rsid w:val="007620D0"/>
    <w:rsid w:val="00762526"/>
    <w:rsid w:val="007626A3"/>
    <w:rsid w:val="00762A38"/>
    <w:rsid w:val="00762DF8"/>
    <w:rsid w:val="00762EAA"/>
    <w:rsid w:val="00762F79"/>
    <w:rsid w:val="00763435"/>
    <w:rsid w:val="00763598"/>
    <w:rsid w:val="0076385F"/>
    <w:rsid w:val="00763FCC"/>
    <w:rsid w:val="00764215"/>
    <w:rsid w:val="00764285"/>
    <w:rsid w:val="007643CB"/>
    <w:rsid w:val="00764D86"/>
    <w:rsid w:val="0076552D"/>
    <w:rsid w:val="0076580F"/>
    <w:rsid w:val="00765849"/>
    <w:rsid w:val="00765851"/>
    <w:rsid w:val="00765E9B"/>
    <w:rsid w:val="007666A3"/>
    <w:rsid w:val="0076764A"/>
    <w:rsid w:val="00767884"/>
    <w:rsid w:val="00767C79"/>
    <w:rsid w:val="0077091E"/>
    <w:rsid w:val="00770959"/>
    <w:rsid w:val="00770ABD"/>
    <w:rsid w:val="00770C94"/>
    <w:rsid w:val="00770FFF"/>
    <w:rsid w:val="00771460"/>
    <w:rsid w:val="007715B5"/>
    <w:rsid w:val="00771D8A"/>
    <w:rsid w:val="00771EBE"/>
    <w:rsid w:val="00772456"/>
    <w:rsid w:val="00772DD9"/>
    <w:rsid w:val="00773129"/>
    <w:rsid w:val="007736EA"/>
    <w:rsid w:val="00773E41"/>
    <w:rsid w:val="0077418D"/>
    <w:rsid w:val="0077428E"/>
    <w:rsid w:val="00774594"/>
    <w:rsid w:val="00775143"/>
    <w:rsid w:val="007756AC"/>
    <w:rsid w:val="00775CC6"/>
    <w:rsid w:val="00775CF9"/>
    <w:rsid w:val="00776020"/>
    <w:rsid w:val="00776548"/>
    <w:rsid w:val="00776594"/>
    <w:rsid w:val="007768B2"/>
    <w:rsid w:val="00776947"/>
    <w:rsid w:val="00776D49"/>
    <w:rsid w:val="00776DD6"/>
    <w:rsid w:val="00776DF9"/>
    <w:rsid w:val="00776E64"/>
    <w:rsid w:val="00777477"/>
    <w:rsid w:val="0077755B"/>
    <w:rsid w:val="00777A53"/>
    <w:rsid w:val="00780210"/>
    <w:rsid w:val="007803C1"/>
    <w:rsid w:val="00780488"/>
    <w:rsid w:val="00780766"/>
    <w:rsid w:val="00780C80"/>
    <w:rsid w:val="0078168A"/>
    <w:rsid w:val="007821DC"/>
    <w:rsid w:val="00783BEE"/>
    <w:rsid w:val="007846DA"/>
    <w:rsid w:val="007851E0"/>
    <w:rsid w:val="00785881"/>
    <w:rsid w:val="00785A43"/>
    <w:rsid w:val="00785E32"/>
    <w:rsid w:val="007861F0"/>
    <w:rsid w:val="0078681E"/>
    <w:rsid w:val="00786F91"/>
    <w:rsid w:val="00787016"/>
    <w:rsid w:val="007875B2"/>
    <w:rsid w:val="0078770C"/>
    <w:rsid w:val="0078790C"/>
    <w:rsid w:val="00787961"/>
    <w:rsid w:val="00790A17"/>
    <w:rsid w:val="0079105B"/>
    <w:rsid w:val="00791957"/>
    <w:rsid w:val="0079198D"/>
    <w:rsid w:val="00791BC6"/>
    <w:rsid w:val="00791C82"/>
    <w:rsid w:val="00791E58"/>
    <w:rsid w:val="00791F12"/>
    <w:rsid w:val="00792AD6"/>
    <w:rsid w:val="007930CA"/>
    <w:rsid w:val="00793B66"/>
    <w:rsid w:val="00793F61"/>
    <w:rsid w:val="0079433D"/>
    <w:rsid w:val="00794CE6"/>
    <w:rsid w:val="00794D68"/>
    <w:rsid w:val="00795099"/>
    <w:rsid w:val="007950FC"/>
    <w:rsid w:val="007954D7"/>
    <w:rsid w:val="007958E3"/>
    <w:rsid w:val="00795D6B"/>
    <w:rsid w:val="00795D98"/>
    <w:rsid w:val="00795E88"/>
    <w:rsid w:val="00795F18"/>
    <w:rsid w:val="0079603A"/>
    <w:rsid w:val="007965C9"/>
    <w:rsid w:val="007966CB"/>
    <w:rsid w:val="00796A7D"/>
    <w:rsid w:val="007970C6"/>
    <w:rsid w:val="007970E4"/>
    <w:rsid w:val="00797760"/>
    <w:rsid w:val="0079786E"/>
    <w:rsid w:val="00797CA9"/>
    <w:rsid w:val="007A0A89"/>
    <w:rsid w:val="007A0A98"/>
    <w:rsid w:val="007A1915"/>
    <w:rsid w:val="007A1B30"/>
    <w:rsid w:val="007A208D"/>
    <w:rsid w:val="007A34D1"/>
    <w:rsid w:val="007A3654"/>
    <w:rsid w:val="007A4AEE"/>
    <w:rsid w:val="007A4F1A"/>
    <w:rsid w:val="007A54E2"/>
    <w:rsid w:val="007A5F23"/>
    <w:rsid w:val="007A5F24"/>
    <w:rsid w:val="007A6248"/>
    <w:rsid w:val="007A6307"/>
    <w:rsid w:val="007A65A0"/>
    <w:rsid w:val="007A68D2"/>
    <w:rsid w:val="007A6DEA"/>
    <w:rsid w:val="007A7803"/>
    <w:rsid w:val="007A7ADB"/>
    <w:rsid w:val="007A7C08"/>
    <w:rsid w:val="007A7EA0"/>
    <w:rsid w:val="007B00E4"/>
    <w:rsid w:val="007B0203"/>
    <w:rsid w:val="007B0253"/>
    <w:rsid w:val="007B0C42"/>
    <w:rsid w:val="007B0D05"/>
    <w:rsid w:val="007B1059"/>
    <w:rsid w:val="007B1328"/>
    <w:rsid w:val="007B1330"/>
    <w:rsid w:val="007B23F1"/>
    <w:rsid w:val="007B24DB"/>
    <w:rsid w:val="007B2992"/>
    <w:rsid w:val="007B2D25"/>
    <w:rsid w:val="007B37DA"/>
    <w:rsid w:val="007B389F"/>
    <w:rsid w:val="007B3A57"/>
    <w:rsid w:val="007B4376"/>
    <w:rsid w:val="007B4774"/>
    <w:rsid w:val="007B4B96"/>
    <w:rsid w:val="007B51FA"/>
    <w:rsid w:val="007B5C74"/>
    <w:rsid w:val="007B5F87"/>
    <w:rsid w:val="007B60E8"/>
    <w:rsid w:val="007B626B"/>
    <w:rsid w:val="007B6642"/>
    <w:rsid w:val="007B7188"/>
    <w:rsid w:val="007B7889"/>
    <w:rsid w:val="007B796F"/>
    <w:rsid w:val="007B7DC2"/>
    <w:rsid w:val="007B7DFE"/>
    <w:rsid w:val="007C000E"/>
    <w:rsid w:val="007C01CA"/>
    <w:rsid w:val="007C0290"/>
    <w:rsid w:val="007C044B"/>
    <w:rsid w:val="007C0609"/>
    <w:rsid w:val="007C0A28"/>
    <w:rsid w:val="007C0FE4"/>
    <w:rsid w:val="007C1417"/>
    <w:rsid w:val="007C1BC8"/>
    <w:rsid w:val="007C1CF5"/>
    <w:rsid w:val="007C1F46"/>
    <w:rsid w:val="007C2432"/>
    <w:rsid w:val="007C2684"/>
    <w:rsid w:val="007C292D"/>
    <w:rsid w:val="007C2983"/>
    <w:rsid w:val="007C29D6"/>
    <w:rsid w:val="007C2A98"/>
    <w:rsid w:val="007C3349"/>
    <w:rsid w:val="007C34E7"/>
    <w:rsid w:val="007C4AB5"/>
    <w:rsid w:val="007C4D9C"/>
    <w:rsid w:val="007C4F15"/>
    <w:rsid w:val="007C5976"/>
    <w:rsid w:val="007C5F14"/>
    <w:rsid w:val="007C6B85"/>
    <w:rsid w:val="007C719E"/>
    <w:rsid w:val="007C74A3"/>
    <w:rsid w:val="007C76C8"/>
    <w:rsid w:val="007D019A"/>
    <w:rsid w:val="007D02FB"/>
    <w:rsid w:val="007D0596"/>
    <w:rsid w:val="007D0938"/>
    <w:rsid w:val="007D0EF1"/>
    <w:rsid w:val="007D13BF"/>
    <w:rsid w:val="007D2CB7"/>
    <w:rsid w:val="007D2CF7"/>
    <w:rsid w:val="007D2E79"/>
    <w:rsid w:val="007D2F9A"/>
    <w:rsid w:val="007D41EC"/>
    <w:rsid w:val="007D436B"/>
    <w:rsid w:val="007D4BCC"/>
    <w:rsid w:val="007D4C52"/>
    <w:rsid w:val="007D5209"/>
    <w:rsid w:val="007D5483"/>
    <w:rsid w:val="007D558C"/>
    <w:rsid w:val="007D58B6"/>
    <w:rsid w:val="007D6131"/>
    <w:rsid w:val="007D655A"/>
    <w:rsid w:val="007D6C4C"/>
    <w:rsid w:val="007D6F3E"/>
    <w:rsid w:val="007D7487"/>
    <w:rsid w:val="007D763D"/>
    <w:rsid w:val="007D77A6"/>
    <w:rsid w:val="007D7A51"/>
    <w:rsid w:val="007D7FF2"/>
    <w:rsid w:val="007E005A"/>
    <w:rsid w:val="007E0173"/>
    <w:rsid w:val="007E0342"/>
    <w:rsid w:val="007E08CA"/>
    <w:rsid w:val="007E0A50"/>
    <w:rsid w:val="007E0EB4"/>
    <w:rsid w:val="007E173C"/>
    <w:rsid w:val="007E1A2E"/>
    <w:rsid w:val="007E1B48"/>
    <w:rsid w:val="007E2425"/>
    <w:rsid w:val="007E2937"/>
    <w:rsid w:val="007E2C3F"/>
    <w:rsid w:val="007E2FB9"/>
    <w:rsid w:val="007E34F1"/>
    <w:rsid w:val="007E37A5"/>
    <w:rsid w:val="007E393D"/>
    <w:rsid w:val="007E3F15"/>
    <w:rsid w:val="007E467F"/>
    <w:rsid w:val="007E4B1E"/>
    <w:rsid w:val="007E4B76"/>
    <w:rsid w:val="007E4D4A"/>
    <w:rsid w:val="007E552C"/>
    <w:rsid w:val="007E55CA"/>
    <w:rsid w:val="007E5688"/>
    <w:rsid w:val="007E56CC"/>
    <w:rsid w:val="007E58CB"/>
    <w:rsid w:val="007E633D"/>
    <w:rsid w:val="007E662F"/>
    <w:rsid w:val="007E72ED"/>
    <w:rsid w:val="007F0518"/>
    <w:rsid w:val="007F0858"/>
    <w:rsid w:val="007F0CCB"/>
    <w:rsid w:val="007F0F01"/>
    <w:rsid w:val="007F121F"/>
    <w:rsid w:val="007F141C"/>
    <w:rsid w:val="007F1621"/>
    <w:rsid w:val="007F1AD3"/>
    <w:rsid w:val="007F1B42"/>
    <w:rsid w:val="007F1F1D"/>
    <w:rsid w:val="007F3038"/>
    <w:rsid w:val="007F3195"/>
    <w:rsid w:val="007F341A"/>
    <w:rsid w:val="007F3466"/>
    <w:rsid w:val="007F3C8B"/>
    <w:rsid w:val="007F3EC1"/>
    <w:rsid w:val="007F4089"/>
    <w:rsid w:val="007F4713"/>
    <w:rsid w:val="007F4729"/>
    <w:rsid w:val="007F476D"/>
    <w:rsid w:val="007F48B0"/>
    <w:rsid w:val="007F5262"/>
    <w:rsid w:val="007F589F"/>
    <w:rsid w:val="007F5A41"/>
    <w:rsid w:val="007F5A43"/>
    <w:rsid w:val="007F5F10"/>
    <w:rsid w:val="007F6454"/>
    <w:rsid w:val="007F65BC"/>
    <w:rsid w:val="007F6849"/>
    <w:rsid w:val="007F692C"/>
    <w:rsid w:val="007F6B0D"/>
    <w:rsid w:val="007F7047"/>
    <w:rsid w:val="007F7198"/>
    <w:rsid w:val="007F7568"/>
    <w:rsid w:val="007F7725"/>
    <w:rsid w:val="007F7AA3"/>
    <w:rsid w:val="007F7DE1"/>
    <w:rsid w:val="008001DA"/>
    <w:rsid w:val="00800239"/>
    <w:rsid w:val="008007A8"/>
    <w:rsid w:val="00800C9A"/>
    <w:rsid w:val="00801517"/>
    <w:rsid w:val="00801955"/>
    <w:rsid w:val="008025DF"/>
    <w:rsid w:val="00802A13"/>
    <w:rsid w:val="00802D81"/>
    <w:rsid w:val="00802FAD"/>
    <w:rsid w:val="0080306B"/>
    <w:rsid w:val="00803233"/>
    <w:rsid w:val="00803726"/>
    <w:rsid w:val="008038F7"/>
    <w:rsid w:val="00803B6B"/>
    <w:rsid w:val="00803BDC"/>
    <w:rsid w:val="008042F9"/>
    <w:rsid w:val="00804A92"/>
    <w:rsid w:val="00804B66"/>
    <w:rsid w:val="00804DFB"/>
    <w:rsid w:val="00804E18"/>
    <w:rsid w:val="00805F56"/>
    <w:rsid w:val="00806D7A"/>
    <w:rsid w:val="0080714B"/>
    <w:rsid w:val="00807C0B"/>
    <w:rsid w:val="00807C51"/>
    <w:rsid w:val="00807CCE"/>
    <w:rsid w:val="00810765"/>
    <w:rsid w:val="0081128B"/>
    <w:rsid w:val="0081175D"/>
    <w:rsid w:val="00811D17"/>
    <w:rsid w:val="00811DEF"/>
    <w:rsid w:val="00812024"/>
    <w:rsid w:val="00812215"/>
    <w:rsid w:val="00812375"/>
    <w:rsid w:val="008125CF"/>
    <w:rsid w:val="008126A9"/>
    <w:rsid w:val="00812774"/>
    <w:rsid w:val="008127EA"/>
    <w:rsid w:val="00812819"/>
    <w:rsid w:val="00813875"/>
    <w:rsid w:val="00813FCE"/>
    <w:rsid w:val="008144BE"/>
    <w:rsid w:val="00814587"/>
    <w:rsid w:val="00815129"/>
    <w:rsid w:val="0081562A"/>
    <w:rsid w:val="0081594A"/>
    <w:rsid w:val="008165B5"/>
    <w:rsid w:val="008166B6"/>
    <w:rsid w:val="00816F9B"/>
    <w:rsid w:val="008176EC"/>
    <w:rsid w:val="00817747"/>
    <w:rsid w:val="00817A65"/>
    <w:rsid w:val="00817AB8"/>
    <w:rsid w:val="00817E9D"/>
    <w:rsid w:val="00817F0B"/>
    <w:rsid w:val="00820818"/>
    <w:rsid w:val="008208A5"/>
    <w:rsid w:val="00820B32"/>
    <w:rsid w:val="00820D6E"/>
    <w:rsid w:val="008211D9"/>
    <w:rsid w:val="008217F7"/>
    <w:rsid w:val="00822286"/>
    <w:rsid w:val="00822800"/>
    <w:rsid w:val="00823784"/>
    <w:rsid w:val="00823910"/>
    <w:rsid w:val="00823A5E"/>
    <w:rsid w:val="00823C53"/>
    <w:rsid w:val="00823CC1"/>
    <w:rsid w:val="00825196"/>
    <w:rsid w:val="008254F1"/>
    <w:rsid w:val="00825C8E"/>
    <w:rsid w:val="00825C90"/>
    <w:rsid w:val="00825E5C"/>
    <w:rsid w:val="0082678D"/>
    <w:rsid w:val="00826AF1"/>
    <w:rsid w:val="00826C73"/>
    <w:rsid w:val="00827459"/>
    <w:rsid w:val="00827AF3"/>
    <w:rsid w:val="00830BCF"/>
    <w:rsid w:val="008314FD"/>
    <w:rsid w:val="00831531"/>
    <w:rsid w:val="00831916"/>
    <w:rsid w:val="00831F31"/>
    <w:rsid w:val="00831FDE"/>
    <w:rsid w:val="00832971"/>
    <w:rsid w:val="008329E1"/>
    <w:rsid w:val="00832A3F"/>
    <w:rsid w:val="00832ED5"/>
    <w:rsid w:val="00833057"/>
    <w:rsid w:val="00833393"/>
    <w:rsid w:val="008336C4"/>
    <w:rsid w:val="00833BA3"/>
    <w:rsid w:val="00833DB9"/>
    <w:rsid w:val="008341AD"/>
    <w:rsid w:val="0083431B"/>
    <w:rsid w:val="00834631"/>
    <w:rsid w:val="00834FD3"/>
    <w:rsid w:val="0083525F"/>
    <w:rsid w:val="00835D66"/>
    <w:rsid w:val="00835F0F"/>
    <w:rsid w:val="00835F92"/>
    <w:rsid w:val="0083630E"/>
    <w:rsid w:val="00836777"/>
    <w:rsid w:val="00837194"/>
    <w:rsid w:val="0084031D"/>
    <w:rsid w:val="00840342"/>
    <w:rsid w:val="0084085E"/>
    <w:rsid w:val="008408E0"/>
    <w:rsid w:val="00840F04"/>
    <w:rsid w:val="008416EA"/>
    <w:rsid w:val="008417E0"/>
    <w:rsid w:val="00841852"/>
    <w:rsid w:val="00841DA6"/>
    <w:rsid w:val="008426A8"/>
    <w:rsid w:val="00842AEA"/>
    <w:rsid w:val="00842B23"/>
    <w:rsid w:val="00842BBA"/>
    <w:rsid w:val="00842CAD"/>
    <w:rsid w:val="00842F5C"/>
    <w:rsid w:val="00842F6A"/>
    <w:rsid w:val="0084300C"/>
    <w:rsid w:val="00843484"/>
    <w:rsid w:val="008439D5"/>
    <w:rsid w:val="00843A2F"/>
    <w:rsid w:val="00843EED"/>
    <w:rsid w:val="008441CD"/>
    <w:rsid w:val="00844735"/>
    <w:rsid w:val="00844C23"/>
    <w:rsid w:val="00844F14"/>
    <w:rsid w:val="00844F4F"/>
    <w:rsid w:val="00845715"/>
    <w:rsid w:val="00845734"/>
    <w:rsid w:val="008460C6"/>
    <w:rsid w:val="008462C3"/>
    <w:rsid w:val="00846FCB"/>
    <w:rsid w:val="0084739A"/>
    <w:rsid w:val="00850082"/>
    <w:rsid w:val="008505CE"/>
    <w:rsid w:val="00850B23"/>
    <w:rsid w:val="00850D0E"/>
    <w:rsid w:val="00850DA9"/>
    <w:rsid w:val="0085123A"/>
    <w:rsid w:val="008513E6"/>
    <w:rsid w:val="00851DB9"/>
    <w:rsid w:val="00852624"/>
    <w:rsid w:val="0085285E"/>
    <w:rsid w:val="0085327E"/>
    <w:rsid w:val="00853403"/>
    <w:rsid w:val="00853559"/>
    <w:rsid w:val="00853EA8"/>
    <w:rsid w:val="00854903"/>
    <w:rsid w:val="00854CEA"/>
    <w:rsid w:val="00854DD9"/>
    <w:rsid w:val="008552DE"/>
    <w:rsid w:val="0085585E"/>
    <w:rsid w:val="008562F8"/>
    <w:rsid w:val="0085640B"/>
    <w:rsid w:val="008576A2"/>
    <w:rsid w:val="008576E7"/>
    <w:rsid w:val="00857EBC"/>
    <w:rsid w:val="0086009A"/>
    <w:rsid w:val="008604D9"/>
    <w:rsid w:val="0086181D"/>
    <w:rsid w:val="00861A06"/>
    <w:rsid w:val="00861A1F"/>
    <w:rsid w:val="00861B0D"/>
    <w:rsid w:val="008621F7"/>
    <w:rsid w:val="00862DDC"/>
    <w:rsid w:val="00862EC6"/>
    <w:rsid w:val="00862F66"/>
    <w:rsid w:val="00864539"/>
    <w:rsid w:val="00864604"/>
    <w:rsid w:val="0086460A"/>
    <w:rsid w:val="00864DCE"/>
    <w:rsid w:val="008650F8"/>
    <w:rsid w:val="00865A32"/>
    <w:rsid w:val="00865AA5"/>
    <w:rsid w:val="00865B58"/>
    <w:rsid w:val="00865C86"/>
    <w:rsid w:val="00865F09"/>
    <w:rsid w:val="00866299"/>
    <w:rsid w:val="00867C4F"/>
    <w:rsid w:val="008708A3"/>
    <w:rsid w:val="008708F0"/>
    <w:rsid w:val="0087146F"/>
    <w:rsid w:val="0087152E"/>
    <w:rsid w:val="00871A70"/>
    <w:rsid w:val="0087212D"/>
    <w:rsid w:val="00872145"/>
    <w:rsid w:val="0087217C"/>
    <w:rsid w:val="0087225C"/>
    <w:rsid w:val="00872471"/>
    <w:rsid w:val="008729D5"/>
    <w:rsid w:val="008729E5"/>
    <w:rsid w:val="00872AFC"/>
    <w:rsid w:val="00873314"/>
    <w:rsid w:val="00873444"/>
    <w:rsid w:val="00873774"/>
    <w:rsid w:val="00874139"/>
    <w:rsid w:val="00874147"/>
    <w:rsid w:val="008744EF"/>
    <w:rsid w:val="00875862"/>
    <w:rsid w:val="00875973"/>
    <w:rsid w:val="00875D71"/>
    <w:rsid w:val="00875ECC"/>
    <w:rsid w:val="00876263"/>
    <w:rsid w:val="0087652A"/>
    <w:rsid w:val="008767DF"/>
    <w:rsid w:val="008769A6"/>
    <w:rsid w:val="0087772A"/>
    <w:rsid w:val="00877BA7"/>
    <w:rsid w:val="0088021C"/>
    <w:rsid w:val="0088045F"/>
    <w:rsid w:val="0088093A"/>
    <w:rsid w:val="00880E8F"/>
    <w:rsid w:val="008812D4"/>
    <w:rsid w:val="00881F7B"/>
    <w:rsid w:val="008823E2"/>
    <w:rsid w:val="008829E8"/>
    <w:rsid w:val="00882A6E"/>
    <w:rsid w:val="00882D1A"/>
    <w:rsid w:val="00883020"/>
    <w:rsid w:val="00883B38"/>
    <w:rsid w:val="00884289"/>
    <w:rsid w:val="00884583"/>
    <w:rsid w:val="00884ACE"/>
    <w:rsid w:val="0088531F"/>
    <w:rsid w:val="008858C3"/>
    <w:rsid w:val="00885903"/>
    <w:rsid w:val="0088596C"/>
    <w:rsid w:val="00885C15"/>
    <w:rsid w:val="00885CCE"/>
    <w:rsid w:val="00885D04"/>
    <w:rsid w:val="00885E6D"/>
    <w:rsid w:val="00885EC4"/>
    <w:rsid w:val="00886350"/>
    <w:rsid w:val="008864B2"/>
    <w:rsid w:val="00886B02"/>
    <w:rsid w:val="00887155"/>
    <w:rsid w:val="00887857"/>
    <w:rsid w:val="00887B70"/>
    <w:rsid w:val="00887D34"/>
    <w:rsid w:val="00887E57"/>
    <w:rsid w:val="00890C5D"/>
    <w:rsid w:val="008910B7"/>
    <w:rsid w:val="00891116"/>
    <w:rsid w:val="008918D6"/>
    <w:rsid w:val="00891F89"/>
    <w:rsid w:val="00892548"/>
    <w:rsid w:val="0089291C"/>
    <w:rsid w:val="00892B7B"/>
    <w:rsid w:val="00892E39"/>
    <w:rsid w:val="00892F4C"/>
    <w:rsid w:val="00893037"/>
    <w:rsid w:val="00893554"/>
    <w:rsid w:val="00893631"/>
    <w:rsid w:val="00893A6C"/>
    <w:rsid w:val="00893FC5"/>
    <w:rsid w:val="00894571"/>
    <w:rsid w:val="00894B61"/>
    <w:rsid w:val="00895076"/>
    <w:rsid w:val="008953E6"/>
    <w:rsid w:val="008957D4"/>
    <w:rsid w:val="00895B37"/>
    <w:rsid w:val="00895B87"/>
    <w:rsid w:val="008965AF"/>
    <w:rsid w:val="008968A1"/>
    <w:rsid w:val="0089693F"/>
    <w:rsid w:val="00896CA6"/>
    <w:rsid w:val="00897753"/>
    <w:rsid w:val="00897811"/>
    <w:rsid w:val="008A024C"/>
    <w:rsid w:val="008A075F"/>
    <w:rsid w:val="008A0D1B"/>
    <w:rsid w:val="008A1071"/>
    <w:rsid w:val="008A121E"/>
    <w:rsid w:val="008A12C3"/>
    <w:rsid w:val="008A18F1"/>
    <w:rsid w:val="008A1D13"/>
    <w:rsid w:val="008A20D8"/>
    <w:rsid w:val="008A20DE"/>
    <w:rsid w:val="008A25CB"/>
    <w:rsid w:val="008A2A53"/>
    <w:rsid w:val="008A3871"/>
    <w:rsid w:val="008A38EB"/>
    <w:rsid w:val="008A3FC5"/>
    <w:rsid w:val="008A46EB"/>
    <w:rsid w:val="008A4B09"/>
    <w:rsid w:val="008A53A8"/>
    <w:rsid w:val="008A5AE8"/>
    <w:rsid w:val="008A63F8"/>
    <w:rsid w:val="008A6AA6"/>
    <w:rsid w:val="008A7080"/>
    <w:rsid w:val="008A7190"/>
    <w:rsid w:val="008A731D"/>
    <w:rsid w:val="008A7928"/>
    <w:rsid w:val="008A7F9B"/>
    <w:rsid w:val="008B040D"/>
    <w:rsid w:val="008B041E"/>
    <w:rsid w:val="008B090A"/>
    <w:rsid w:val="008B1011"/>
    <w:rsid w:val="008B10C0"/>
    <w:rsid w:val="008B15D6"/>
    <w:rsid w:val="008B1A32"/>
    <w:rsid w:val="008B1D10"/>
    <w:rsid w:val="008B204E"/>
    <w:rsid w:val="008B2435"/>
    <w:rsid w:val="008B31BF"/>
    <w:rsid w:val="008B3296"/>
    <w:rsid w:val="008B33EF"/>
    <w:rsid w:val="008B3505"/>
    <w:rsid w:val="008B3F09"/>
    <w:rsid w:val="008B4154"/>
    <w:rsid w:val="008B4451"/>
    <w:rsid w:val="008B4A0F"/>
    <w:rsid w:val="008B4AC0"/>
    <w:rsid w:val="008B4C79"/>
    <w:rsid w:val="008B4D00"/>
    <w:rsid w:val="008B4EA3"/>
    <w:rsid w:val="008B4F1B"/>
    <w:rsid w:val="008B5891"/>
    <w:rsid w:val="008B599F"/>
    <w:rsid w:val="008B5B2D"/>
    <w:rsid w:val="008B64BB"/>
    <w:rsid w:val="008B6A77"/>
    <w:rsid w:val="008B6B18"/>
    <w:rsid w:val="008B6D53"/>
    <w:rsid w:val="008B6F71"/>
    <w:rsid w:val="008B7083"/>
    <w:rsid w:val="008B73A4"/>
    <w:rsid w:val="008B75A3"/>
    <w:rsid w:val="008B7613"/>
    <w:rsid w:val="008C02F3"/>
    <w:rsid w:val="008C03A9"/>
    <w:rsid w:val="008C059D"/>
    <w:rsid w:val="008C0B4E"/>
    <w:rsid w:val="008C0E77"/>
    <w:rsid w:val="008C1041"/>
    <w:rsid w:val="008C10E1"/>
    <w:rsid w:val="008C1C9F"/>
    <w:rsid w:val="008C2C2F"/>
    <w:rsid w:val="008C3040"/>
    <w:rsid w:val="008C3401"/>
    <w:rsid w:val="008C3676"/>
    <w:rsid w:val="008C41DE"/>
    <w:rsid w:val="008C43D4"/>
    <w:rsid w:val="008C4A8E"/>
    <w:rsid w:val="008C50D3"/>
    <w:rsid w:val="008C5558"/>
    <w:rsid w:val="008C56BD"/>
    <w:rsid w:val="008C5A06"/>
    <w:rsid w:val="008C6112"/>
    <w:rsid w:val="008C659B"/>
    <w:rsid w:val="008C6876"/>
    <w:rsid w:val="008C7FAD"/>
    <w:rsid w:val="008D0239"/>
    <w:rsid w:val="008D02EA"/>
    <w:rsid w:val="008D05F6"/>
    <w:rsid w:val="008D102D"/>
    <w:rsid w:val="008D112C"/>
    <w:rsid w:val="008D1B29"/>
    <w:rsid w:val="008D2151"/>
    <w:rsid w:val="008D28AA"/>
    <w:rsid w:val="008D2A6C"/>
    <w:rsid w:val="008D2E7C"/>
    <w:rsid w:val="008D3431"/>
    <w:rsid w:val="008D427F"/>
    <w:rsid w:val="008D4300"/>
    <w:rsid w:val="008D45DA"/>
    <w:rsid w:val="008D4A1F"/>
    <w:rsid w:val="008D4AE0"/>
    <w:rsid w:val="008D51EF"/>
    <w:rsid w:val="008D536B"/>
    <w:rsid w:val="008D57FA"/>
    <w:rsid w:val="008D586F"/>
    <w:rsid w:val="008D5A3D"/>
    <w:rsid w:val="008D5D38"/>
    <w:rsid w:val="008D5F25"/>
    <w:rsid w:val="008D60A1"/>
    <w:rsid w:val="008D65BD"/>
    <w:rsid w:val="008D69AD"/>
    <w:rsid w:val="008D6B13"/>
    <w:rsid w:val="008D7492"/>
    <w:rsid w:val="008E002B"/>
    <w:rsid w:val="008E0212"/>
    <w:rsid w:val="008E0B08"/>
    <w:rsid w:val="008E152D"/>
    <w:rsid w:val="008E18AF"/>
    <w:rsid w:val="008E20B2"/>
    <w:rsid w:val="008E267E"/>
    <w:rsid w:val="008E2A74"/>
    <w:rsid w:val="008E2D82"/>
    <w:rsid w:val="008E3042"/>
    <w:rsid w:val="008E3143"/>
    <w:rsid w:val="008E34E1"/>
    <w:rsid w:val="008E3C3B"/>
    <w:rsid w:val="008E4427"/>
    <w:rsid w:val="008E45FB"/>
    <w:rsid w:val="008E4B77"/>
    <w:rsid w:val="008E4B9E"/>
    <w:rsid w:val="008E4D5C"/>
    <w:rsid w:val="008E4DB2"/>
    <w:rsid w:val="008E4DC8"/>
    <w:rsid w:val="008E4F31"/>
    <w:rsid w:val="008E5BE3"/>
    <w:rsid w:val="008E5D9C"/>
    <w:rsid w:val="008E72C2"/>
    <w:rsid w:val="008E72DB"/>
    <w:rsid w:val="008E761A"/>
    <w:rsid w:val="008E7EEC"/>
    <w:rsid w:val="008F0A3F"/>
    <w:rsid w:val="008F187C"/>
    <w:rsid w:val="008F1A6B"/>
    <w:rsid w:val="008F1E27"/>
    <w:rsid w:val="008F1E74"/>
    <w:rsid w:val="008F21C9"/>
    <w:rsid w:val="008F2671"/>
    <w:rsid w:val="008F3CBD"/>
    <w:rsid w:val="008F41EE"/>
    <w:rsid w:val="008F44DC"/>
    <w:rsid w:val="008F4550"/>
    <w:rsid w:val="008F4DB3"/>
    <w:rsid w:val="008F5308"/>
    <w:rsid w:val="008F56D4"/>
    <w:rsid w:val="008F5ADC"/>
    <w:rsid w:val="008F5B19"/>
    <w:rsid w:val="008F64C4"/>
    <w:rsid w:val="008F698E"/>
    <w:rsid w:val="008F713C"/>
    <w:rsid w:val="008F7BDF"/>
    <w:rsid w:val="008F7F3D"/>
    <w:rsid w:val="008F7FA0"/>
    <w:rsid w:val="00900116"/>
    <w:rsid w:val="009011E2"/>
    <w:rsid w:val="00901835"/>
    <w:rsid w:val="00901C14"/>
    <w:rsid w:val="0090228E"/>
    <w:rsid w:val="00902408"/>
    <w:rsid w:val="0090242F"/>
    <w:rsid w:val="009025F4"/>
    <w:rsid w:val="00902612"/>
    <w:rsid w:val="00902713"/>
    <w:rsid w:val="009034AA"/>
    <w:rsid w:val="00903C29"/>
    <w:rsid w:val="009048BA"/>
    <w:rsid w:val="00905096"/>
    <w:rsid w:val="00905A12"/>
    <w:rsid w:val="00905DBB"/>
    <w:rsid w:val="00905DEE"/>
    <w:rsid w:val="00905ED7"/>
    <w:rsid w:val="00905F38"/>
    <w:rsid w:val="009062B0"/>
    <w:rsid w:val="00906AAC"/>
    <w:rsid w:val="00906B7C"/>
    <w:rsid w:val="00907397"/>
    <w:rsid w:val="009107F7"/>
    <w:rsid w:val="00910A3A"/>
    <w:rsid w:val="00911579"/>
    <w:rsid w:val="00911C85"/>
    <w:rsid w:val="00912869"/>
    <w:rsid w:val="00912E10"/>
    <w:rsid w:val="00912E98"/>
    <w:rsid w:val="00913412"/>
    <w:rsid w:val="00913619"/>
    <w:rsid w:val="0091375D"/>
    <w:rsid w:val="00914258"/>
    <w:rsid w:val="0091454A"/>
    <w:rsid w:val="00915439"/>
    <w:rsid w:val="00915594"/>
    <w:rsid w:val="0091577D"/>
    <w:rsid w:val="0091601D"/>
    <w:rsid w:val="009160E3"/>
    <w:rsid w:val="00916206"/>
    <w:rsid w:val="009169E4"/>
    <w:rsid w:val="00916A7D"/>
    <w:rsid w:val="0091779E"/>
    <w:rsid w:val="00917832"/>
    <w:rsid w:val="00917933"/>
    <w:rsid w:val="00917E88"/>
    <w:rsid w:val="00917FCD"/>
    <w:rsid w:val="00920385"/>
    <w:rsid w:val="00920B22"/>
    <w:rsid w:val="00920CEF"/>
    <w:rsid w:val="00920E52"/>
    <w:rsid w:val="009210CC"/>
    <w:rsid w:val="00921BF7"/>
    <w:rsid w:val="00921C60"/>
    <w:rsid w:val="00921F8C"/>
    <w:rsid w:val="009220CB"/>
    <w:rsid w:val="00922705"/>
    <w:rsid w:val="00922928"/>
    <w:rsid w:val="00922986"/>
    <w:rsid w:val="00922B0C"/>
    <w:rsid w:val="00922B2E"/>
    <w:rsid w:val="00923106"/>
    <w:rsid w:val="00923369"/>
    <w:rsid w:val="00923856"/>
    <w:rsid w:val="00923866"/>
    <w:rsid w:val="0092395B"/>
    <w:rsid w:val="009243E1"/>
    <w:rsid w:val="00925B8A"/>
    <w:rsid w:val="009261A2"/>
    <w:rsid w:val="00926450"/>
    <w:rsid w:val="00927110"/>
    <w:rsid w:val="009272DE"/>
    <w:rsid w:val="0092748C"/>
    <w:rsid w:val="00927C0F"/>
    <w:rsid w:val="00930296"/>
    <w:rsid w:val="009308DA"/>
    <w:rsid w:val="00931704"/>
    <w:rsid w:val="00931F3E"/>
    <w:rsid w:val="00932ACE"/>
    <w:rsid w:val="00932CB4"/>
    <w:rsid w:val="00933A99"/>
    <w:rsid w:val="00933AB3"/>
    <w:rsid w:val="00933E40"/>
    <w:rsid w:val="00933F0B"/>
    <w:rsid w:val="00934947"/>
    <w:rsid w:val="009349D6"/>
    <w:rsid w:val="00934F0E"/>
    <w:rsid w:val="00934F33"/>
    <w:rsid w:val="00935707"/>
    <w:rsid w:val="009357E9"/>
    <w:rsid w:val="00935858"/>
    <w:rsid w:val="00935EEB"/>
    <w:rsid w:val="00935F90"/>
    <w:rsid w:val="0093628D"/>
    <w:rsid w:val="00936EF1"/>
    <w:rsid w:val="00937536"/>
    <w:rsid w:val="009408DE"/>
    <w:rsid w:val="00940B2D"/>
    <w:rsid w:val="00940D26"/>
    <w:rsid w:val="00941B77"/>
    <w:rsid w:val="00941EC6"/>
    <w:rsid w:val="00941F20"/>
    <w:rsid w:val="0094217D"/>
    <w:rsid w:val="00942183"/>
    <w:rsid w:val="00942215"/>
    <w:rsid w:val="00942499"/>
    <w:rsid w:val="009429D8"/>
    <w:rsid w:val="00942A4F"/>
    <w:rsid w:val="00942EBE"/>
    <w:rsid w:val="0094389F"/>
    <w:rsid w:val="00943B3A"/>
    <w:rsid w:val="00943F77"/>
    <w:rsid w:val="00944040"/>
    <w:rsid w:val="00944DA4"/>
    <w:rsid w:val="009455B9"/>
    <w:rsid w:val="00945C27"/>
    <w:rsid w:val="00946157"/>
    <w:rsid w:val="009465A6"/>
    <w:rsid w:val="0094670E"/>
    <w:rsid w:val="00946FB0"/>
    <w:rsid w:val="00947A0C"/>
    <w:rsid w:val="00950280"/>
    <w:rsid w:val="009506EB"/>
    <w:rsid w:val="0095098B"/>
    <w:rsid w:val="00950AB9"/>
    <w:rsid w:val="00950F84"/>
    <w:rsid w:val="0095120A"/>
    <w:rsid w:val="009516A0"/>
    <w:rsid w:val="009519A2"/>
    <w:rsid w:val="00951BAA"/>
    <w:rsid w:val="00952185"/>
    <w:rsid w:val="00952ACA"/>
    <w:rsid w:val="00953624"/>
    <w:rsid w:val="00953939"/>
    <w:rsid w:val="00953F6A"/>
    <w:rsid w:val="00953FAD"/>
    <w:rsid w:val="0095407B"/>
    <w:rsid w:val="00954299"/>
    <w:rsid w:val="009545D9"/>
    <w:rsid w:val="009545F6"/>
    <w:rsid w:val="00954860"/>
    <w:rsid w:val="00954873"/>
    <w:rsid w:val="00954959"/>
    <w:rsid w:val="00954A24"/>
    <w:rsid w:val="00954A98"/>
    <w:rsid w:val="00954D7F"/>
    <w:rsid w:val="00954F31"/>
    <w:rsid w:val="009550E7"/>
    <w:rsid w:val="00955782"/>
    <w:rsid w:val="0095594E"/>
    <w:rsid w:val="00955FAF"/>
    <w:rsid w:val="009561FA"/>
    <w:rsid w:val="00956361"/>
    <w:rsid w:val="009564C6"/>
    <w:rsid w:val="00956531"/>
    <w:rsid w:val="0095659A"/>
    <w:rsid w:val="009565B4"/>
    <w:rsid w:val="00956B16"/>
    <w:rsid w:val="009574A4"/>
    <w:rsid w:val="00957B74"/>
    <w:rsid w:val="00960BE4"/>
    <w:rsid w:val="00961B50"/>
    <w:rsid w:val="00961D22"/>
    <w:rsid w:val="00962420"/>
    <w:rsid w:val="00962FE5"/>
    <w:rsid w:val="00963284"/>
    <w:rsid w:val="00963320"/>
    <w:rsid w:val="00963656"/>
    <w:rsid w:val="00963DD2"/>
    <w:rsid w:val="00964415"/>
    <w:rsid w:val="009645F5"/>
    <w:rsid w:val="0096496F"/>
    <w:rsid w:val="00964A31"/>
    <w:rsid w:val="00964CB5"/>
    <w:rsid w:val="00965070"/>
    <w:rsid w:val="009651C0"/>
    <w:rsid w:val="00965B4D"/>
    <w:rsid w:val="00965D96"/>
    <w:rsid w:val="00965ECA"/>
    <w:rsid w:val="00966153"/>
    <w:rsid w:val="00966448"/>
    <w:rsid w:val="009664CE"/>
    <w:rsid w:val="00966774"/>
    <w:rsid w:val="009668A4"/>
    <w:rsid w:val="00966A33"/>
    <w:rsid w:val="00966F3E"/>
    <w:rsid w:val="00967183"/>
    <w:rsid w:val="0096739F"/>
    <w:rsid w:val="009675C7"/>
    <w:rsid w:val="0096770E"/>
    <w:rsid w:val="00967D09"/>
    <w:rsid w:val="00967E9D"/>
    <w:rsid w:val="00970830"/>
    <w:rsid w:val="00970BB1"/>
    <w:rsid w:val="00971454"/>
    <w:rsid w:val="00971740"/>
    <w:rsid w:val="00971761"/>
    <w:rsid w:val="00971865"/>
    <w:rsid w:val="009720D9"/>
    <w:rsid w:val="009730C8"/>
    <w:rsid w:val="00973369"/>
    <w:rsid w:val="00973C1B"/>
    <w:rsid w:val="009744DA"/>
    <w:rsid w:val="0097487E"/>
    <w:rsid w:val="00975130"/>
    <w:rsid w:val="009752C0"/>
    <w:rsid w:val="00975C26"/>
    <w:rsid w:val="00975E94"/>
    <w:rsid w:val="00975EF1"/>
    <w:rsid w:val="0097618A"/>
    <w:rsid w:val="00977093"/>
    <w:rsid w:val="00977609"/>
    <w:rsid w:val="00977B33"/>
    <w:rsid w:val="00977C6C"/>
    <w:rsid w:val="00980182"/>
    <w:rsid w:val="009807C1"/>
    <w:rsid w:val="00981E5B"/>
    <w:rsid w:val="00982188"/>
    <w:rsid w:val="009823A1"/>
    <w:rsid w:val="00983F90"/>
    <w:rsid w:val="0098442F"/>
    <w:rsid w:val="009849F4"/>
    <w:rsid w:val="00984BEA"/>
    <w:rsid w:val="00984E19"/>
    <w:rsid w:val="00985026"/>
    <w:rsid w:val="00985633"/>
    <w:rsid w:val="009858ED"/>
    <w:rsid w:val="00985BE4"/>
    <w:rsid w:val="00985EAD"/>
    <w:rsid w:val="00986415"/>
    <w:rsid w:val="00986ACA"/>
    <w:rsid w:val="00986D39"/>
    <w:rsid w:val="00986F05"/>
    <w:rsid w:val="00987004"/>
    <w:rsid w:val="0098703D"/>
    <w:rsid w:val="00987385"/>
    <w:rsid w:val="0098786B"/>
    <w:rsid w:val="00987EDC"/>
    <w:rsid w:val="0099001C"/>
    <w:rsid w:val="00990110"/>
    <w:rsid w:val="009902E4"/>
    <w:rsid w:val="00990337"/>
    <w:rsid w:val="00990422"/>
    <w:rsid w:val="009906EF"/>
    <w:rsid w:val="00990FEC"/>
    <w:rsid w:val="009912FF"/>
    <w:rsid w:val="00991432"/>
    <w:rsid w:val="009925BA"/>
    <w:rsid w:val="00992834"/>
    <w:rsid w:val="00993180"/>
    <w:rsid w:val="00993191"/>
    <w:rsid w:val="00993499"/>
    <w:rsid w:val="00993C77"/>
    <w:rsid w:val="00994097"/>
    <w:rsid w:val="009946BA"/>
    <w:rsid w:val="00995241"/>
    <w:rsid w:val="00995242"/>
    <w:rsid w:val="00995CD4"/>
    <w:rsid w:val="00995D88"/>
    <w:rsid w:val="009960C9"/>
    <w:rsid w:val="00996680"/>
    <w:rsid w:val="009971CB"/>
    <w:rsid w:val="009973B8"/>
    <w:rsid w:val="00997478"/>
    <w:rsid w:val="0099751B"/>
    <w:rsid w:val="009977ED"/>
    <w:rsid w:val="009A05CC"/>
    <w:rsid w:val="009A083B"/>
    <w:rsid w:val="009A097F"/>
    <w:rsid w:val="009A108F"/>
    <w:rsid w:val="009A140C"/>
    <w:rsid w:val="009A1DE4"/>
    <w:rsid w:val="009A244A"/>
    <w:rsid w:val="009A2A47"/>
    <w:rsid w:val="009A2B05"/>
    <w:rsid w:val="009A327C"/>
    <w:rsid w:val="009A3631"/>
    <w:rsid w:val="009A3909"/>
    <w:rsid w:val="009A3FCC"/>
    <w:rsid w:val="009A4B9F"/>
    <w:rsid w:val="009A4EE5"/>
    <w:rsid w:val="009A5170"/>
    <w:rsid w:val="009A586B"/>
    <w:rsid w:val="009A5921"/>
    <w:rsid w:val="009A598E"/>
    <w:rsid w:val="009A5ABF"/>
    <w:rsid w:val="009A5CDB"/>
    <w:rsid w:val="009A66FF"/>
    <w:rsid w:val="009A69A3"/>
    <w:rsid w:val="009A69AA"/>
    <w:rsid w:val="009A6CA1"/>
    <w:rsid w:val="009A76A7"/>
    <w:rsid w:val="009B00ED"/>
    <w:rsid w:val="009B01C4"/>
    <w:rsid w:val="009B03A9"/>
    <w:rsid w:val="009B0F18"/>
    <w:rsid w:val="009B140D"/>
    <w:rsid w:val="009B1AA0"/>
    <w:rsid w:val="009B1D4D"/>
    <w:rsid w:val="009B2082"/>
    <w:rsid w:val="009B210E"/>
    <w:rsid w:val="009B265E"/>
    <w:rsid w:val="009B28F5"/>
    <w:rsid w:val="009B2CC7"/>
    <w:rsid w:val="009B2F09"/>
    <w:rsid w:val="009B378B"/>
    <w:rsid w:val="009B3C04"/>
    <w:rsid w:val="009B3CE6"/>
    <w:rsid w:val="009B3CF6"/>
    <w:rsid w:val="009B3CFE"/>
    <w:rsid w:val="009B3FDE"/>
    <w:rsid w:val="009B4039"/>
    <w:rsid w:val="009B450D"/>
    <w:rsid w:val="009B4EEB"/>
    <w:rsid w:val="009B52D4"/>
    <w:rsid w:val="009B5D20"/>
    <w:rsid w:val="009B6765"/>
    <w:rsid w:val="009B6B45"/>
    <w:rsid w:val="009B70CE"/>
    <w:rsid w:val="009B70D1"/>
    <w:rsid w:val="009B7A64"/>
    <w:rsid w:val="009B7AAE"/>
    <w:rsid w:val="009C0257"/>
    <w:rsid w:val="009C0C2E"/>
    <w:rsid w:val="009C0DF5"/>
    <w:rsid w:val="009C1608"/>
    <w:rsid w:val="009C18AB"/>
    <w:rsid w:val="009C1E8F"/>
    <w:rsid w:val="009C1F13"/>
    <w:rsid w:val="009C2DDC"/>
    <w:rsid w:val="009C3DB6"/>
    <w:rsid w:val="009C4587"/>
    <w:rsid w:val="009C4738"/>
    <w:rsid w:val="009C5786"/>
    <w:rsid w:val="009C5A07"/>
    <w:rsid w:val="009C5B2B"/>
    <w:rsid w:val="009C5CD1"/>
    <w:rsid w:val="009C603F"/>
    <w:rsid w:val="009C60DA"/>
    <w:rsid w:val="009C6333"/>
    <w:rsid w:val="009C641B"/>
    <w:rsid w:val="009C6808"/>
    <w:rsid w:val="009C6834"/>
    <w:rsid w:val="009C6B6B"/>
    <w:rsid w:val="009C6C05"/>
    <w:rsid w:val="009C6E0D"/>
    <w:rsid w:val="009C6E86"/>
    <w:rsid w:val="009C7044"/>
    <w:rsid w:val="009D00B0"/>
    <w:rsid w:val="009D00F0"/>
    <w:rsid w:val="009D05F6"/>
    <w:rsid w:val="009D0C5E"/>
    <w:rsid w:val="009D10A4"/>
    <w:rsid w:val="009D1419"/>
    <w:rsid w:val="009D2645"/>
    <w:rsid w:val="009D27B2"/>
    <w:rsid w:val="009D27B9"/>
    <w:rsid w:val="009D3136"/>
    <w:rsid w:val="009D3680"/>
    <w:rsid w:val="009D3A0A"/>
    <w:rsid w:val="009D4C59"/>
    <w:rsid w:val="009D4E40"/>
    <w:rsid w:val="009D5393"/>
    <w:rsid w:val="009D5B78"/>
    <w:rsid w:val="009D5C6B"/>
    <w:rsid w:val="009D5CB8"/>
    <w:rsid w:val="009D5E1E"/>
    <w:rsid w:val="009D6A64"/>
    <w:rsid w:val="009D6D2B"/>
    <w:rsid w:val="009D6EC6"/>
    <w:rsid w:val="009D6FEC"/>
    <w:rsid w:val="009D740F"/>
    <w:rsid w:val="009D7805"/>
    <w:rsid w:val="009D7891"/>
    <w:rsid w:val="009D7F71"/>
    <w:rsid w:val="009E02A1"/>
    <w:rsid w:val="009E054C"/>
    <w:rsid w:val="009E1BC5"/>
    <w:rsid w:val="009E1BEA"/>
    <w:rsid w:val="009E1DB2"/>
    <w:rsid w:val="009E243C"/>
    <w:rsid w:val="009E3719"/>
    <w:rsid w:val="009E3898"/>
    <w:rsid w:val="009E3A33"/>
    <w:rsid w:val="009E3BBA"/>
    <w:rsid w:val="009E48A8"/>
    <w:rsid w:val="009E4A0C"/>
    <w:rsid w:val="009E4FB5"/>
    <w:rsid w:val="009E553A"/>
    <w:rsid w:val="009E57E7"/>
    <w:rsid w:val="009E5F70"/>
    <w:rsid w:val="009E62C4"/>
    <w:rsid w:val="009E6F0E"/>
    <w:rsid w:val="009E7151"/>
    <w:rsid w:val="009E73F4"/>
    <w:rsid w:val="009E7A7B"/>
    <w:rsid w:val="009E7D22"/>
    <w:rsid w:val="009E7DD1"/>
    <w:rsid w:val="009F0057"/>
    <w:rsid w:val="009F0151"/>
    <w:rsid w:val="009F024A"/>
    <w:rsid w:val="009F04D8"/>
    <w:rsid w:val="009F0ABE"/>
    <w:rsid w:val="009F0E35"/>
    <w:rsid w:val="009F0FBF"/>
    <w:rsid w:val="009F1590"/>
    <w:rsid w:val="009F1FC0"/>
    <w:rsid w:val="009F27D1"/>
    <w:rsid w:val="009F2E0A"/>
    <w:rsid w:val="009F2E6B"/>
    <w:rsid w:val="009F3369"/>
    <w:rsid w:val="009F36D1"/>
    <w:rsid w:val="009F379E"/>
    <w:rsid w:val="009F3CB6"/>
    <w:rsid w:val="009F3F1C"/>
    <w:rsid w:val="009F4217"/>
    <w:rsid w:val="009F43C1"/>
    <w:rsid w:val="009F4634"/>
    <w:rsid w:val="009F4D82"/>
    <w:rsid w:val="009F5095"/>
    <w:rsid w:val="009F52DD"/>
    <w:rsid w:val="009F53B0"/>
    <w:rsid w:val="009F5421"/>
    <w:rsid w:val="009F5572"/>
    <w:rsid w:val="009F5D1C"/>
    <w:rsid w:val="009F5DA4"/>
    <w:rsid w:val="009F6539"/>
    <w:rsid w:val="009F6C14"/>
    <w:rsid w:val="009F7550"/>
    <w:rsid w:val="009F765A"/>
    <w:rsid w:val="009F76EA"/>
    <w:rsid w:val="009F76EF"/>
    <w:rsid w:val="00A00131"/>
    <w:rsid w:val="00A0026E"/>
    <w:rsid w:val="00A008D1"/>
    <w:rsid w:val="00A015E2"/>
    <w:rsid w:val="00A016D6"/>
    <w:rsid w:val="00A019D2"/>
    <w:rsid w:val="00A021DE"/>
    <w:rsid w:val="00A03913"/>
    <w:rsid w:val="00A04414"/>
    <w:rsid w:val="00A04466"/>
    <w:rsid w:val="00A04AED"/>
    <w:rsid w:val="00A05510"/>
    <w:rsid w:val="00A05CD6"/>
    <w:rsid w:val="00A060FB"/>
    <w:rsid w:val="00A06297"/>
    <w:rsid w:val="00A0643B"/>
    <w:rsid w:val="00A06945"/>
    <w:rsid w:val="00A06D92"/>
    <w:rsid w:val="00A06DE2"/>
    <w:rsid w:val="00A07455"/>
    <w:rsid w:val="00A07C4B"/>
    <w:rsid w:val="00A07D91"/>
    <w:rsid w:val="00A07EC9"/>
    <w:rsid w:val="00A109E9"/>
    <w:rsid w:val="00A10A55"/>
    <w:rsid w:val="00A11D76"/>
    <w:rsid w:val="00A11EA7"/>
    <w:rsid w:val="00A12B73"/>
    <w:rsid w:val="00A12C58"/>
    <w:rsid w:val="00A12EC8"/>
    <w:rsid w:val="00A12FEC"/>
    <w:rsid w:val="00A1337E"/>
    <w:rsid w:val="00A13474"/>
    <w:rsid w:val="00A13714"/>
    <w:rsid w:val="00A140F4"/>
    <w:rsid w:val="00A1474B"/>
    <w:rsid w:val="00A14B4C"/>
    <w:rsid w:val="00A14C56"/>
    <w:rsid w:val="00A154CB"/>
    <w:rsid w:val="00A15C7C"/>
    <w:rsid w:val="00A16A06"/>
    <w:rsid w:val="00A16A99"/>
    <w:rsid w:val="00A17F95"/>
    <w:rsid w:val="00A20109"/>
    <w:rsid w:val="00A2023D"/>
    <w:rsid w:val="00A203C3"/>
    <w:rsid w:val="00A2054D"/>
    <w:rsid w:val="00A20853"/>
    <w:rsid w:val="00A20872"/>
    <w:rsid w:val="00A20DDE"/>
    <w:rsid w:val="00A20EDA"/>
    <w:rsid w:val="00A21835"/>
    <w:rsid w:val="00A21B48"/>
    <w:rsid w:val="00A2223B"/>
    <w:rsid w:val="00A22D00"/>
    <w:rsid w:val="00A230B9"/>
    <w:rsid w:val="00A238D7"/>
    <w:rsid w:val="00A23D44"/>
    <w:rsid w:val="00A2434A"/>
    <w:rsid w:val="00A247F4"/>
    <w:rsid w:val="00A24C47"/>
    <w:rsid w:val="00A25D55"/>
    <w:rsid w:val="00A25D7B"/>
    <w:rsid w:val="00A267DD"/>
    <w:rsid w:val="00A26A4B"/>
    <w:rsid w:val="00A26ADE"/>
    <w:rsid w:val="00A26CFE"/>
    <w:rsid w:val="00A270BD"/>
    <w:rsid w:val="00A272A9"/>
    <w:rsid w:val="00A2772A"/>
    <w:rsid w:val="00A277BC"/>
    <w:rsid w:val="00A27DDE"/>
    <w:rsid w:val="00A27F82"/>
    <w:rsid w:val="00A30221"/>
    <w:rsid w:val="00A303AD"/>
    <w:rsid w:val="00A304B4"/>
    <w:rsid w:val="00A309C5"/>
    <w:rsid w:val="00A30C99"/>
    <w:rsid w:val="00A30E9D"/>
    <w:rsid w:val="00A31550"/>
    <w:rsid w:val="00A315A7"/>
    <w:rsid w:val="00A315A8"/>
    <w:rsid w:val="00A3290D"/>
    <w:rsid w:val="00A3352E"/>
    <w:rsid w:val="00A3388C"/>
    <w:rsid w:val="00A33CF8"/>
    <w:rsid w:val="00A33D57"/>
    <w:rsid w:val="00A33D82"/>
    <w:rsid w:val="00A341F6"/>
    <w:rsid w:val="00A34396"/>
    <w:rsid w:val="00A3483A"/>
    <w:rsid w:val="00A35929"/>
    <w:rsid w:val="00A35AF1"/>
    <w:rsid w:val="00A3624A"/>
    <w:rsid w:val="00A367DA"/>
    <w:rsid w:val="00A36FD5"/>
    <w:rsid w:val="00A3791F"/>
    <w:rsid w:val="00A40284"/>
    <w:rsid w:val="00A402CF"/>
    <w:rsid w:val="00A402EC"/>
    <w:rsid w:val="00A40909"/>
    <w:rsid w:val="00A4131F"/>
    <w:rsid w:val="00A41A69"/>
    <w:rsid w:val="00A41B10"/>
    <w:rsid w:val="00A41B7C"/>
    <w:rsid w:val="00A428EA"/>
    <w:rsid w:val="00A42EEC"/>
    <w:rsid w:val="00A430BE"/>
    <w:rsid w:val="00A43A85"/>
    <w:rsid w:val="00A4414C"/>
    <w:rsid w:val="00A4419B"/>
    <w:rsid w:val="00A45008"/>
    <w:rsid w:val="00A4500F"/>
    <w:rsid w:val="00A45B09"/>
    <w:rsid w:val="00A45C08"/>
    <w:rsid w:val="00A45FF9"/>
    <w:rsid w:val="00A462AD"/>
    <w:rsid w:val="00A46AC9"/>
    <w:rsid w:val="00A46B0C"/>
    <w:rsid w:val="00A46CBC"/>
    <w:rsid w:val="00A47BD1"/>
    <w:rsid w:val="00A47C4D"/>
    <w:rsid w:val="00A5011A"/>
    <w:rsid w:val="00A5036C"/>
    <w:rsid w:val="00A504DC"/>
    <w:rsid w:val="00A51389"/>
    <w:rsid w:val="00A51644"/>
    <w:rsid w:val="00A51CBD"/>
    <w:rsid w:val="00A51D96"/>
    <w:rsid w:val="00A51F68"/>
    <w:rsid w:val="00A52064"/>
    <w:rsid w:val="00A52243"/>
    <w:rsid w:val="00A527C3"/>
    <w:rsid w:val="00A52D71"/>
    <w:rsid w:val="00A52EF5"/>
    <w:rsid w:val="00A5365E"/>
    <w:rsid w:val="00A53676"/>
    <w:rsid w:val="00A538F8"/>
    <w:rsid w:val="00A53930"/>
    <w:rsid w:val="00A53991"/>
    <w:rsid w:val="00A54B9D"/>
    <w:rsid w:val="00A54FFD"/>
    <w:rsid w:val="00A551B3"/>
    <w:rsid w:val="00A55641"/>
    <w:rsid w:val="00A55EC1"/>
    <w:rsid w:val="00A56128"/>
    <w:rsid w:val="00A5636F"/>
    <w:rsid w:val="00A566D3"/>
    <w:rsid w:val="00A56A54"/>
    <w:rsid w:val="00A573CB"/>
    <w:rsid w:val="00A577A6"/>
    <w:rsid w:val="00A57D87"/>
    <w:rsid w:val="00A601F0"/>
    <w:rsid w:val="00A60254"/>
    <w:rsid w:val="00A60669"/>
    <w:rsid w:val="00A60A49"/>
    <w:rsid w:val="00A60FD7"/>
    <w:rsid w:val="00A6131A"/>
    <w:rsid w:val="00A619F2"/>
    <w:rsid w:val="00A62181"/>
    <w:rsid w:val="00A62936"/>
    <w:rsid w:val="00A63145"/>
    <w:rsid w:val="00A63726"/>
    <w:rsid w:val="00A63973"/>
    <w:rsid w:val="00A63DDC"/>
    <w:rsid w:val="00A6438D"/>
    <w:rsid w:val="00A64F6E"/>
    <w:rsid w:val="00A65200"/>
    <w:rsid w:val="00A65512"/>
    <w:rsid w:val="00A65584"/>
    <w:rsid w:val="00A65847"/>
    <w:rsid w:val="00A6647C"/>
    <w:rsid w:val="00A6673B"/>
    <w:rsid w:val="00A66E88"/>
    <w:rsid w:val="00A67272"/>
    <w:rsid w:val="00A6771D"/>
    <w:rsid w:val="00A67EB2"/>
    <w:rsid w:val="00A70232"/>
    <w:rsid w:val="00A7052A"/>
    <w:rsid w:val="00A70D7F"/>
    <w:rsid w:val="00A70E0E"/>
    <w:rsid w:val="00A7166E"/>
    <w:rsid w:val="00A71C26"/>
    <w:rsid w:val="00A72037"/>
    <w:rsid w:val="00A721A2"/>
    <w:rsid w:val="00A728C7"/>
    <w:rsid w:val="00A72A79"/>
    <w:rsid w:val="00A72A90"/>
    <w:rsid w:val="00A732A1"/>
    <w:rsid w:val="00A73AB7"/>
    <w:rsid w:val="00A75173"/>
    <w:rsid w:val="00A75729"/>
    <w:rsid w:val="00A75C2A"/>
    <w:rsid w:val="00A75D35"/>
    <w:rsid w:val="00A770B6"/>
    <w:rsid w:val="00A77E64"/>
    <w:rsid w:val="00A802BF"/>
    <w:rsid w:val="00A806FC"/>
    <w:rsid w:val="00A8294D"/>
    <w:rsid w:val="00A8313C"/>
    <w:rsid w:val="00A832AC"/>
    <w:rsid w:val="00A83316"/>
    <w:rsid w:val="00A8342E"/>
    <w:rsid w:val="00A834E8"/>
    <w:rsid w:val="00A83AD4"/>
    <w:rsid w:val="00A842D3"/>
    <w:rsid w:val="00A843F4"/>
    <w:rsid w:val="00A8512B"/>
    <w:rsid w:val="00A852A6"/>
    <w:rsid w:val="00A8538D"/>
    <w:rsid w:val="00A853D6"/>
    <w:rsid w:val="00A85AB4"/>
    <w:rsid w:val="00A85EDF"/>
    <w:rsid w:val="00A86471"/>
    <w:rsid w:val="00A86610"/>
    <w:rsid w:val="00A8684C"/>
    <w:rsid w:val="00A86895"/>
    <w:rsid w:val="00A86BD5"/>
    <w:rsid w:val="00A87A43"/>
    <w:rsid w:val="00A87BA0"/>
    <w:rsid w:val="00A90052"/>
    <w:rsid w:val="00A90353"/>
    <w:rsid w:val="00A90DD4"/>
    <w:rsid w:val="00A911DC"/>
    <w:rsid w:val="00A9126E"/>
    <w:rsid w:val="00A91651"/>
    <w:rsid w:val="00A91D46"/>
    <w:rsid w:val="00A9244E"/>
    <w:rsid w:val="00A93227"/>
    <w:rsid w:val="00A9450E"/>
    <w:rsid w:val="00A94D21"/>
    <w:rsid w:val="00A952D5"/>
    <w:rsid w:val="00A95416"/>
    <w:rsid w:val="00A95417"/>
    <w:rsid w:val="00A954B9"/>
    <w:rsid w:val="00A9581E"/>
    <w:rsid w:val="00A95A34"/>
    <w:rsid w:val="00A95BD4"/>
    <w:rsid w:val="00A95F8F"/>
    <w:rsid w:val="00A96780"/>
    <w:rsid w:val="00A96F86"/>
    <w:rsid w:val="00A96FED"/>
    <w:rsid w:val="00A97B13"/>
    <w:rsid w:val="00A97D70"/>
    <w:rsid w:val="00A97DB9"/>
    <w:rsid w:val="00A97DFD"/>
    <w:rsid w:val="00AA04B3"/>
    <w:rsid w:val="00AA0694"/>
    <w:rsid w:val="00AA0C77"/>
    <w:rsid w:val="00AA1191"/>
    <w:rsid w:val="00AA149E"/>
    <w:rsid w:val="00AA1C13"/>
    <w:rsid w:val="00AA1CFF"/>
    <w:rsid w:val="00AA2763"/>
    <w:rsid w:val="00AA305A"/>
    <w:rsid w:val="00AA322F"/>
    <w:rsid w:val="00AA34DA"/>
    <w:rsid w:val="00AA4CE6"/>
    <w:rsid w:val="00AA5115"/>
    <w:rsid w:val="00AA588F"/>
    <w:rsid w:val="00AA5D8A"/>
    <w:rsid w:val="00AA60B3"/>
    <w:rsid w:val="00AA6B16"/>
    <w:rsid w:val="00AA6C4E"/>
    <w:rsid w:val="00AA7ABB"/>
    <w:rsid w:val="00AA7BDC"/>
    <w:rsid w:val="00AA7C2D"/>
    <w:rsid w:val="00AB00C2"/>
    <w:rsid w:val="00AB030C"/>
    <w:rsid w:val="00AB0C78"/>
    <w:rsid w:val="00AB125F"/>
    <w:rsid w:val="00AB1848"/>
    <w:rsid w:val="00AB1FCD"/>
    <w:rsid w:val="00AB2856"/>
    <w:rsid w:val="00AB2B4F"/>
    <w:rsid w:val="00AB2BDE"/>
    <w:rsid w:val="00AB2DD2"/>
    <w:rsid w:val="00AB2E4F"/>
    <w:rsid w:val="00AB2E89"/>
    <w:rsid w:val="00AB3B44"/>
    <w:rsid w:val="00AB3FE0"/>
    <w:rsid w:val="00AB477D"/>
    <w:rsid w:val="00AB4A58"/>
    <w:rsid w:val="00AB569F"/>
    <w:rsid w:val="00AB623D"/>
    <w:rsid w:val="00AB6A72"/>
    <w:rsid w:val="00AB713C"/>
    <w:rsid w:val="00AB7428"/>
    <w:rsid w:val="00AB74D0"/>
    <w:rsid w:val="00AB75D8"/>
    <w:rsid w:val="00AB7C43"/>
    <w:rsid w:val="00AB7EB1"/>
    <w:rsid w:val="00AC01DC"/>
    <w:rsid w:val="00AC03D7"/>
    <w:rsid w:val="00AC06D3"/>
    <w:rsid w:val="00AC1250"/>
    <w:rsid w:val="00AC19BE"/>
    <w:rsid w:val="00AC1C17"/>
    <w:rsid w:val="00AC1D6D"/>
    <w:rsid w:val="00AC2538"/>
    <w:rsid w:val="00AC26AA"/>
    <w:rsid w:val="00AC2742"/>
    <w:rsid w:val="00AC327C"/>
    <w:rsid w:val="00AC3685"/>
    <w:rsid w:val="00AC3949"/>
    <w:rsid w:val="00AC3C19"/>
    <w:rsid w:val="00AC40F3"/>
    <w:rsid w:val="00AC4155"/>
    <w:rsid w:val="00AC4188"/>
    <w:rsid w:val="00AC4361"/>
    <w:rsid w:val="00AC4599"/>
    <w:rsid w:val="00AC4CE2"/>
    <w:rsid w:val="00AC509C"/>
    <w:rsid w:val="00AC5685"/>
    <w:rsid w:val="00AC6582"/>
    <w:rsid w:val="00AC6994"/>
    <w:rsid w:val="00AC710A"/>
    <w:rsid w:val="00AC76D3"/>
    <w:rsid w:val="00AC7C6D"/>
    <w:rsid w:val="00AC7F15"/>
    <w:rsid w:val="00AD0729"/>
    <w:rsid w:val="00AD0A36"/>
    <w:rsid w:val="00AD14C2"/>
    <w:rsid w:val="00AD15BB"/>
    <w:rsid w:val="00AD163E"/>
    <w:rsid w:val="00AD1C2B"/>
    <w:rsid w:val="00AD1C45"/>
    <w:rsid w:val="00AD1E41"/>
    <w:rsid w:val="00AD2BFC"/>
    <w:rsid w:val="00AD2CC5"/>
    <w:rsid w:val="00AD33F3"/>
    <w:rsid w:val="00AD3554"/>
    <w:rsid w:val="00AD36F8"/>
    <w:rsid w:val="00AD44AC"/>
    <w:rsid w:val="00AD4500"/>
    <w:rsid w:val="00AD4744"/>
    <w:rsid w:val="00AD499F"/>
    <w:rsid w:val="00AD4C7A"/>
    <w:rsid w:val="00AD4E79"/>
    <w:rsid w:val="00AD50F6"/>
    <w:rsid w:val="00AD5A7F"/>
    <w:rsid w:val="00AD6ED9"/>
    <w:rsid w:val="00AD7235"/>
    <w:rsid w:val="00AD7743"/>
    <w:rsid w:val="00AD7B9A"/>
    <w:rsid w:val="00AD7C68"/>
    <w:rsid w:val="00AD7C76"/>
    <w:rsid w:val="00AD7D8B"/>
    <w:rsid w:val="00AE07EE"/>
    <w:rsid w:val="00AE09AE"/>
    <w:rsid w:val="00AE0C17"/>
    <w:rsid w:val="00AE0FCD"/>
    <w:rsid w:val="00AE125B"/>
    <w:rsid w:val="00AE1568"/>
    <w:rsid w:val="00AE1A86"/>
    <w:rsid w:val="00AE2D65"/>
    <w:rsid w:val="00AE2ED7"/>
    <w:rsid w:val="00AE306F"/>
    <w:rsid w:val="00AE30EC"/>
    <w:rsid w:val="00AE3289"/>
    <w:rsid w:val="00AE378F"/>
    <w:rsid w:val="00AE388A"/>
    <w:rsid w:val="00AE4176"/>
    <w:rsid w:val="00AE418D"/>
    <w:rsid w:val="00AE4536"/>
    <w:rsid w:val="00AE48D3"/>
    <w:rsid w:val="00AE5057"/>
    <w:rsid w:val="00AE519A"/>
    <w:rsid w:val="00AE528A"/>
    <w:rsid w:val="00AE5DCC"/>
    <w:rsid w:val="00AE60EC"/>
    <w:rsid w:val="00AE6578"/>
    <w:rsid w:val="00AE6823"/>
    <w:rsid w:val="00AE6ADD"/>
    <w:rsid w:val="00AE6DA3"/>
    <w:rsid w:val="00AE71F0"/>
    <w:rsid w:val="00AE7300"/>
    <w:rsid w:val="00AE7773"/>
    <w:rsid w:val="00AF022D"/>
    <w:rsid w:val="00AF02A2"/>
    <w:rsid w:val="00AF03DF"/>
    <w:rsid w:val="00AF043D"/>
    <w:rsid w:val="00AF080C"/>
    <w:rsid w:val="00AF097F"/>
    <w:rsid w:val="00AF0B21"/>
    <w:rsid w:val="00AF0DC4"/>
    <w:rsid w:val="00AF0DF1"/>
    <w:rsid w:val="00AF18D8"/>
    <w:rsid w:val="00AF1F66"/>
    <w:rsid w:val="00AF2186"/>
    <w:rsid w:val="00AF2665"/>
    <w:rsid w:val="00AF29B1"/>
    <w:rsid w:val="00AF35DE"/>
    <w:rsid w:val="00AF37E0"/>
    <w:rsid w:val="00AF3F4B"/>
    <w:rsid w:val="00AF3FCC"/>
    <w:rsid w:val="00AF41B3"/>
    <w:rsid w:val="00AF4695"/>
    <w:rsid w:val="00AF5342"/>
    <w:rsid w:val="00AF581F"/>
    <w:rsid w:val="00AF5B17"/>
    <w:rsid w:val="00AF60BC"/>
    <w:rsid w:val="00AF64B8"/>
    <w:rsid w:val="00AF69F1"/>
    <w:rsid w:val="00AF6EB1"/>
    <w:rsid w:val="00AF718A"/>
    <w:rsid w:val="00AF7251"/>
    <w:rsid w:val="00AF7298"/>
    <w:rsid w:val="00AF76DF"/>
    <w:rsid w:val="00B0002A"/>
    <w:rsid w:val="00B010D4"/>
    <w:rsid w:val="00B012FD"/>
    <w:rsid w:val="00B0145E"/>
    <w:rsid w:val="00B01591"/>
    <w:rsid w:val="00B01E28"/>
    <w:rsid w:val="00B0252D"/>
    <w:rsid w:val="00B02BEB"/>
    <w:rsid w:val="00B03187"/>
    <w:rsid w:val="00B03201"/>
    <w:rsid w:val="00B03403"/>
    <w:rsid w:val="00B03FC5"/>
    <w:rsid w:val="00B04011"/>
    <w:rsid w:val="00B04147"/>
    <w:rsid w:val="00B0427E"/>
    <w:rsid w:val="00B04F03"/>
    <w:rsid w:val="00B059AF"/>
    <w:rsid w:val="00B060EF"/>
    <w:rsid w:val="00B065A3"/>
    <w:rsid w:val="00B06935"/>
    <w:rsid w:val="00B074BB"/>
    <w:rsid w:val="00B0782C"/>
    <w:rsid w:val="00B07837"/>
    <w:rsid w:val="00B07B43"/>
    <w:rsid w:val="00B106B6"/>
    <w:rsid w:val="00B109E0"/>
    <w:rsid w:val="00B10AA5"/>
    <w:rsid w:val="00B10AD1"/>
    <w:rsid w:val="00B113E7"/>
    <w:rsid w:val="00B11489"/>
    <w:rsid w:val="00B1159D"/>
    <w:rsid w:val="00B11C8A"/>
    <w:rsid w:val="00B11D77"/>
    <w:rsid w:val="00B122A6"/>
    <w:rsid w:val="00B124E9"/>
    <w:rsid w:val="00B13270"/>
    <w:rsid w:val="00B143A8"/>
    <w:rsid w:val="00B14662"/>
    <w:rsid w:val="00B14A9E"/>
    <w:rsid w:val="00B1582C"/>
    <w:rsid w:val="00B158BA"/>
    <w:rsid w:val="00B15FAE"/>
    <w:rsid w:val="00B168A2"/>
    <w:rsid w:val="00B1710C"/>
    <w:rsid w:val="00B17378"/>
    <w:rsid w:val="00B173C1"/>
    <w:rsid w:val="00B174FD"/>
    <w:rsid w:val="00B17DFD"/>
    <w:rsid w:val="00B2067C"/>
    <w:rsid w:val="00B208C4"/>
    <w:rsid w:val="00B20AC1"/>
    <w:rsid w:val="00B20BEA"/>
    <w:rsid w:val="00B20C7F"/>
    <w:rsid w:val="00B213B3"/>
    <w:rsid w:val="00B21571"/>
    <w:rsid w:val="00B21972"/>
    <w:rsid w:val="00B22906"/>
    <w:rsid w:val="00B22C9B"/>
    <w:rsid w:val="00B23844"/>
    <w:rsid w:val="00B238D0"/>
    <w:rsid w:val="00B23E8B"/>
    <w:rsid w:val="00B23F20"/>
    <w:rsid w:val="00B242C0"/>
    <w:rsid w:val="00B24444"/>
    <w:rsid w:val="00B24662"/>
    <w:rsid w:val="00B246EA"/>
    <w:rsid w:val="00B24AA3"/>
    <w:rsid w:val="00B255F7"/>
    <w:rsid w:val="00B259E6"/>
    <w:rsid w:val="00B25EF7"/>
    <w:rsid w:val="00B2681E"/>
    <w:rsid w:val="00B26D58"/>
    <w:rsid w:val="00B271C5"/>
    <w:rsid w:val="00B275B8"/>
    <w:rsid w:val="00B2789E"/>
    <w:rsid w:val="00B27CD4"/>
    <w:rsid w:val="00B30042"/>
    <w:rsid w:val="00B307FD"/>
    <w:rsid w:val="00B30DC1"/>
    <w:rsid w:val="00B30E66"/>
    <w:rsid w:val="00B319C8"/>
    <w:rsid w:val="00B31E7F"/>
    <w:rsid w:val="00B32049"/>
    <w:rsid w:val="00B320D2"/>
    <w:rsid w:val="00B32507"/>
    <w:rsid w:val="00B32543"/>
    <w:rsid w:val="00B32914"/>
    <w:rsid w:val="00B32C8C"/>
    <w:rsid w:val="00B335F2"/>
    <w:rsid w:val="00B33F57"/>
    <w:rsid w:val="00B33FC5"/>
    <w:rsid w:val="00B34426"/>
    <w:rsid w:val="00B3462C"/>
    <w:rsid w:val="00B34C11"/>
    <w:rsid w:val="00B34F70"/>
    <w:rsid w:val="00B35420"/>
    <w:rsid w:val="00B35700"/>
    <w:rsid w:val="00B35993"/>
    <w:rsid w:val="00B36206"/>
    <w:rsid w:val="00B367E0"/>
    <w:rsid w:val="00B36C93"/>
    <w:rsid w:val="00B37BF1"/>
    <w:rsid w:val="00B37FB8"/>
    <w:rsid w:val="00B4044E"/>
    <w:rsid w:val="00B40459"/>
    <w:rsid w:val="00B405A1"/>
    <w:rsid w:val="00B40649"/>
    <w:rsid w:val="00B414FE"/>
    <w:rsid w:val="00B41C19"/>
    <w:rsid w:val="00B41DC9"/>
    <w:rsid w:val="00B42104"/>
    <w:rsid w:val="00B4260B"/>
    <w:rsid w:val="00B42E1D"/>
    <w:rsid w:val="00B43094"/>
    <w:rsid w:val="00B43513"/>
    <w:rsid w:val="00B43619"/>
    <w:rsid w:val="00B4373C"/>
    <w:rsid w:val="00B439E3"/>
    <w:rsid w:val="00B43ABE"/>
    <w:rsid w:val="00B43F20"/>
    <w:rsid w:val="00B43F65"/>
    <w:rsid w:val="00B4407D"/>
    <w:rsid w:val="00B44120"/>
    <w:rsid w:val="00B441FE"/>
    <w:rsid w:val="00B44277"/>
    <w:rsid w:val="00B442DB"/>
    <w:rsid w:val="00B44476"/>
    <w:rsid w:val="00B44531"/>
    <w:rsid w:val="00B447AF"/>
    <w:rsid w:val="00B44BB1"/>
    <w:rsid w:val="00B44F96"/>
    <w:rsid w:val="00B451C0"/>
    <w:rsid w:val="00B451E4"/>
    <w:rsid w:val="00B45B8F"/>
    <w:rsid w:val="00B46640"/>
    <w:rsid w:val="00B471C4"/>
    <w:rsid w:val="00B47407"/>
    <w:rsid w:val="00B476DA"/>
    <w:rsid w:val="00B50210"/>
    <w:rsid w:val="00B50633"/>
    <w:rsid w:val="00B5092E"/>
    <w:rsid w:val="00B50F3C"/>
    <w:rsid w:val="00B51CFB"/>
    <w:rsid w:val="00B52037"/>
    <w:rsid w:val="00B521C1"/>
    <w:rsid w:val="00B527A4"/>
    <w:rsid w:val="00B5281B"/>
    <w:rsid w:val="00B52A40"/>
    <w:rsid w:val="00B52CD3"/>
    <w:rsid w:val="00B53105"/>
    <w:rsid w:val="00B532EF"/>
    <w:rsid w:val="00B53D2F"/>
    <w:rsid w:val="00B53E54"/>
    <w:rsid w:val="00B54011"/>
    <w:rsid w:val="00B543F0"/>
    <w:rsid w:val="00B54900"/>
    <w:rsid w:val="00B54BAF"/>
    <w:rsid w:val="00B55465"/>
    <w:rsid w:val="00B56208"/>
    <w:rsid w:val="00B56C4A"/>
    <w:rsid w:val="00B576E5"/>
    <w:rsid w:val="00B57D90"/>
    <w:rsid w:val="00B600D1"/>
    <w:rsid w:val="00B60CA0"/>
    <w:rsid w:val="00B6114D"/>
    <w:rsid w:val="00B6141A"/>
    <w:rsid w:val="00B6152D"/>
    <w:rsid w:val="00B61EC2"/>
    <w:rsid w:val="00B61ED8"/>
    <w:rsid w:val="00B62336"/>
    <w:rsid w:val="00B6245A"/>
    <w:rsid w:val="00B625F3"/>
    <w:rsid w:val="00B6295E"/>
    <w:rsid w:val="00B62DC8"/>
    <w:rsid w:val="00B63323"/>
    <w:rsid w:val="00B63483"/>
    <w:rsid w:val="00B638DD"/>
    <w:rsid w:val="00B63952"/>
    <w:rsid w:val="00B63F52"/>
    <w:rsid w:val="00B64574"/>
    <w:rsid w:val="00B646C5"/>
    <w:rsid w:val="00B64C26"/>
    <w:rsid w:val="00B64FF4"/>
    <w:rsid w:val="00B65EA1"/>
    <w:rsid w:val="00B6682C"/>
    <w:rsid w:val="00B66A98"/>
    <w:rsid w:val="00B67092"/>
    <w:rsid w:val="00B678C0"/>
    <w:rsid w:val="00B70170"/>
    <w:rsid w:val="00B702FC"/>
    <w:rsid w:val="00B7085B"/>
    <w:rsid w:val="00B709E9"/>
    <w:rsid w:val="00B71440"/>
    <w:rsid w:val="00B71448"/>
    <w:rsid w:val="00B71967"/>
    <w:rsid w:val="00B71FA6"/>
    <w:rsid w:val="00B72192"/>
    <w:rsid w:val="00B7278D"/>
    <w:rsid w:val="00B72DCB"/>
    <w:rsid w:val="00B73182"/>
    <w:rsid w:val="00B73AEC"/>
    <w:rsid w:val="00B73B1A"/>
    <w:rsid w:val="00B73B25"/>
    <w:rsid w:val="00B7441E"/>
    <w:rsid w:val="00B74C52"/>
    <w:rsid w:val="00B74F92"/>
    <w:rsid w:val="00B75447"/>
    <w:rsid w:val="00B758E5"/>
    <w:rsid w:val="00B75907"/>
    <w:rsid w:val="00B75C09"/>
    <w:rsid w:val="00B75D65"/>
    <w:rsid w:val="00B75FD7"/>
    <w:rsid w:val="00B760AE"/>
    <w:rsid w:val="00B763E8"/>
    <w:rsid w:val="00B76486"/>
    <w:rsid w:val="00B76C88"/>
    <w:rsid w:val="00B76D97"/>
    <w:rsid w:val="00B76F39"/>
    <w:rsid w:val="00B76FDE"/>
    <w:rsid w:val="00B77296"/>
    <w:rsid w:val="00B7742B"/>
    <w:rsid w:val="00B774C7"/>
    <w:rsid w:val="00B77A40"/>
    <w:rsid w:val="00B77F61"/>
    <w:rsid w:val="00B80244"/>
    <w:rsid w:val="00B8053C"/>
    <w:rsid w:val="00B8111C"/>
    <w:rsid w:val="00B815BB"/>
    <w:rsid w:val="00B81763"/>
    <w:rsid w:val="00B819E7"/>
    <w:rsid w:val="00B81C12"/>
    <w:rsid w:val="00B81DDF"/>
    <w:rsid w:val="00B8230D"/>
    <w:rsid w:val="00B82905"/>
    <w:rsid w:val="00B82D4C"/>
    <w:rsid w:val="00B82EF4"/>
    <w:rsid w:val="00B83700"/>
    <w:rsid w:val="00B84291"/>
    <w:rsid w:val="00B84E60"/>
    <w:rsid w:val="00B85721"/>
    <w:rsid w:val="00B85D91"/>
    <w:rsid w:val="00B865B4"/>
    <w:rsid w:val="00B86BE4"/>
    <w:rsid w:val="00B8718D"/>
    <w:rsid w:val="00B8739F"/>
    <w:rsid w:val="00B875CF"/>
    <w:rsid w:val="00B87762"/>
    <w:rsid w:val="00B87B2F"/>
    <w:rsid w:val="00B87CDE"/>
    <w:rsid w:val="00B90894"/>
    <w:rsid w:val="00B91158"/>
    <w:rsid w:val="00B91AE2"/>
    <w:rsid w:val="00B92473"/>
    <w:rsid w:val="00B92683"/>
    <w:rsid w:val="00B92953"/>
    <w:rsid w:val="00B92991"/>
    <w:rsid w:val="00B929FB"/>
    <w:rsid w:val="00B92D0D"/>
    <w:rsid w:val="00B93224"/>
    <w:rsid w:val="00B9335F"/>
    <w:rsid w:val="00B93B84"/>
    <w:rsid w:val="00B93F47"/>
    <w:rsid w:val="00B94282"/>
    <w:rsid w:val="00B9435B"/>
    <w:rsid w:val="00B947A2"/>
    <w:rsid w:val="00B94C2E"/>
    <w:rsid w:val="00B94ED2"/>
    <w:rsid w:val="00B95433"/>
    <w:rsid w:val="00B9545C"/>
    <w:rsid w:val="00B955D3"/>
    <w:rsid w:val="00B957C8"/>
    <w:rsid w:val="00B95EAB"/>
    <w:rsid w:val="00B960F1"/>
    <w:rsid w:val="00B96138"/>
    <w:rsid w:val="00B96546"/>
    <w:rsid w:val="00B96BBF"/>
    <w:rsid w:val="00B96C38"/>
    <w:rsid w:val="00B96CC6"/>
    <w:rsid w:val="00B97297"/>
    <w:rsid w:val="00B97488"/>
    <w:rsid w:val="00B97598"/>
    <w:rsid w:val="00B97B48"/>
    <w:rsid w:val="00B97C57"/>
    <w:rsid w:val="00B97CA0"/>
    <w:rsid w:val="00B97DE5"/>
    <w:rsid w:val="00BA0040"/>
    <w:rsid w:val="00BA0534"/>
    <w:rsid w:val="00BA0A3F"/>
    <w:rsid w:val="00BA0A7E"/>
    <w:rsid w:val="00BA0E36"/>
    <w:rsid w:val="00BA0F67"/>
    <w:rsid w:val="00BA108B"/>
    <w:rsid w:val="00BA13DE"/>
    <w:rsid w:val="00BA1551"/>
    <w:rsid w:val="00BA27F5"/>
    <w:rsid w:val="00BA2933"/>
    <w:rsid w:val="00BA2E08"/>
    <w:rsid w:val="00BA30D4"/>
    <w:rsid w:val="00BA408C"/>
    <w:rsid w:val="00BA434C"/>
    <w:rsid w:val="00BA4535"/>
    <w:rsid w:val="00BA48B3"/>
    <w:rsid w:val="00BA5923"/>
    <w:rsid w:val="00BA59AC"/>
    <w:rsid w:val="00BA5A7E"/>
    <w:rsid w:val="00BA5C26"/>
    <w:rsid w:val="00BA6441"/>
    <w:rsid w:val="00BA6A16"/>
    <w:rsid w:val="00BA70E7"/>
    <w:rsid w:val="00BA7494"/>
    <w:rsid w:val="00BA795F"/>
    <w:rsid w:val="00BB004E"/>
    <w:rsid w:val="00BB06DB"/>
    <w:rsid w:val="00BB0C48"/>
    <w:rsid w:val="00BB0EFA"/>
    <w:rsid w:val="00BB1248"/>
    <w:rsid w:val="00BB1337"/>
    <w:rsid w:val="00BB1A89"/>
    <w:rsid w:val="00BB1ED9"/>
    <w:rsid w:val="00BB20CE"/>
    <w:rsid w:val="00BB221D"/>
    <w:rsid w:val="00BB2B57"/>
    <w:rsid w:val="00BB3043"/>
    <w:rsid w:val="00BB31D8"/>
    <w:rsid w:val="00BB34A5"/>
    <w:rsid w:val="00BB377E"/>
    <w:rsid w:val="00BB3C2F"/>
    <w:rsid w:val="00BB4075"/>
    <w:rsid w:val="00BB454F"/>
    <w:rsid w:val="00BB51FD"/>
    <w:rsid w:val="00BB5434"/>
    <w:rsid w:val="00BB544C"/>
    <w:rsid w:val="00BB54E9"/>
    <w:rsid w:val="00BB579C"/>
    <w:rsid w:val="00BB5A21"/>
    <w:rsid w:val="00BB66BA"/>
    <w:rsid w:val="00BB66F9"/>
    <w:rsid w:val="00BB66FD"/>
    <w:rsid w:val="00BB6707"/>
    <w:rsid w:val="00BB6C8D"/>
    <w:rsid w:val="00BB72BF"/>
    <w:rsid w:val="00BB735F"/>
    <w:rsid w:val="00BB7BD1"/>
    <w:rsid w:val="00BC0212"/>
    <w:rsid w:val="00BC044B"/>
    <w:rsid w:val="00BC0738"/>
    <w:rsid w:val="00BC0EB9"/>
    <w:rsid w:val="00BC1F0F"/>
    <w:rsid w:val="00BC26AC"/>
    <w:rsid w:val="00BC271C"/>
    <w:rsid w:val="00BC284A"/>
    <w:rsid w:val="00BC2F12"/>
    <w:rsid w:val="00BC2F4A"/>
    <w:rsid w:val="00BC3595"/>
    <w:rsid w:val="00BC426A"/>
    <w:rsid w:val="00BC42AB"/>
    <w:rsid w:val="00BC442B"/>
    <w:rsid w:val="00BC4844"/>
    <w:rsid w:val="00BC4EE7"/>
    <w:rsid w:val="00BC4FA3"/>
    <w:rsid w:val="00BC5206"/>
    <w:rsid w:val="00BC54CE"/>
    <w:rsid w:val="00BC5802"/>
    <w:rsid w:val="00BC5C5D"/>
    <w:rsid w:val="00BC687A"/>
    <w:rsid w:val="00BC69CF"/>
    <w:rsid w:val="00BC7D1D"/>
    <w:rsid w:val="00BC7D4A"/>
    <w:rsid w:val="00BD0191"/>
    <w:rsid w:val="00BD0232"/>
    <w:rsid w:val="00BD03C7"/>
    <w:rsid w:val="00BD0837"/>
    <w:rsid w:val="00BD0C72"/>
    <w:rsid w:val="00BD0DBD"/>
    <w:rsid w:val="00BD11DF"/>
    <w:rsid w:val="00BD139C"/>
    <w:rsid w:val="00BD13AB"/>
    <w:rsid w:val="00BD1888"/>
    <w:rsid w:val="00BD1AF4"/>
    <w:rsid w:val="00BD1C71"/>
    <w:rsid w:val="00BD21D2"/>
    <w:rsid w:val="00BD29E5"/>
    <w:rsid w:val="00BD2B11"/>
    <w:rsid w:val="00BD2BAD"/>
    <w:rsid w:val="00BD2E46"/>
    <w:rsid w:val="00BD32FA"/>
    <w:rsid w:val="00BD33D1"/>
    <w:rsid w:val="00BD35FE"/>
    <w:rsid w:val="00BD3938"/>
    <w:rsid w:val="00BD3EC2"/>
    <w:rsid w:val="00BD4086"/>
    <w:rsid w:val="00BD40E7"/>
    <w:rsid w:val="00BD52C0"/>
    <w:rsid w:val="00BD5828"/>
    <w:rsid w:val="00BD5C9D"/>
    <w:rsid w:val="00BD5E83"/>
    <w:rsid w:val="00BD67E8"/>
    <w:rsid w:val="00BD741B"/>
    <w:rsid w:val="00BD764D"/>
    <w:rsid w:val="00BD7D0C"/>
    <w:rsid w:val="00BE0049"/>
    <w:rsid w:val="00BE040A"/>
    <w:rsid w:val="00BE0625"/>
    <w:rsid w:val="00BE2057"/>
    <w:rsid w:val="00BE207F"/>
    <w:rsid w:val="00BE2144"/>
    <w:rsid w:val="00BE2B09"/>
    <w:rsid w:val="00BE2B6A"/>
    <w:rsid w:val="00BE2C81"/>
    <w:rsid w:val="00BE32A6"/>
    <w:rsid w:val="00BE3AF2"/>
    <w:rsid w:val="00BE3CB9"/>
    <w:rsid w:val="00BE4027"/>
    <w:rsid w:val="00BE414A"/>
    <w:rsid w:val="00BE4E1A"/>
    <w:rsid w:val="00BE5524"/>
    <w:rsid w:val="00BE56BD"/>
    <w:rsid w:val="00BE5BC2"/>
    <w:rsid w:val="00BE5C20"/>
    <w:rsid w:val="00BE5FFF"/>
    <w:rsid w:val="00BE673C"/>
    <w:rsid w:val="00BE6775"/>
    <w:rsid w:val="00BE6987"/>
    <w:rsid w:val="00BE7A29"/>
    <w:rsid w:val="00BE7B95"/>
    <w:rsid w:val="00BF0461"/>
    <w:rsid w:val="00BF0ADF"/>
    <w:rsid w:val="00BF0D8B"/>
    <w:rsid w:val="00BF1246"/>
    <w:rsid w:val="00BF152A"/>
    <w:rsid w:val="00BF1F82"/>
    <w:rsid w:val="00BF20D6"/>
    <w:rsid w:val="00BF2911"/>
    <w:rsid w:val="00BF2A58"/>
    <w:rsid w:val="00BF2DAF"/>
    <w:rsid w:val="00BF3173"/>
    <w:rsid w:val="00BF35DA"/>
    <w:rsid w:val="00BF38F1"/>
    <w:rsid w:val="00BF416C"/>
    <w:rsid w:val="00BF42ED"/>
    <w:rsid w:val="00BF4403"/>
    <w:rsid w:val="00BF44B2"/>
    <w:rsid w:val="00BF4F0F"/>
    <w:rsid w:val="00BF5171"/>
    <w:rsid w:val="00BF51EA"/>
    <w:rsid w:val="00BF5A84"/>
    <w:rsid w:val="00BF5D23"/>
    <w:rsid w:val="00BF6DBC"/>
    <w:rsid w:val="00BF6DC8"/>
    <w:rsid w:val="00BF7543"/>
    <w:rsid w:val="00BF75F8"/>
    <w:rsid w:val="00BF777E"/>
    <w:rsid w:val="00BF7C01"/>
    <w:rsid w:val="00C00203"/>
    <w:rsid w:val="00C00290"/>
    <w:rsid w:val="00C00D3D"/>
    <w:rsid w:val="00C010D6"/>
    <w:rsid w:val="00C01334"/>
    <w:rsid w:val="00C014F9"/>
    <w:rsid w:val="00C01B36"/>
    <w:rsid w:val="00C01D3A"/>
    <w:rsid w:val="00C01E5D"/>
    <w:rsid w:val="00C01EF2"/>
    <w:rsid w:val="00C0254A"/>
    <w:rsid w:val="00C02577"/>
    <w:rsid w:val="00C0260B"/>
    <w:rsid w:val="00C0261B"/>
    <w:rsid w:val="00C0274E"/>
    <w:rsid w:val="00C02F3C"/>
    <w:rsid w:val="00C031E7"/>
    <w:rsid w:val="00C03B95"/>
    <w:rsid w:val="00C04259"/>
    <w:rsid w:val="00C048F6"/>
    <w:rsid w:val="00C04C95"/>
    <w:rsid w:val="00C0505A"/>
    <w:rsid w:val="00C05179"/>
    <w:rsid w:val="00C051C8"/>
    <w:rsid w:val="00C05941"/>
    <w:rsid w:val="00C0599E"/>
    <w:rsid w:val="00C05CFA"/>
    <w:rsid w:val="00C05E95"/>
    <w:rsid w:val="00C06A32"/>
    <w:rsid w:val="00C06D35"/>
    <w:rsid w:val="00C07A8E"/>
    <w:rsid w:val="00C1036B"/>
    <w:rsid w:val="00C103CB"/>
    <w:rsid w:val="00C11782"/>
    <w:rsid w:val="00C1205D"/>
    <w:rsid w:val="00C12855"/>
    <w:rsid w:val="00C12CCC"/>
    <w:rsid w:val="00C12FC7"/>
    <w:rsid w:val="00C135C4"/>
    <w:rsid w:val="00C149B9"/>
    <w:rsid w:val="00C14B9D"/>
    <w:rsid w:val="00C14CC0"/>
    <w:rsid w:val="00C14E3A"/>
    <w:rsid w:val="00C14F07"/>
    <w:rsid w:val="00C1571B"/>
    <w:rsid w:val="00C15847"/>
    <w:rsid w:val="00C15CBE"/>
    <w:rsid w:val="00C15E73"/>
    <w:rsid w:val="00C15F20"/>
    <w:rsid w:val="00C1627F"/>
    <w:rsid w:val="00C1629A"/>
    <w:rsid w:val="00C162E5"/>
    <w:rsid w:val="00C16C0B"/>
    <w:rsid w:val="00C17476"/>
    <w:rsid w:val="00C202F2"/>
    <w:rsid w:val="00C2179B"/>
    <w:rsid w:val="00C2181F"/>
    <w:rsid w:val="00C219F0"/>
    <w:rsid w:val="00C21D27"/>
    <w:rsid w:val="00C21F5D"/>
    <w:rsid w:val="00C235E9"/>
    <w:rsid w:val="00C2361D"/>
    <w:rsid w:val="00C23C34"/>
    <w:rsid w:val="00C242AE"/>
    <w:rsid w:val="00C242E1"/>
    <w:rsid w:val="00C243B5"/>
    <w:rsid w:val="00C24F2E"/>
    <w:rsid w:val="00C24FE3"/>
    <w:rsid w:val="00C2569B"/>
    <w:rsid w:val="00C2592E"/>
    <w:rsid w:val="00C25E4D"/>
    <w:rsid w:val="00C25F49"/>
    <w:rsid w:val="00C26304"/>
    <w:rsid w:val="00C264CA"/>
    <w:rsid w:val="00C26598"/>
    <w:rsid w:val="00C26799"/>
    <w:rsid w:val="00C268A5"/>
    <w:rsid w:val="00C26993"/>
    <w:rsid w:val="00C26B35"/>
    <w:rsid w:val="00C27E0D"/>
    <w:rsid w:val="00C30003"/>
    <w:rsid w:val="00C3063B"/>
    <w:rsid w:val="00C30C26"/>
    <w:rsid w:val="00C30DD9"/>
    <w:rsid w:val="00C30E46"/>
    <w:rsid w:val="00C31227"/>
    <w:rsid w:val="00C312B8"/>
    <w:rsid w:val="00C315B3"/>
    <w:rsid w:val="00C31829"/>
    <w:rsid w:val="00C31906"/>
    <w:rsid w:val="00C31E2C"/>
    <w:rsid w:val="00C31F16"/>
    <w:rsid w:val="00C3205B"/>
    <w:rsid w:val="00C32129"/>
    <w:rsid w:val="00C32166"/>
    <w:rsid w:val="00C3239B"/>
    <w:rsid w:val="00C32CD3"/>
    <w:rsid w:val="00C3321D"/>
    <w:rsid w:val="00C33599"/>
    <w:rsid w:val="00C33BD8"/>
    <w:rsid w:val="00C341FB"/>
    <w:rsid w:val="00C3493C"/>
    <w:rsid w:val="00C34C9F"/>
    <w:rsid w:val="00C34F0A"/>
    <w:rsid w:val="00C357D4"/>
    <w:rsid w:val="00C35884"/>
    <w:rsid w:val="00C35A85"/>
    <w:rsid w:val="00C35AB8"/>
    <w:rsid w:val="00C35AC3"/>
    <w:rsid w:val="00C35D07"/>
    <w:rsid w:val="00C3635F"/>
    <w:rsid w:val="00C3737B"/>
    <w:rsid w:val="00C37714"/>
    <w:rsid w:val="00C37895"/>
    <w:rsid w:val="00C37922"/>
    <w:rsid w:val="00C4004D"/>
    <w:rsid w:val="00C407F7"/>
    <w:rsid w:val="00C40894"/>
    <w:rsid w:val="00C40A6F"/>
    <w:rsid w:val="00C40FBA"/>
    <w:rsid w:val="00C412D8"/>
    <w:rsid w:val="00C414DA"/>
    <w:rsid w:val="00C41837"/>
    <w:rsid w:val="00C41F9F"/>
    <w:rsid w:val="00C42694"/>
    <w:rsid w:val="00C42B64"/>
    <w:rsid w:val="00C42C3A"/>
    <w:rsid w:val="00C42E5C"/>
    <w:rsid w:val="00C431F2"/>
    <w:rsid w:val="00C432AB"/>
    <w:rsid w:val="00C435F7"/>
    <w:rsid w:val="00C43831"/>
    <w:rsid w:val="00C43A0E"/>
    <w:rsid w:val="00C43EFF"/>
    <w:rsid w:val="00C4425B"/>
    <w:rsid w:val="00C45D91"/>
    <w:rsid w:val="00C46251"/>
    <w:rsid w:val="00C462D2"/>
    <w:rsid w:val="00C462EA"/>
    <w:rsid w:val="00C463D3"/>
    <w:rsid w:val="00C463DE"/>
    <w:rsid w:val="00C463E6"/>
    <w:rsid w:val="00C46B30"/>
    <w:rsid w:val="00C46B3E"/>
    <w:rsid w:val="00C47672"/>
    <w:rsid w:val="00C47922"/>
    <w:rsid w:val="00C47C93"/>
    <w:rsid w:val="00C47ED5"/>
    <w:rsid w:val="00C509E5"/>
    <w:rsid w:val="00C50E2A"/>
    <w:rsid w:val="00C50EF2"/>
    <w:rsid w:val="00C51088"/>
    <w:rsid w:val="00C51156"/>
    <w:rsid w:val="00C512E0"/>
    <w:rsid w:val="00C51451"/>
    <w:rsid w:val="00C51A2A"/>
    <w:rsid w:val="00C51CAF"/>
    <w:rsid w:val="00C51DFE"/>
    <w:rsid w:val="00C5201B"/>
    <w:rsid w:val="00C52BA0"/>
    <w:rsid w:val="00C5376E"/>
    <w:rsid w:val="00C541E9"/>
    <w:rsid w:val="00C54377"/>
    <w:rsid w:val="00C5462B"/>
    <w:rsid w:val="00C54889"/>
    <w:rsid w:val="00C550E4"/>
    <w:rsid w:val="00C552BE"/>
    <w:rsid w:val="00C556F2"/>
    <w:rsid w:val="00C55912"/>
    <w:rsid w:val="00C55A21"/>
    <w:rsid w:val="00C55AAB"/>
    <w:rsid w:val="00C55EF9"/>
    <w:rsid w:val="00C56B2B"/>
    <w:rsid w:val="00C57370"/>
    <w:rsid w:val="00C57FAD"/>
    <w:rsid w:val="00C600E2"/>
    <w:rsid w:val="00C6024A"/>
    <w:rsid w:val="00C60309"/>
    <w:rsid w:val="00C6083C"/>
    <w:rsid w:val="00C60CF2"/>
    <w:rsid w:val="00C60FA5"/>
    <w:rsid w:val="00C6102F"/>
    <w:rsid w:val="00C6117D"/>
    <w:rsid w:val="00C61601"/>
    <w:rsid w:val="00C61BB5"/>
    <w:rsid w:val="00C61F70"/>
    <w:rsid w:val="00C62077"/>
    <w:rsid w:val="00C627E6"/>
    <w:rsid w:val="00C62805"/>
    <w:rsid w:val="00C6331E"/>
    <w:rsid w:val="00C633F5"/>
    <w:rsid w:val="00C63412"/>
    <w:rsid w:val="00C63F1D"/>
    <w:rsid w:val="00C644D5"/>
    <w:rsid w:val="00C6469F"/>
    <w:rsid w:val="00C64B93"/>
    <w:rsid w:val="00C64E74"/>
    <w:rsid w:val="00C6504D"/>
    <w:rsid w:val="00C65C1F"/>
    <w:rsid w:val="00C65CB0"/>
    <w:rsid w:val="00C6645B"/>
    <w:rsid w:val="00C66844"/>
    <w:rsid w:val="00C66B29"/>
    <w:rsid w:val="00C671FD"/>
    <w:rsid w:val="00C6739A"/>
    <w:rsid w:val="00C67A90"/>
    <w:rsid w:val="00C67B12"/>
    <w:rsid w:val="00C7020E"/>
    <w:rsid w:val="00C711EF"/>
    <w:rsid w:val="00C71C74"/>
    <w:rsid w:val="00C71E60"/>
    <w:rsid w:val="00C723B1"/>
    <w:rsid w:val="00C72BC5"/>
    <w:rsid w:val="00C72F62"/>
    <w:rsid w:val="00C73D54"/>
    <w:rsid w:val="00C73E35"/>
    <w:rsid w:val="00C745D0"/>
    <w:rsid w:val="00C74678"/>
    <w:rsid w:val="00C7561F"/>
    <w:rsid w:val="00C75A69"/>
    <w:rsid w:val="00C7716D"/>
    <w:rsid w:val="00C77926"/>
    <w:rsid w:val="00C77F1D"/>
    <w:rsid w:val="00C77F9F"/>
    <w:rsid w:val="00C77FEF"/>
    <w:rsid w:val="00C8045A"/>
    <w:rsid w:val="00C809FE"/>
    <w:rsid w:val="00C80A23"/>
    <w:rsid w:val="00C81455"/>
    <w:rsid w:val="00C816B8"/>
    <w:rsid w:val="00C82328"/>
    <w:rsid w:val="00C82966"/>
    <w:rsid w:val="00C835BC"/>
    <w:rsid w:val="00C8376E"/>
    <w:rsid w:val="00C83AB6"/>
    <w:rsid w:val="00C8435F"/>
    <w:rsid w:val="00C84421"/>
    <w:rsid w:val="00C844C9"/>
    <w:rsid w:val="00C848E3"/>
    <w:rsid w:val="00C8490D"/>
    <w:rsid w:val="00C84F3B"/>
    <w:rsid w:val="00C85A29"/>
    <w:rsid w:val="00C85CEC"/>
    <w:rsid w:val="00C85CEF"/>
    <w:rsid w:val="00C863F0"/>
    <w:rsid w:val="00C868CF"/>
    <w:rsid w:val="00C86A60"/>
    <w:rsid w:val="00C86CF5"/>
    <w:rsid w:val="00C872DE"/>
    <w:rsid w:val="00C873BA"/>
    <w:rsid w:val="00C902D3"/>
    <w:rsid w:val="00C906D3"/>
    <w:rsid w:val="00C90980"/>
    <w:rsid w:val="00C90AC2"/>
    <w:rsid w:val="00C91D32"/>
    <w:rsid w:val="00C91DFA"/>
    <w:rsid w:val="00C91E54"/>
    <w:rsid w:val="00C91FE4"/>
    <w:rsid w:val="00C92456"/>
    <w:rsid w:val="00C9275A"/>
    <w:rsid w:val="00C92851"/>
    <w:rsid w:val="00C92989"/>
    <w:rsid w:val="00C92B4B"/>
    <w:rsid w:val="00C92D97"/>
    <w:rsid w:val="00C92DF9"/>
    <w:rsid w:val="00C93034"/>
    <w:rsid w:val="00C9303B"/>
    <w:rsid w:val="00C9343E"/>
    <w:rsid w:val="00C93644"/>
    <w:rsid w:val="00C93794"/>
    <w:rsid w:val="00C938CD"/>
    <w:rsid w:val="00C93AE6"/>
    <w:rsid w:val="00C93C69"/>
    <w:rsid w:val="00C93CA6"/>
    <w:rsid w:val="00C9424F"/>
    <w:rsid w:val="00C9435F"/>
    <w:rsid w:val="00C94373"/>
    <w:rsid w:val="00C9499B"/>
    <w:rsid w:val="00C94FD7"/>
    <w:rsid w:val="00C95582"/>
    <w:rsid w:val="00C956B8"/>
    <w:rsid w:val="00C9572D"/>
    <w:rsid w:val="00C9573E"/>
    <w:rsid w:val="00C95C07"/>
    <w:rsid w:val="00C95C87"/>
    <w:rsid w:val="00C95F9F"/>
    <w:rsid w:val="00C964A4"/>
    <w:rsid w:val="00C97846"/>
    <w:rsid w:val="00C97D2F"/>
    <w:rsid w:val="00CA11C0"/>
    <w:rsid w:val="00CA1302"/>
    <w:rsid w:val="00CA16DB"/>
    <w:rsid w:val="00CA1925"/>
    <w:rsid w:val="00CA308D"/>
    <w:rsid w:val="00CA3164"/>
    <w:rsid w:val="00CA326F"/>
    <w:rsid w:val="00CA346E"/>
    <w:rsid w:val="00CA37CA"/>
    <w:rsid w:val="00CA397C"/>
    <w:rsid w:val="00CA3CCF"/>
    <w:rsid w:val="00CA4A6A"/>
    <w:rsid w:val="00CA4E39"/>
    <w:rsid w:val="00CA5405"/>
    <w:rsid w:val="00CA54CD"/>
    <w:rsid w:val="00CA5BB2"/>
    <w:rsid w:val="00CA5E7E"/>
    <w:rsid w:val="00CA69D4"/>
    <w:rsid w:val="00CA6D2F"/>
    <w:rsid w:val="00CA6EB7"/>
    <w:rsid w:val="00CA7358"/>
    <w:rsid w:val="00CA7C57"/>
    <w:rsid w:val="00CB0291"/>
    <w:rsid w:val="00CB0A6F"/>
    <w:rsid w:val="00CB121A"/>
    <w:rsid w:val="00CB15AD"/>
    <w:rsid w:val="00CB1602"/>
    <w:rsid w:val="00CB18E7"/>
    <w:rsid w:val="00CB1A67"/>
    <w:rsid w:val="00CB1B23"/>
    <w:rsid w:val="00CB22C3"/>
    <w:rsid w:val="00CB2661"/>
    <w:rsid w:val="00CB26A0"/>
    <w:rsid w:val="00CB2A97"/>
    <w:rsid w:val="00CB2F67"/>
    <w:rsid w:val="00CB3421"/>
    <w:rsid w:val="00CB3F9A"/>
    <w:rsid w:val="00CB4152"/>
    <w:rsid w:val="00CB4522"/>
    <w:rsid w:val="00CB4691"/>
    <w:rsid w:val="00CB4C8D"/>
    <w:rsid w:val="00CB5169"/>
    <w:rsid w:val="00CB5368"/>
    <w:rsid w:val="00CB5467"/>
    <w:rsid w:val="00CB5812"/>
    <w:rsid w:val="00CB5877"/>
    <w:rsid w:val="00CB5A5A"/>
    <w:rsid w:val="00CB5AD3"/>
    <w:rsid w:val="00CB5C52"/>
    <w:rsid w:val="00CB5FBF"/>
    <w:rsid w:val="00CB6BF9"/>
    <w:rsid w:val="00CB7166"/>
    <w:rsid w:val="00CB75EB"/>
    <w:rsid w:val="00CB7E78"/>
    <w:rsid w:val="00CC016E"/>
    <w:rsid w:val="00CC0D81"/>
    <w:rsid w:val="00CC118B"/>
    <w:rsid w:val="00CC1286"/>
    <w:rsid w:val="00CC139A"/>
    <w:rsid w:val="00CC1612"/>
    <w:rsid w:val="00CC161C"/>
    <w:rsid w:val="00CC1655"/>
    <w:rsid w:val="00CC1A10"/>
    <w:rsid w:val="00CC1DBB"/>
    <w:rsid w:val="00CC1EFE"/>
    <w:rsid w:val="00CC24ED"/>
    <w:rsid w:val="00CC2C04"/>
    <w:rsid w:val="00CC33C3"/>
    <w:rsid w:val="00CC362A"/>
    <w:rsid w:val="00CC3670"/>
    <w:rsid w:val="00CC3C3D"/>
    <w:rsid w:val="00CC3E1C"/>
    <w:rsid w:val="00CC4888"/>
    <w:rsid w:val="00CC4BB2"/>
    <w:rsid w:val="00CC50AC"/>
    <w:rsid w:val="00CC5119"/>
    <w:rsid w:val="00CC62B9"/>
    <w:rsid w:val="00CC6685"/>
    <w:rsid w:val="00CC69FC"/>
    <w:rsid w:val="00CC6E4D"/>
    <w:rsid w:val="00CC71EA"/>
    <w:rsid w:val="00CC76EB"/>
    <w:rsid w:val="00CC790C"/>
    <w:rsid w:val="00CC7D38"/>
    <w:rsid w:val="00CC7DDB"/>
    <w:rsid w:val="00CC7EDF"/>
    <w:rsid w:val="00CD02B7"/>
    <w:rsid w:val="00CD0405"/>
    <w:rsid w:val="00CD0581"/>
    <w:rsid w:val="00CD071E"/>
    <w:rsid w:val="00CD09A4"/>
    <w:rsid w:val="00CD0AAD"/>
    <w:rsid w:val="00CD11FA"/>
    <w:rsid w:val="00CD1413"/>
    <w:rsid w:val="00CD144F"/>
    <w:rsid w:val="00CD1F72"/>
    <w:rsid w:val="00CD2CB0"/>
    <w:rsid w:val="00CD3514"/>
    <w:rsid w:val="00CD3598"/>
    <w:rsid w:val="00CD3D1D"/>
    <w:rsid w:val="00CD47C1"/>
    <w:rsid w:val="00CD5363"/>
    <w:rsid w:val="00CD5512"/>
    <w:rsid w:val="00CD562D"/>
    <w:rsid w:val="00CD5BF3"/>
    <w:rsid w:val="00CD5D7D"/>
    <w:rsid w:val="00CD5E4D"/>
    <w:rsid w:val="00CD5F3B"/>
    <w:rsid w:val="00CD6249"/>
    <w:rsid w:val="00CD7B89"/>
    <w:rsid w:val="00CD7C3F"/>
    <w:rsid w:val="00CE06C8"/>
    <w:rsid w:val="00CE08EF"/>
    <w:rsid w:val="00CE0EB2"/>
    <w:rsid w:val="00CE0F26"/>
    <w:rsid w:val="00CE0FAC"/>
    <w:rsid w:val="00CE1F28"/>
    <w:rsid w:val="00CE2D94"/>
    <w:rsid w:val="00CE2DDA"/>
    <w:rsid w:val="00CE395F"/>
    <w:rsid w:val="00CE3C72"/>
    <w:rsid w:val="00CE4294"/>
    <w:rsid w:val="00CE456E"/>
    <w:rsid w:val="00CE4803"/>
    <w:rsid w:val="00CE4B43"/>
    <w:rsid w:val="00CE52D8"/>
    <w:rsid w:val="00CE5740"/>
    <w:rsid w:val="00CE5A62"/>
    <w:rsid w:val="00CE5DB1"/>
    <w:rsid w:val="00CE6113"/>
    <w:rsid w:val="00CE6E06"/>
    <w:rsid w:val="00CE72AC"/>
    <w:rsid w:val="00CE7B45"/>
    <w:rsid w:val="00CF020F"/>
    <w:rsid w:val="00CF069E"/>
    <w:rsid w:val="00CF0F7B"/>
    <w:rsid w:val="00CF154E"/>
    <w:rsid w:val="00CF1695"/>
    <w:rsid w:val="00CF18D3"/>
    <w:rsid w:val="00CF1E8F"/>
    <w:rsid w:val="00CF1F11"/>
    <w:rsid w:val="00CF2298"/>
    <w:rsid w:val="00CF2907"/>
    <w:rsid w:val="00CF34C2"/>
    <w:rsid w:val="00CF372C"/>
    <w:rsid w:val="00CF3E19"/>
    <w:rsid w:val="00CF4B30"/>
    <w:rsid w:val="00CF585A"/>
    <w:rsid w:val="00CF5E32"/>
    <w:rsid w:val="00CF6AE4"/>
    <w:rsid w:val="00CF6D05"/>
    <w:rsid w:val="00CF6D86"/>
    <w:rsid w:val="00CF6F6C"/>
    <w:rsid w:val="00CF73CB"/>
    <w:rsid w:val="00CF79DC"/>
    <w:rsid w:val="00CF7BE8"/>
    <w:rsid w:val="00CF7CAA"/>
    <w:rsid w:val="00CF7EDD"/>
    <w:rsid w:val="00D009DD"/>
    <w:rsid w:val="00D01142"/>
    <w:rsid w:val="00D0148F"/>
    <w:rsid w:val="00D0157D"/>
    <w:rsid w:val="00D01678"/>
    <w:rsid w:val="00D017A1"/>
    <w:rsid w:val="00D023D9"/>
    <w:rsid w:val="00D0247D"/>
    <w:rsid w:val="00D02554"/>
    <w:rsid w:val="00D034E4"/>
    <w:rsid w:val="00D0395A"/>
    <w:rsid w:val="00D03C1B"/>
    <w:rsid w:val="00D03C91"/>
    <w:rsid w:val="00D03D88"/>
    <w:rsid w:val="00D042EC"/>
    <w:rsid w:val="00D0445F"/>
    <w:rsid w:val="00D04473"/>
    <w:rsid w:val="00D047E7"/>
    <w:rsid w:val="00D04CBC"/>
    <w:rsid w:val="00D04EE9"/>
    <w:rsid w:val="00D0542B"/>
    <w:rsid w:val="00D05469"/>
    <w:rsid w:val="00D056C7"/>
    <w:rsid w:val="00D058CA"/>
    <w:rsid w:val="00D05A2B"/>
    <w:rsid w:val="00D060BE"/>
    <w:rsid w:val="00D06186"/>
    <w:rsid w:val="00D06248"/>
    <w:rsid w:val="00D066AD"/>
    <w:rsid w:val="00D06B0C"/>
    <w:rsid w:val="00D0709B"/>
    <w:rsid w:val="00D077BF"/>
    <w:rsid w:val="00D10292"/>
    <w:rsid w:val="00D1031F"/>
    <w:rsid w:val="00D10493"/>
    <w:rsid w:val="00D10502"/>
    <w:rsid w:val="00D10636"/>
    <w:rsid w:val="00D109AF"/>
    <w:rsid w:val="00D11083"/>
    <w:rsid w:val="00D113B7"/>
    <w:rsid w:val="00D116FE"/>
    <w:rsid w:val="00D1172D"/>
    <w:rsid w:val="00D11DF4"/>
    <w:rsid w:val="00D12DFD"/>
    <w:rsid w:val="00D12EF6"/>
    <w:rsid w:val="00D13028"/>
    <w:rsid w:val="00D1352E"/>
    <w:rsid w:val="00D1362A"/>
    <w:rsid w:val="00D1369D"/>
    <w:rsid w:val="00D141B6"/>
    <w:rsid w:val="00D145C6"/>
    <w:rsid w:val="00D14611"/>
    <w:rsid w:val="00D14870"/>
    <w:rsid w:val="00D15558"/>
    <w:rsid w:val="00D15BC1"/>
    <w:rsid w:val="00D160F4"/>
    <w:rsid w:val="00D165A2"/>
    <w:rsid w:val="00D16741"/>
    <w:rsid w:val="00D16828"/>
    <w:rsid w:val="00D16E3A"/>
    <w:rsid w:val="00D16FC5"/>
    <w:rsid w:val="00D170B2"/>
    <w:rsid w:val="00D17264"/>
    <w:rsid w:val="00D17878"/>
    <w:rsid w:val="00D2015F"/>
    <w:rsid w:val="00D20574"/>
    <w:rsid w:val="00D20A91"/>
    <w:rsid w:val="00D20B4C"/>
    <w:rsid w:val="00D20EF4"/>
    <w:rsid w:val="00D2156A"/>
    <w:rsid w:val="00D21841"/>
    <w:rsid w:val="00D21B07"/>
    <w:rsid w:val="00D2265C"/>
    <w:rsid w:val="00D22694"/>
    <w:rsid w:val="00D22E46"/>
    <w:rsid w:val="00D2379B"/>
    <w:rsid w:val="00D23B00"/>
    <w:rsid w:val="00D23B3F"/>
    <w:rsid w:val="00D24180"/>
    <w:rsid w:val="00D2426B"/>
    <w:rsid w:val="00D2429E"/>
    <w:rsid w:val="00D2440B"/>
    <w:rsid w:val="00D2474F"/>
    <w:rsid w:val="00D25CC1"/>
    <w:rsid w:val="00D25D66"/>
    <w:rsid w:val="00D25DCD"/>
    <w:rsid w:val="00D2653F"/>
    <w:rsid w:val="00D26607"/>
    <w:rsid w:val="00D266A6"/>
    <w:rsid w:val="00D2670A"/>
    <w:rsid w:val="00D26E3A"/>
    <w:rsid w:val="00D27691"/>
    <w:rsid w:val="00D27AB9"/>
    <w:rsid w:val="00D27C7A"/>
    <w:rsid w:val="00D307A1"/>
    <w:rsid w:val="00D3151A"/>
    <w:rsid w:val="00D3174A"/>
    <w:rsid w:val="00D31755"/>
    <w:rsid w:val="00D31ACA"/>
    <w:rsid w:val="00D3255A"/>
    <w:rsid w:val="00D32794"/>
    <w:rsid w:val="00D32D7A"/>
    <w:rsid w:val="00D32E36"/>
    <w:rsid w:val="00D32F82"/>
    <w:rsid w:val="00D34954"/>
    <w:rsid w:val="00D34E37"/>
    <w:rsid w:val="00D35305"/>
    <w:rsid w:val="00D3561B"/>
    <w:rsid w:val="00D356D1"/>
    <w:rsid w:val="00D358D7"/>
    <w:rsid w:val="00D367D8"/>
    <w:rsid w:val="00D36B29"/>
    <w:rsid w:val="00D373B8"/>
    <w:rsid w:val="00D37C9D"/>
    <w:rsid w:val="00D37FA9"/>
    <w:rsid w:val="00D4008C"/>
    <w:rsid w:val="00D404D3"/>
    <w:rsid w:val="00D417B9"/>
    <w:rsid w:val="00D424C6"/>
    <w:rsid w:val="00D424EB"/>
    <w:rsid w:val="00D42654"/>
    <w:rsid w:val="00D430C0"/>
    <w:rsid w:val="00D431F1"/>
    <w:rsid w:val="00D43901"/>
    <w:rsid w:val="00D43B3C"/>
    <w:rsid w:val="00D4409C"/>
    <w:rsid w:val="00D44286"/>
    <w:rsid w:val="00D44FAE"/>
    <w:rsid w:val="00D452B6"/>
    <w:rsid w:val="00D45B0E"/>
    <w:rsid w:val="00D45BD9"/>
    <w:rsid w:val="00D4751B"/>
    <w:rsid w:val="00D47BAF"/>
    <w:rsid w:val="00D5002F"/>
    <w:rsid w:val="00D503D4"/>
    <w:rsid w:val="00D50803"/>
    <w:rsid w:val="00D50D1B"/>
    <w:rsid w:val="00D51132"/>
    <w:rsid w:val="00D516AC"/>
    <w:rsid w:val="00D51846"/>
    <w:rsid w:val="00D51A30"/>
    <w:rsid w:val="00D51A89"/>
    <w:rsid w:val="00D51B4A"/>
    <w:rsid w:val="00D51BC8"/>
    <w:rsid w:val="00D51CE3"/>
    <w:rsid w:val="00D520FB"/>
    <w:rsid w:val="00D52414"/>
    <w:rsid w:val="00D53202"/>
    <w:rsid w:val="00D53482"/>
    <w:rsid w:val="00D53811"/>
    <w:rsid w:val="00D538F1"/>
    <w:rsid w:val="00D539BB"/>
    <w:rsid w:val="00D53E4B"/>
    <w:rsid w:val="00D5402A"/>
    <w:rsid w:val="00D54184"/>
    <w:rsid w:val="00D54233"/>
    <w:rsid w:val="00D542DF"/>
    <w:rsid w:val="00D54434"/>
    <w:rsid w:val="00D5497C"/>
    <w:rsid w:val="00D54CB8"/>
    <w:rsid w:val="00D55349"/>
    <w:rsid w:val="00D55A8A"/>
    <w:rsid w:val="00D56941"/>
    <w:rsid w:val="00D56BA5"/>
    <w:rsid w:val="00D57291"/>
    <w:rsid w:val="00D57944"/>
    <w:rsid w:val="00D57DF0"/>
    <w:rsid w:val="00D60177"/>
    <w:rsid w:val="00D60A74"/>
    <w:rsid w:val="00D60C75"/>
    <w:rsid w:val="00D60DFE"/>
    <w:rsid w:val="00D60E2F"/>
    <w:rsid w:val="00D60F82"/>
    <w:rsid w:val="00D6181C"/>
    <w:rsid w:val="00D62122"/>
    <w:rsid w:val="00D626AB"/>
    <w:rsid w:val="00D6286C"/>
    <w:rsid w:val="00D62C25"/>
    <w:rsid w:val="00D63154"/>
    <w:rsid w:val="00D63169"/>
    <w:rsid w:val="00D632B8"/>
    <w:rsid w:val="00D635FE"/>
    <w:rsid w:val="00D63CE5"/>
    <w:rsid w:val="00D645A9"/>
    <w:rsid w:val="00D645CF"/>
    <w:rsid w:val="00D64A87"/>
    <w:rsid w:val="00D64DEF"/>
    <w:rsid w:val="00D64E7A"/>
    <w:rsid w:val="00D6544A"/>
    <w:rsid w:val="00D662D3"/>
    <w:rsid w:val="00D667C5"/>
    <w:rsid w:val="00D66B1B"/>
    <w:rsid w:val="00D67A1A"/>
    <w:rsid w:val="00D67DC4"/>
    <w:rsid w:val="00D67E6B"/>
    <w:rsid w:val="00D702EA"/>
    <w:rsid w:val="00D70AB3"/>
    <w:rsid w:val="00D714D0"/>
    <w:rsid w:val="00D71A0F"/>
    <w:rsid w:val="00D71C17"/>
    <w:rsid w:val="00D71E87"/>
    <w:rsid w:val="00D7241E"/>
    <w:rsid w:val="00D72A3C"/>
    <w:rsid w:val="00D73854"/>
    <w:rsid w:val="00D73A93"/>
    <w:rsid w:val="00D73D83"/>
    <w:rsid w:val="00D748A1"/>
    <w:rsid w:val="00D748B5"/>
    <w:rsid w:val="00D748C1"/>
    <w:rsid w:val="00D758B5"/>
    <w:rsid w:val="00D759A5"/>
    <w:rsid w:val="00D7616C"/>
    <w:rsid w:val="00D7633B"/>
    <w:rsid w:val="00D7633D"/>
    <w:rsid w:val="00D769C4"/>
    <w:rsid w:val="00D7722B"/>
    <w:rsid w:val="00D7746E"/>
    <w:rsid w:val="00D7798E"/>
    <w:rsid w:val="00D77ECB"/>
    <w:rsid w:val="00D80291"/>
    <w:rsid w:val="00D8117A"/>
    <w:rsid w:val="00D811F0"/>
    <w:rsid w:val="00D81947"/>
    <w:rsid w:val="00D81DCF"/>
    <w:rsid w:val="00D81E84"/>
    <w:rsid w:val="00D82385"/>
    <w:rsid w:val="00D82630"/>
    <w:rsid w:val="00D82768"/>
    <w:rsid w:val="00D8315F"/>
    <w:rsid w:val="00D836EE"/>
    <w:rsid w:val="00D8380B"/>
    <w:rsid w:val="00D8382F"/>
    <w:rsid w:val="00D83B45"/>
    <w:rsid w:val="00D83C0A"/>
    <w:rsid w:val="00D83D52"/>
    <w:rsid w:val="00D847D4"/>
    <w:rsid w:val="00D84F82"/>
    <w:rsid w:val="00D85891"/>
    <w:rsid w:val="00D85BAE"/>
    <w:rsid w:val="00D85F35"/>
    <w:rsid w:val="00D85F46"/>
    <w:rsid w:val="00D86257"/>
    <w:rsid w:val="00D86316"/>
    <w:rsid w:val="00D86E82"/>
    <w:rsid w:val="00D87685"/>
    <w:rsid w:val="00D8779F"/>
    <w:rsid w:val="00D879EB"/>
    <w:rsid w:val="00D903B1"/>
    <w:rsid w:val="00D9097E"/>
    <w:rsid w:val="00D90A82"/>
    <w:rsid w:val="00D90BA0"/>
    <w:rsid w:val="00D90EDB"/>
    <w:rsid w:val="00D90FBA"/>
    <w:rsid w:val="00D9123E"/>
    <w:rsid w:val="00D91687"/>
    <w:rsid w:val="00D919B7"/>
    <w:rsid w:val="00D91ACD"/>
    <w:rsid w:val="00D91EE4"/>
    <w:rsid w:val="00D91F76"/>
    <w:rsid w:val="00D920C4"/>
    <w:rsid w:val="00D92895"/>
    <w:rsid w:val="00D92E25"/>
    <w:rsid w:val="00D936C7"/>
    <w:rsid w:val="00D940EB"/>
    <w:rsid w:val="00D941CD"/>
    <w:rsid w:val="00D9471F"/>
    <w:rsid w:val="00D94820"/>
    <w:rsid w:val="00D949A5"/>
    <w:rsid w:val="00D94AC2"/>
    <w:rsid w:val="00D95052"/>
    <w:rsid w:val="00D951F8"/>
    <w:rsid w:val="00D954FB"/>
    <w:rsid w:val="00D9557F"/>
    <w:rsid w:val="00D95940"/>
    <w:rsid w:val="00D961CB"/>
    <w:rsid w:val="00D964F8"/>
    <w:rsid w:val="00D967F8"/>
    <w:rsid w:val="00D971CC"/>
    <w:rsid w:val="00D97918"/>
    <w:rsid w:val="00D97A30"/>
    <w:rsid w:val="00D97F09"/>
    <w:rsid w:val="00DA0068"/>
    <w:rsid w:val="00DA03BF"/>
    <w:rsid w:val="00DA0BB1"/>
    <w:rsid w:val="00DA0D03"/>
    <w:rsid w:val="00DA1D34"/>
    <w:rsid w:val="00DA1FD9"/>
    <w:rsid w:val="00DA2612"/>
    <w:rsid w:val="00DA28BF"/>
    <w:rsid w:val="00DA2FFB"/>
    <w:rsid w:val="00DA373A"/>
    <w:rsid w:val="00DA42C4"/>
    <w:rsid w:val="00DA47CE"/>
    <w:rsid w:val="00DA4829"/>
    <w:rsid w:val="00DA4FC8"/>
    <w:rsid w:val="00DA50B1"/>
    <w:rsid w:val="00DA5333"/>
    <w:rsid w:val="00DA5725"/>
    <w:rsid w:val="00DA5752"/>
    <w:rsid w:val="00DA5AB3"/>
    <w:rsid w:val="00DA5D3B"/>
    <w:rsid w:val="00DA5FD3"/>
    <w:rsid w:val="00DA63A6"/>
    <w:rsid w:val="00DA6402"/>
    <w:rsid w:val="00DA675A"/>
    <w:rsid w:val="00DA71BD"/>
    <w:rsid w:val="00DA72A8"/>
    <w:rsid w:val="00DA7629"/>
    <w:rsid w:val="00DA7A00"/>
    <w:rsid w:val="00DA7A07"/>
    <w:rsid w:val="00DA7A67"/>
    <w:rsid w:val="00DA7DED"/>
    <w:rsid w:val="00DB01AE"/>
    <w:rsid w:val="00DB04FA"/>
    <w:rsid w:val="00DB09BF"/>
    <w:rsid w:val="00DB0A89"/>
    <w:rsid w:val="00DB0AFA"/>
    <w:rsid w:val="00DB0B1F"/>
    <w:rsid w:val="00DB0EC3"/>
    <w:rsid w:val="00DB0FF2"/>
    <w:rsid w:val="00DB1010"/>
    <w:rsid w:val="00DB1B8D"/>
    <w:rsid w:val="00DB1C4F"/>
    <w:rsid w:val="00DB259F"/>
    <w:rsid w:val="00DB286A"/>
    <w:rsid w:val="00DB3582"/>
    <w:rsid w:val="00DB3AB4"/>
    <w:rsid w:val="00DB3F1E"/>
    <w:rsid w:val="00DB413D"/>
    <w:rsid w:val="00DB42E2"/>
    <w:rsid w:val="00DB4CD2"/>
    <w:rsid w:val="00DB5161"/>
    <w:rsid w:val="00DB6060"/>
    <w:rsid w:val="00DB6786"/>
    <w:rsid w:val="00DB6AD0"/>
    <w:rsid w:val="00DB6CF5"/>
    <w:rsid w:val="00DB70C3"/>
    <w:rsid w:val="00DB71CA"/>
    <w:rsid w:val="00DB724A"/>
    <w:rsid w:val="00DB72B5"/>
    <w:rsid w:val="00DB75FA"/>
    <w:rsid w:val="00DB7677"/>
    <w:rsid w:val="00DB7A76"/>
    <w:rsid w:val="00DB7BA4"/>
    <w:rsid w:val="00DB7E11"/>
    <w:rsid w:val="00DC010C"/>
    <w:rsid w:val="00DC02DA"/>
    <w:rsid w:val="00DC046D"/>
    <w:rsid w:val="00DC0B01"/>
    <w:rsid w:val="00DC1D67"/>
    <w:rsid w:val="00DC1DFC"/>
    <w:rsid w:val="00DC2179"/>
    <w:rsid w:val="00DC23CB"/>
    <w:rsid w:val="00DC271E"/>
    <w:rsid w:val="00DC2BCD"/>
    <w:rsid w:val="00DC2FF8"/>
    <w:rsid w:val="00DC3357"/>
    <w:rsid w:val="00DC3A20"/>
    <w:rsid w:val="00DC411D"/>
    <w:rsid w:val="00DC4BED"/>
    <w:rsid w:val="00DC4C5F"/>
    <w:rsid w:val="00DC568A"/>
    <w:rsid w:val="00DC604B"/>
    <w:rsid w:val="00DC604E"/>
    <w:rsid w:val="00DC61E0"/>
    <w:rsid w:val="00DC62D7"/>
    <w:rsid w:val="00DC64A1"/>
    <w:rsid w:val="00DC68E3"/>
    <w:rsid w:val="00DC6BC6"/>
    <w:rsid w:val="00DC6F4C"/>
    <w:rsid w:val="00DC738F"/>
    <w:rsid w:val="00DC75DC"/>
    <w:rsid w:val="00DC7D98"/>
    <w:rsid w:val="00DD006F"/>
    <w:rsid w:val="00DD01BB"/>
    <w:rsid w:val="00DD026C"/>
    <w:rsid w:val="00DD057F"/>
    <w:rsid w:val="00DD0631"/>
    <w:rsid w:val="00DD0A2B"/>
    <w:rsid w:val="00DD0CC8"/>
    <w:rsid w:val="00DD0FA1"/>
    <w:rsid w:val="00DD1742"/>
    <w:rsid w:val="00DD179C"/>
    <w:rsid w:val="00DD1809"/>
    <w:rsid w:val="00DD21EF"/>
    <w:rsid w:val="00DD2648"/>
    <w:rsid w:val="00DD2FC6"/>
    <w:rsid w:val="00DD31B8"/>
    <w:rsid w:val="00DD35AA"/>
    <w:rsid w:val="00DD35CD"/>
    <w:rsid w:val="00DD417F"/>
    <w:rsid w:val="00DD442B"/>
    <w:rsid w:val="00DD4A9B"/>
    <w:rsid w:val="00DD5876"/>
    <w:rsid w:val="00DD59BA"/>
    <w:rsid w:val="00DD5CFE"/>
    <w:rsid w:val="00DD670F"/>
    <w:rsid w:val="00DD6BA1"/>
    <w:rsid w:val="00DD6C78"/>
    <w:rsid w:val="00DD6D34"/>
    <w:rsid w:val="00DD7005"/>
    <w:rsid w:val="00DD706A"/>
    <w:rsid w:val="00DD7EE5"/>
    <w:rsid w:val="00DD7F5C"/>
    <w:rsid w:val="00DD7F89"/>
    <w:rsid w:val="00DE006C"/>
    <w:rsid w:val="00DE01D6"/>
    <w:rsid w:val="00DE06D6"/>
    <w:rsid w:val="00DE0788"/>
    <w:rsid w:val="00DE0807"/>
    <w:rsid w:val="00DE1D32"/>
    <w:rsid w:val="00DE299D"/>
    <w:rsid w:val="00DE2AAB"/>
    <w:rsid w:val="00DE2B31"/>
    <w:rsid w:val="00DE2B73"/>
    <w:rsid w:val="00DE35D7"/>
    <w:rsid w:val="00DE38F0"/>
    <w:rsid w:val="00DE3B11"/>
    <w:rsid w:val="00DE40B8"/>
    <w:rsid w:val="00DE410A"/>
    <w:rsid w:val="00DE48BC"/>
    <w:rsid w:val="00DE4B54"/>
    <w:rsid w:val="00DE4C3A"/>
    <w:rsid w:val="00DE4CBA"/>
    <w:rsid w:val="00DE4F05"/>
    <w:rsid w:val="00DE6160"/>
    <w:rsid w:val="00DE6421"/>
    <w:rsid w:val="00DE66CA"/>
    <w:rsid w:val="00DE6807"/>
    <w:rsid w:val="00DE7A98"/>
    <w:rsid w:val="00DF025A"/>
    <w:rsid w:val="00DF066E"/>
    <w:rsid w:val="00DF11DF"/>
    <w:rsid w:val="00DF124E"/>
    <w:rsid w:val="00DF25A8"/>
    <w:rsid w:val="00DF2628"/>
    <w:rsid w:val="00DF2DBE"/>
    <w:rsid w:val="00DF2FF1"/>
    <w:rsid w:val="00DF38C4"/>
    <w:rsid w:val="00DF38E6"/>
    <w:rsid w:val="00DF3A45"/>
    <w:rsid w:val="00DF3F24"/>
    <w:rsid w:val="00DF409C"/>
    <w:rsid w:val="00DF4192"/>
    <w:rsid w:val="00DF4D0C"/>
    <w:rsid w:val="00DF4DDD"/>
    <w:rsid w:val="00DF4E59"/>
    <w:rsid w:val="00DF5212"/>
    <w:rsid w:val="00DF5716"/>
    <w:rsid w:val="00DF5E10"/>
    <w:rsid w:val="00DF5FAA"/>
    <w:rsid w:val="00DF6139"/>
    <w:rsid w:val="00DF6A3F"/>
    <w:rsid w:val="00DF6AA0"/>
    <w:rsid w:val="00DF6BA2"/>
    <w:rsid w:val="00DF6F8B"/>
    <w:rsid w:val="00DF70FD"/>
    <w:rsid w:val="00E0003F"/>
    <w:rsid w:val="00E0008C"/>
    <w:rsid w:val="00E0052E"/>
    <w:rsid w:val="00E00563"/>
    <w:rsid w:val="00E0068F"/>
    <w:rsid w:val="00E0076D"/>
    <w:rsid w:val="00E00BBB"/>
    <w:rsid w:val="00E0100D"/>
    <w:rsid w:val="00E01789"/>
    <w:rsid w:val="00E01D2E"/>
    <w:rsid w:val="00E01F3D"/>
    <w:rsid w:val="00E028A3"/>
    <w:rsid w:val="00E03198"/>
    <w:rsid w:val="00E0381C"/>
    <w:rsid w:val="00E03884"/>
    <w:rsid w:val="00E03B7F"/>
    <w:rsid w:val="00E04451"/>
    <w:rsid w:val="00E045B2"/>
    <w:rsid w:val="00E0464D"/>
    <w:rsid w:val="00E047C6"/>
    <w:rsid w:val="00E0480B"/>
    <w:rsid w:val="00E04CF8"/>
    <w:rsid w:val="00E04DBF"/>
    <w:rsid w:val="00E05B6A"/>
    <w:rsid w:val="00E06770"/>
    <w:rsid w:val="00E06FC5"/>
    <w:rsid w:val="00E071B0"/>
    <w:rsid w:val="00E10C7F"/>
    <w:rsid w:val="00E1102F"/>
    <w:rsid w:val="00E119A0"/>
    <w:rsid w:val="00E11A61"/>
    <w:rsid w:val="00E11B2C"/>
    <w:rsid w:val="00E11B2E"/>
    <w:rsid w:val="00E11D97"/>
    <w:rsid w:val="00E11F66"/>
    <w:rsid w:val="00E120FE"/>
    <w:rsid w:val="00E1221F"/>
    <w:rsid w:val="00E12803"/>
    <w:rsid w:val="00E12F23"/>
    <w:rsid w:val="00E12FC2"/>
    <w:rsid w:val="00E13203"/>
    <w:rsid w:val="00E13DA6"/>
    <w:rsid w:val="00E151AB"/>
    <w:rsid w:val="00E152FA"/>
    <w:rsid w:val="00E163D7"/>
    <w:rsid w:val="00E16954"/>
    <w:rsid w:val="00E16A80"/>
    <w:rsid w:val="00E16C4F"/>
    <w:rsid w:val="00E16DCB"/>
    <w:rsid w:val="00E1787C"/>
    <w:rsid w:val="00E17A57"/>
    <w:rsid w:val="00E17F69"/>
    <w:rsid w:val="00E2066A"/>
    <w:rsid w:val="00E207C6"/>
    <w:rsid w:val="00E20E0C"/>
    <w:rsid w:val="00E2163A"/>
    <w:rsid w:val="00E22370"/>
    <w:rsid w:val="00E224B8"/>
    <w:rsid w:val="00E22544"/>
    <w:rsid w:val="00E22605"/>
    <w:rsid w:val="00E226CA"/>
    <w:rsid w:val="00E22788"/>
    <w:rsid w:val="00E23085"/>
    <w:rsid w:val="00E2365B"/>
    <w:rsid w:val="00E23AE3"/>
    <w:rsid w:val="00E23B18"/>
    <w:rsid w:val="00E23F46"/>
    <w:rsid w:val="00E241AD"/>
    <w:rsid w:val="00E24401"/>
    <w:rsid w:val="00E247AA"/>
    <w:rsid w:val="00E25402"/>
    <w:rsid w:val="00E25479"/>
    <w:rsid w:val="00E25804"/>
    <w:rsid w:val="00E26146"/>
    <w:rsid w:val="00E2674A"/>
    <w:rsid w:val="00E26F93"/>
    <w:rsid w:val="00E276E6"/>
    <w:rsid w:val="00E27878"/>
    <w:rsid w:val="00E27D7B"/>
    <w:rsid w:val="00E30981"/>
    <w:rsid w:val="00E30B24"/>
    <w:rsid w:val="00E31D61"/>
    <w:rsid w:val="00E32075"/>
    <w:rsid w:val="00E32422"/>
    <w:rsid w:val="00E324A7"/>
    <w:rsid w:val="00E32A9C"/>
    <w:rsid w:val="00E32FA3"/>
    <w:rsid w:val="00E33128"/>
    <w:rsid w:val="00E34657"/>
    <w:rsid w:val="00E34F05"/>
    <w:rsid w:val="00E35864"/>
    <w:rsid w:val="00E36B99"/>
    <w:rsid w:val="00E36DED"/>
    <w:rsid w:val="00E36E72"/>
    <w:rsid w:val="00E4052A"/>
    <w:rsid w:val="00E40FFB"/>
    <w:rsid w:val="00E41D3E"/>
    <w:rsid w:val="00E42728"/>
    <w:rsid w:val="00E42F0B"/>
    <w:rsid w:val="00E42FF0"/>
    <w:rsid w:val="00E43187"/>
    <w:rsid w:val="00E43451"/>
    <w:rsid w:val="00E438A1"/>
    <w:rsid w:val="00E43E57"/>
    <w:rsid w:val="00E4440A"/>
    <w:rsid w:val="00E4512C"/>
    <w:rsid w:val="00E45689"/>
    <w:rsid w:val="00E457CB"/>
    <w:rsid w:val="00E45816"/>
    <w:rsid w:val="00E4594A"/>
    <w:rsid w:val="00E45B98"/>
    <w:rsid w:val="00E461B3"/>
    <w:rsid w:val="00E46E7D"/>
    <w:rsid w:val="00E472D7"/>
    <w:rsid w:val="00E47EC4"/>
    <w:rsid w:val="00E47ECD"/>
    <w:rsid w:val="00E5008B"/>
    <w:rsid w:val="00E501EF"/>
    <w:rsid w:val="00E506A7"/>
    <w:rsid w:val="00E50803"/>
    <w:rsid w:val="00E51EEF"/>
    <w:rsid w:val="00E5278F"/>
    <w:rsid w:val="00E52B5A"/>
    <w:rsid w:val="00E52B6C"/>
    <w:rsid w:val="00E52D5B"/>
    <w:rsid w:val="00E530A3"/>
    <w:rsid w:val="00E538C0"/>
    <w:rsid w:val="00E53E28"/>
    <w:rsid w:val="00E54471"/>
    <w:rsid w:val="00E548BB"/>
    <w:rsid w:val="00E54991"/>
    <w:rsid w:val="00E5532A"/>
    <w:rsid w:val="00E55352"/>
    <w:rsid w:val="00E556A3"/>
    <w:rsid w:val="00E55996"/>
    <w:rsid w:val="00E55E6A"/>
    <w:rsid w:val="00E560B8"/>
    <w:rsid w:val="00E56BAE"/>
    <w:rsid w:val="00E56CAD"/>
    <w:rsid w:val="00E56EB7"/>
    <w:rsid w:val="00E57279"/>
    <w:rsid w:val="00E57323"/>
    <w:rsid w:val="00E57556"/>
    <w:rsid w:val="00E57A13"/>
    <w:rsid w:val="00E606E8"/>
    <w:rsid w:val="00E60AC1"/>
    <w:rsid w:val="00E60B3A"/>
    <w:rsid w:val="00E61A45"/>
    <w:rsid w:val="00E61D1F"/>
    <w:rsid w:val="00E620C9"/>
    <w:rsid w:val="00E62A08"/>
    <w:rsid w:val="00E62D96"/>
    <w:rsid w:val="00E63185"/>
    <w:rsid w:val="00E63481"/>
    <w:rsid w:val="00E63B59"/>
    <w:rsid w:val="00E63DA3"/>
    <w:rsid w:val="00E6453F"/>
    <w:rsid w:val="00E64DC8"/>
    <w:rsid w:val="00E64F80"/>
    <w:rsid w:val="00E65AB2"/>
    <w:rsid w:val="00E66178"/>
    <w:rsid w:val="00E663FF"/>
    <w:rsid w:val="00E6655B"/>
    <w:rsid w:val="00E66AA5"/>
    <w:rsid w:val="00E66B69"/>
    <w:rsid w:val="00E66F48"/>
    <w:rsid w:val="00E6713C"/>
    <w:rsid w:val="00E6765F"/>
    <w:rsid w:val="00E67D1F"/>
    <w:rsid w:val="00E70208"/>
    <w:rsid w:val="00E70D45"/>
    <w:rsid w:val="00E71504"/>
    <w:rsid w:val="00E71941"/>
    <w:rsid w:val="00E7195B"/>
    <w:rsid w:val="00E719C3"/>
    <w:rsid w:val="00E71A83"/>
    <w:rsid w:val="00E71E1E"/>
    <w:rsid w:val="00E723D4"/>
    <w:rsid w:val="00E72747"/>
    <w:rsid w:val="00E72B26"/>
    <w:rsid w:val="00E72BB6"/>
    <w:rsid w:val="00E72ED8"/>
    <w:rsid w:val="00E7337E"/>
    <w:rsid w:val="00E734A0"/>
    <w:rsid w:val="00E736FA"/>
    <w:rsid w:val="00E741EA"/>
    <w:rsid w:val="00E7450F"/>
    <w:rsid w:val="00E75495"/>
    <w:rsid w:val="00E755D1"/>
    <w:rsid w:val="00E75667"/>
    <w:rsid w:val="00E75D52"/>
    <w:rsid w:val="00E75D8F"/>
    <w:rsid w:val="00E75DE0"/>
    <w:rsid w:val="00E761C4"/>
    <w:rsid w:val="00E7627C"/>
    <w:rsid w:val="00E7628F"/>
    <w:rsid w:val="00E76404"/>
    <w:rsid w:val="00E76B3A"/>
    <w:rsid w:val="00E77807"/>
    <w:rsid w:val="00E7796C"/>
    <w:rsid w:val="00E779E1"/>
    <w:rsid w:val="00E77C58"/>
    <w:rsid w:val="00E801E3"/>
    <w:rsid w:val="00E802D0"/>
    <w:rsid w:val="00E803FE"/>
    <w:rsid w:val="00E807C7"/>
    <w:rsid w:val="00E809DD"/>
    <w:rsid w:val="00E82120"/>
    <w:rsid w:val="00E82482"/>
    <w:rsid w:val="00E8253E"/>
    <w:rsid w:val="00E82901"/>
    <w:rsid w:val="00E82D02"/>
    <w:rsid w:val="00E82D64"/>
    <w:rsid w:val="00E82F69"/>
    <w:rsid w:val="00E832F9"/>
    <w:rsid w:val="00E83ABC"/>
    <w:rsid w:val="00E83B8D"/>
    <w:rsid w:val="00E84B88"/>
    <w:rsid w:val="00E84EC9"/>
    <w:rsid w:val="00E85011"/>
    <w:rsid w:val="00E85484"/>
    <w:rsid w:val="00E858E9"/>
    <w:rsid w:val="00E8596D"/>
    <w:rsid w:val="00E85D38"/>
    <w:rsid w:val="00E85D90"/>
    <w:rsid w:val="00E86114"/>
    <w:rsid w:val="00E86153"/>
    <w:rsid w:val="00E8638B"/>
    <w:rsid w:val="00E86EF3"/>
    <w:rsid w:val="00E872FA"/>
    <w:rsid w:val="00E87598"/>
    <w:rsid w:val="00E87963"/>
    <w:rsid w:val="00E900F2"/>
    <w:rsid w:val="00E909B4"/>
    <w:rsid w:val="00E91382"/>
    <w:rsid w:val="00E918EB"/>
    <w:rsid w:val="00E919A5"/>
    <w:rsid w:val="00E92434"/>
    <w:rsid w:val="00E925FF"/>
    <w:rsid w:val="00E9270F"/>
    <w:rsid w:val="00E927D7"/>
    <w:rsid w:val="00E93536"/>
    <w:rsid w:val="00E935E9"/>
    <w:rsid w:val="00E9374B"/>
    <w:rsid w:val="00E93A4D"/>
    <w:rsid w:val="00E9409A"/>
    <w:rsid w:val="00E94323"/>
    <w:rsid w:val="00E947A1"/>
    <w:rsid w:val="00E94A7E"/>
    <w:rsid w:val="00E94EA6"/>
    <w:rsid w:val="00E953F7"/>
    <w:rsid w:val="00E95834"/>
    <w:rsid w:val="00E95BF2"/>
    <w:rsid w:val="00E961E5"/>
    <w:rsid w:val="00E963EC"/>
    <w:rsid w:val="00E96D58"/>
    <w:rsid w:val="00E97592"/>
    <w:rsid w:val="00EA0A65"/>
    <w:rsid w:val="00EA12D5"/>
    <w:rsid w:val="00EA1538"/>
    <w:rsid w:val="00EA199E"/>
    <w:rsid w:val="00EA1EC0"/>
    <w:rsid w:val="00EA271B"/>
    <w:rsid w:val="00EA2EBB"/>
    <w:rsid w:val="00EA38F8"/>
    <w:rsid w:val="00EA39DD"/>
    <w:rsid w:val="00EA3B77"/>
    <w:rsid w:val="00EA3F9A"/>
    <w:rsid w:val="00EA40D9"/>
    <w:rsid w:val="00EA42F8"/>
    <w:rsid w:val="00EA48B8"/>
    <w:rsid w:val="00EA4D7F"/>
    <w:rsid w:val="00EA5CA2"/>
    <w:rsid w:val="00EA5DBB"/>
    <w:rsid w:val="00EA61A4"/>
    <w:rsid w:val="00EA6608"/>
    <w:rsid w:val="00EA6804"/>
    <w:rsid w:val="00EA6824"/>
    <w:rsid w:val="00EA682B"/>
    <w:rsid w:val="00EA6841"/>
    <w:rsid w:val="00EA73B1"/>
    <w:rsid w:val="00EA7579"/>
    <w:rsid w:val="00EA7A76"/>
    <w:rsid w:val="00EB003B"/>
    <w:rsid w:val="00EB0FB5"/>
    <w:rsid w:val="00EB1215"/>
    <w:rsid w:val="00EB1668"/>
    <w:rsid w:val="00EB1BEF"/>
    <w:rsid w:val="00EB2370"/>
    <w:rsid w:val="00EB2AE2"/>
    <w:rsid w:val="00EB2E9F"/>
    <w:rsid w:val="00EB3450"/>
    <w:rsid w:val="00EB357F"/>
    <w:rsid w:val="00EB38D3"/>
    <w:rsid w:val="00EB3AD7"/>
    <w:rsid w:val="00EB3BEF"/>
    <w:rsid w:val="00EB421E"/>
    <w:rsid w:val="00EB42B0"/>
    <w:rsid w:val="00EB45B1"/>
    <w:rsid w:val="00EB5021"/>
    <w:rsid w:val="00EB537F"/>
    <w:rsid w:val="00EB5599"/>
    <w:rsid w:val="00EB55FE"/>
    <w:rsid w:val="00EB5AF4"/>
    <w:rsid w:val="00EB5E70"/>
    <w:rsid w:val="00EB6AF5"/>
    <w:rsid w:val="00EB6E66"/>
    <w:rsid w:val="00EB7429"/>
    <w:rsid w:val="00EB752D"/>
    <w:rsid w:val="00EB7A91"/>
    <w:rsid w:val="00EB7D81"/>
    <w:rsid w:val="00EC0305"/>
    <w:rsid w:val="00EC030B"/>
    <w:rsid w:val="00EC0889"/>
    <w:rsid w:val="00EC0B8A"/>
    <w:rsid w:val="00EC125F"/>
    <w:rsid w:val="00EC12D7"/>
    <w:rsid w:val="00EC14D9"/>
    <w:rsid w:val="00EC16C8"/>
    <w:rsid w:val="00EC240D"/>
    <w:rsid w:val="00EC2699"/>
    <w:rsid w:val="00EC348C"/>
    <w:rsid w:val="00EC3ED2"/>
    <w:rsid w:val="00EC46C9"/>
    <w:rsid w:val="00EC4BFA"/>
    <w:rsid w:val="00EC59FE"/>
    <w:rsid w:val="00EC5B40"/>
    <w:rsid w:val="00EC5DD7"/>
    <w:rsid w:val="00EC61EB"/>
    <w:rsid w:val="00EC6504"/>
    <w:rsid w:val="00EC65A4"/>
    <w:rsid w:val="00EC6A1F"/>
    <w:rsid w:val="00EC6B4E"/>
    <w:rsid w:val="00EC6C2A"/>
    <w:rsid w:val="00EC766E"/>
    <w:rsid w:val="00EC7823"/>
    <w:rsid w:val="00EC792A"/>
    <w:rsid w:val="00EC7A3F"/>
    <w:rsid w:val="00ED00A3"/>
    <w:rsid w:val="00ED04C4"/>
    <w:rsid w:val="00ED07A0"/>
    <w:rsid w:val="00ED0D8C"/>
    <w:rsid w:val="00ED0DCA"/>
    <w:rsid w:val="00ED0DE3"/>
    <w:rsid w:val="00ED157D"/>
    <w:rsid w:val="00ED1A7B"/>
    <w:rsid w:val="00ED1C17"/>
    <w:rsid w:val="00ED1C44"/>
    <w:rsid w:val="00ED1DBA"/>
    <w:rsid w:val="00ED24D3"/>
    <w:rsid w:val="00ED267F"/>
    <w:rsid w:val="00ED282F"/>
    <w:rsid w:val="00ED32D4"/>
    <w:rsid w:val="00ED34D6"/>
    <w:rsid w:val="00ED3B66"/>
    <w:rsid w:val="00ED3DAC"/>
    <w:rsid w:val="00ED45EE"/>
    <w:rsid w:val="00ED4A7E"/>
    <w:rsid w:val="00ED4BC3"/>
    <w:rsid w:val="00ED4FF5"/>
    <w:rsid w:val="00ED51A2"/>
    <w:rsid w:val="00ED5A04"/>
    <w:rsid w:val="00ED5AF5"/>
    <w:rsid w:val="00ED67F7"/>
    <w:rsid w:val="00ED6C37"/>
    <w:rsid w:val="00ED6C56"/>
    <w:rsid w:val="00ED77AC"/>
    <w:rsid w:val="00EE0102"/>
    <w:rsid w:val="00EE04AF"/>
    <w:rsid w:val="00EE0609"/>
    <w:rsid w:val="00EE0CA3"/>
    <w:rsid w:val="00EE0FC3"/>
    <w:rsid w:val="00EE10C0"/>
    <w:rsid w:val="00EE1AC7"/>
    <w:rsid w:val="00EE1F3B"/>
    <w:rsid w:val="00EE28F0"/>
    <w:rsid w:val="00EE2911"/>
    <w:rsid w:val="00EE2AE8"/>
    <w:rsid w:val="00EE34BA"/>
    <w:rsid w:val="00EE3921"/>
    <w:rsid w:val="00EE3DBE"/>
    <w:rsid w:val="00EE429D"/>
    <w:rsid w:val="00EE432E"/>
    <w:rsid w:val="00EE4518"/>
    <w:rsid w:val="00EE483C"/>
    <w:rsid w:val="00EE4EE9"/>
    <w:rsid w:val="00EE5DEE"/>
    <w:rsid w:val="00EE61E0"/>
    <w:rsid w:val="00EE6297"/>
    <w:rsid w:val="00EE656D"/>
    <w:rsid w:val="00EE698B"/>
    <w:rsid w:val="00EE6F9A"/>
    <w:rsid w:val="00EE725C"/>
    <w:rsid w:val="00EE76BC"/>
    <w:rsid w:val="00EE7B2B"/>
    <w:rsid w:val="00EF06A9"/>
    <w:rsid w:val="00EF0A9C"/>
    <w:rsid w:val="00EF0B80"/>
    <w:rsid w:val="00EF0BD5"/>
    <w:rsid w:val="00EF1507"/>
    <w:rsid w:val="00EF1C46"/>
    <w:rsid w:val="00EF1DE0"/>
    <w:rsid w:val="00EF231A"/>
    <w:rsid w:val="00EF287D"/>
    <w:rsid w:val="00EF2BCA"/>
    <w:rsid w:val="00EF2D63"/>
    <w:rsid w:val="00EF3D75"/>
    <w:rsid w:val="00EF3EC1"/>
    <w:rsid w:val="00EF4827"/>
    <w:rsid w:val="00EF4839"/>
    <w:rsid w:val="00EF50F9"/>
    <w:rsid w:val="00EF5188"/>
    <w:rsid w:val="00EF52F5"/>
    <w:rsid w:val="00EF54F9"/>
    <w:rsid w:val="00EF559A"/>
    <w:rsid w:val="00EF55D6"/>
    <w:rsid w:val="00EF5AEC"/>
    <w:rsid w:val="00EF5E85"/>
    <w:rsid w:val="00EF6B5F"/>
    <w:rsid w:val="00EF6B61"/>
    <w:rsid w:val="00EF6EA2"/>
    <w:rsid w:val="00EF7285"/>
    <w:rsid w:val="00EF75D5"/>
    <w:rsid w:val="00EF7A99"/>
    <w:rsid w:val="00EF7CDB"/>
    <w:rsid w:val="00F00133"/>
    <w:rsid w:val="00F00AC9"/>
    <w:rsid w:val="00F00B98"/>
    <w:rsid w:val="00F00CEB"/>
    <w:rsid w:val="00F00E32"/>
    <w:rsid w:val="00F0111E"/>
    <w:rsid w:val="00F02921"/>
    <w:rsid w:val="00F02CCD"/>
    <w:rsid w:val="00F032C3"/>
    <w:rsid w:val="00F03D95"/>
    <w:rsid w:val="00F056C3"/>
    <w:rsid w:val="00F05819"/>
    <w:rsid w:val="00F0693C"/>
    <w:rsid w:val="00F06CEC"/>
    <w:rsid w:val="00F0724D"/>
    <w:rsid w:val="00F07558"/>
    <w:rsid w:val="00F0767D"/>
    <w:rsid w:val="00F07A0A"/>
    <w:rsid w:val="00F103B8"/>
    <w:rsid w:val="00F10676"/>
    <w:rsid w:val="00F10ACC"/>
    <w:rsid w:val="00F1128F"/>
    <w:rsid w:val="00F1180E"/>
    <w:rsid w:val="00F11DF2"/>
    <w:rsid w:val="00F11EFC"/>
    <w:rsid w:val="00F1270A"/>
    <w:rsid w:val="00F1280C"/>
    <w:rsid w:val="00F12BE1"/>
    <w:rsid w:val="00F12EF3"/>
    <w:rsid w:val="00F12F64"/>
    <w:rsid w:val="00F13042"/>
    <w:rsid w:val="00F13181"/>
    <w:rsid w:val="00F13A83"/>
    <w:rsid w:val="00F13BE6"/>
    <w:rsid w:val="00F14773"/>
    <w:rsid w:val="00F15301"/>
    <w:rsid w:val="00F15B88"/>
    <w:rsid w:val="00F15BB0"/>
    <w:rsid w:val="00F15BF0"/>
    <w:rsid w:val="00F15EFB"/>
    <w:rsid w:val="00F16761"/>
    <w:rsid w:val="00F16875"/>
    <w:rsid w:val="00F16B24"/>
    <w:rsid w:val="00F16B48"/>
    <w:rsid w:val="00F17174"/>
    <w:rsid w:val="00F1746B"/>
    <w:rsid w:val="00F179B6"/>
    <w:rsid w:val="00F17A8B"/>
    <w:rsid w:val="00F17AF6"/>
    <w:rsid w:val="00F20687"/>
    <w:rsid w:val="00F21131"/>
    <w:rsid w:val="00F21297"/>
    <w:rsid w:val="00F214A3"/>
    <w:rsid w:val="00F218A4"/>
    <w:rsid w:val="00F21B93"/>
    <w:rsid w:val="00F223AB"/>
    <w:rsid w:val="00F22411"/>
    <w:rsid w:val="00F22966"/>
    <w:rsid w:val="00F22BC3"/>
    <w:rsid w:val="00F2331D"/>
    <w:rsid w:val="00F237B1"/>
    <w:rsid w:val="00F23B1F"/>
    <w:rsid w:val="00F23D37"/>
    <w:rsid w:val="00F23FD3"/>
    <w:rsid w:val="00F242E8"/>
    <w:rsid w:val="00F2451A"/>
    <w:rsid w:val="00F245B5"/>
    <w:rsid w:val="00F2506C"/>
    <w:rsid w:val="00F25279"/>
    <w:rsid w:val="00F253D8"/>
    <w:rsid w:val="00F25940"/>
    <w:rsid w:val="00F26503"/>
    <w:rsid w:val="00F26657"/>
    <w:rsid w:val="00F266AC"/>
    <w:rsid w:val="00F26B01"/>
    <w:rsid w:val="00F27AB2"/>
    <w:rsid w:val="00F27ECD"/>
    <w:rsid w:val="00F27FCC"/>
    <w:rsid w:val="00F30720"/>
    <w:rsid w:val="00F312F6"/>
    <w:rsid w:val="00F315AF"/>
    <w:rsid w:val="00F31A48"/>
    <w:rsid w:val="00F32238"/>
    <w:rsid w:val="00F323C3"/>
    <w:rsid w:val="00F324B0"/>
    <w:rsid w:val="00F32588"/>
    <w:rsid w:val="00F33033"/>
    <w:rsid w:val="00F3374F"/>
    <w:rsid w:val="00F33D63"/>
    <w:rsid w:val="00F33EC5"/>
    <w:rsid w:val="00F33FDE"/>
    <w:rsid w:val="00F3429D"/>
    <w:rsid w:val="00F34CA6"/>
    <w:rsid w:val="00F3503C"/>
    <w:rsid w:val="00F35423"/>
    <w:rsid w:val="00F3576E"/>
    <w:rsid w:val="00F3679C"/>
    <w:rsid w:val="00F36A8B"/>
    <w:rsid w:val="00F36A8C"/>
    <w:rsid w:val="00F37250"/>
    <w:rsid w:val="00F3746F"/>
    <w:rsid w:val="00F3794F"/>
    <w:rsid w:val="00F40333"/>
    <w:rsid w:val="00F408DA"/>
    <w:rsid w:val="00F40996"/>
    <w:rsid w:val="00F40C8E"/>
    <w:rsid w:val="00F40D27"/>
    <w:rsid w:val="00F41761"/>
    <w:rsid w:val="00F41BE9"/>
    <w:rsid w:val="00F423F1"/>
    <w:rsid w:val="00F4259D"/>
    <w:rsid w:val="00F42899"/>
    <w:rsid w:val="00F42948"/>
    <w:rsid w:val="00F430A3"/>
    <w:rsid w:val="00F43623"/>
    <w:rsid w:val="00F43A04"/>
    <w:rsid w:val="00F43D60"/>
    <w:rsid w:val="00F4447A"/>
    <w:rsid w:val="00F44642"/>
    <w:rsid w:val="00F448C5"/>
    <w:rsid w:val="00F44C24"/>
    <w:rsid w:val="00F44D61"/>
    <w:rsid w:val="00F45C9F"/>
    <w:rsid w:val="00F4624C"/>
    <w:rsid w:val="00F4664E"/>
    <w:rsid w:val="00F46D0A"/>
    <w:rsid w:val="00F47125"/>
    <w:rsid w:val="00F474A3"/>
    <w:rsid w:val="00F47EAD"/>
    <w:rsid w:val="00F50186"/>
    <w:rsid w:val="00F50312"/>
    <w:rsid w:val="00F50679"/>
    <w:rsid w:val="00F50D7C"/>
    <w:rsid w:val="00F515DA"/>
    <w:rsid w:val="00F51ABD"/>
    <w:rsid w:val="00F52604"/>
    <w:rsid w:val="00F52D2F"/>
    <w:rsid w:val="00F534EE"/>
    <w:rsid w:val="00F535A4"/>
    <w:rsid w:val="00F536C8"/>
    <w:rsid w:val="00F53707"/>
    <w:rsid w:val="00F53B83"/>
    <w:rsid w:val="00F541C4"/>
    <w:rsid w:val="00F54854"/>
    <w:rsid w:val="00F54C32"/>
    <w:rsid w:val="00F54CE2"/>
    <w:rsid w:val="00F556CB"/>
    <w:rsid w:val="00F559AF"/>
    <w:rsid w:val="00F5630B"/>
    <w:rsid w:val="00F5680C"/>
    <w:rsid w:val="00F5714F"/>
    <w:rsid w:val="00F57868"/>
    <w:rsid w:val="00F600DF"/>
    <w:rsid w:val="00F60175"/>
    <w:rsid w:val="00F6088C"/>
    <w:rsid w:val="00F61DAF"/>
    <w:rsid w:val="00F620DB"/>
    <w:rsid w:val="00F6216D"/>
    <w:rsid w:val="00F62350"/>
    <w:rsid w:val="00F62D9F"/>
    <w:rsid w:val="00F632D1"/>
    <w:rsid w:val="00F63671"/>
    <w:rsid w:val="00F63741"/>
    <w:rsid w:val="00F6377C"/>
    <w:rsid w:val="00F63980"/>
    <w:rsid w:val="00F639B2"/>
    <w:rsid w:val="00F64142"/>
    <w:rsid w:val="00F6489C"/>
    <w:rsid w:val="00F648F1"/>
    <w:rsid w:val="00F64D81"/>
    <w:rsid w:val="00F65B13"/>
    <w:rsid w:val="00F65F14"/>
    <w:rsid w:val="00F6619F"/>
    <w:rsid w:val="00F662AA"/>
    <w:rsid w:val="00F6643E"/>
    <w:rsid w:val="00F66997"/>
    <w:rsid w:val="00F66EC1"/>
    <w:rsid w:val="00F66F52"/>
    <w:rsid w:val="00F67598"/>
    <w:rsid w:val="00F675BD"/>
    <w:rsid w:val="00F70051"/>
    <w:rsid w:val="00F70437"/>
    <w:rsid w:val="00F707BB"/>
    <w:rsid w:val="00F70D5B"/>
    <w:rsid w:val="00F70DC6"/>
    <w:rsid w:val="00F71216"/>
    <w:rsid w:val="00F72569"/>
    <w:rsid w:val="00F7272A"/>
    <w:rsid w:val="00F729AF"/>
    <w:rsid w:val="00F72C28"/>
    <w:rsid w:val="00F73752"/>
    <w:rsid w:val="00F73E28"/>
    <w:rsid w:val="00F74580"/>
    <w:rsid w:val="00F74842"/>
    <w:rsid w:val="00F7507A"/>
    <w:rsid w:val="00F751B7"/>
    <w:rsid w:val="00F7560E"/>
    <w:rsid w:val="00F75D45"/>
    <w:rsid w:val="00F762D7"/>
    <w:rsid w:val="00F76784"/>
    <w:rsid w:val="00F767D5"/>
    <w:rsid w:val="00F7691F"/>
    <w:rsid w:val="00F76A45"/>
    <w:rsid w:val="00F77353"/>
    <w:rsid w:val="00F77593"/>
    <w:rsid w:val="00F77708"/>
    <w:rsid w:val="00F77CC2"/>
    <w:rsid w:val="00F77F79"/>
    <w:rsid w:val="00F800D8"/>
    <w:rsid w:val="00F801AF"/>
    <w:rsid w:val="00F8068A"/>
    <w:rsid w:val="00F80E2E"/>
    <w:rsid w:val="00F80FC3"/>
    <w:rsid w:val="00F8114C"/>
    <w:rsid w:val="00F8117F"/>
    <w:rsid w:val="00F815A2"/>
    <w:rsid w:val="00F816D8"/>
    <w:rsid w:val="00F816FE"/>
    <w:rsid w:val="00F817CE"/>
    <w:rsid w:val="00F81817"/>
    <w:rsid w:val="00F8187C"/>
    <w:rsid w:val="00F81897"/>
    <w:rsid w:val="00F81932"/>
    <w:rsid w:val="00F83067"/>
    <w:rsid w:val="00F8348F"/>
    <w:rsid w:val="00F83934"/>
    <w:rsid w:val="00F84169"/>
    <w:rsid w:val="00F846D5"/>
    <w:rsid w:val="00F847BF"/>
    <w:rsid w:val="00F84C0C"/>
    <w:rsid w:val="00F84C45"/>
    <w:rsid w:val="00F84EE7"/>
    <w:rsid w:val="00F84F55"/>
    <w:rsid w:val="00F854C8"/>
    <w:rsid w:val="00F85B67"/>
    <w:rsid w:val="00F85C67"/>
    <w:rsid w:val="00F85DA2"/>
    <w:rsid w:val="00F86159"/>
    <w:rsid w:val="00F8718F"/>
    <w:rsid w:val="00F87234"/>
    <w:rsid w:val="00F87726"/>
    <w:rsid w:val="00F87D06"/>
    <w:rsid w:val="00F907E9"/>
    <w:rsid w:val="00F90918"/>
    <w:rsid w:val="00F90A53"/>
    <w:rsid w:val="00F90C14"/>
    <w:rsid w:val="00F90D6D"/>
    <w:rsid w:val="00F910C1"/>
    <w:rsid w:val="00F9135F"/>
    <w:rsid w:val="00F91696"/>
    <w:rsid w:val="00F91D07"/>
    <w:rsid w:val="00F92BA4"/>
    <w:rsid w:val="00F93283"/>
    <w:rsid w:val="00F935F7"/>
    <w:rsid w:val="00F936B0"/>
    <w:rsid w:val="00F9392E"/>
    <w:rsid w:val="00F93B87"/>
    <w:rsid w:val="00F93DC5"/>
    <w:rsid w:val="00F93F14"/>
    <w:rsid w:val="00F93F23"/>
    <w:rsid w:val="00F9429C"/>
    <w:rsid w:val="00F94B7D"/>
    <w:rsid w:val="00F94BDE"/>
    <w:rsid w:val="00F94DB8"/>
    <w:rsid w:val="00F95B7D"/>
    <w:rsid w:val="00F95B87"/>
    <w:rsid w:val="00F95CCF"/>
    <w:rsid w:val="00F9672E"/>
    <w:rsid w:val="00F9726B"/>
    <w:rsid w:val="00F973AF"/>
    <w:rsid w:val="00F974A6"/>
    <w:rsid w:val="00F97770"/>
    <w:rsid w:val="00F97AE2"/>
    <w:rsid w:val="00FA03C1"/>
    <w:rsid w:val="00FA07EA"/>
    <w:rsid w:val="00FA0B51"/>
    <w:rsid w:val="00FA0E8C"/>
    <w:rsid w:val="00FA1BF3"/>
    <w:rsid w:val="00FA1F28"/>
    <w:rsid w:val="00FA20C6"/>
    <w:rsid w:val="00FA2116"/>
    <w:rsid w:val="00FA212F"/>
    <w:rsid w:val="00FA26B4"/>
    <w:rsid w:val="00FA2FD7"/>
    <w:rsid w:val="00FA3412"/>
    <w:rsid w:val="00FA3457"/>
    <w:rsid w:val="00FA3844"/>
    <w:rsid w:val="00FA39A0"/>
    <w:rsid w:val="00FA3AA7"/>
    <w:rsid w:val="00FA3FA6"/>
    <w:rsid w:val="00FA4BE2"/>
    <w:rsid w:val="00FA4BE3"/>
    <w:rsid w:val="00FA544D"/>
    <w:rsid w:val="00FA5809"/>
    <w:rsid w:val="00FA5B5A"/>
    <w:rsid w:val="00FA6453"/>
    <w:rsid w:val="00FA645C"/>
    <w:rsid w:val="00FA64A5"/>
    <w:rsid w:val="00FA64BB"/>
    <w:rsid w:val="00FA655F"/>
    <w:rsid w:val="00FA6A71"/>
    <w:rsid w:val="00FA79F3"/>
    <w:rsid w:val="00FA7CAE"/>
    <w:rsid w:val="00FA7FC4"/>
    <w:rsid w:val="00FB0558"/>
    <w:rsid w:val="00FB1075"/>
    <w:rsid w:val="00FB11C6"/>
    <w:rsid w:val="00FB14B4"/>
    <w:rsid w:val="00FB1E16"/>
    <w:rsid w:val="00FB2166"/>
    <w:rsid w:val="00FB2234"/>
    <w:rsid w:val="00FB2363"/>
    <w:rsid w:val="00FB24E2"/>
    <w:rsid w:val="00FB273F"/>
    <w:rsid w:val="00FB28CD"/>
    <w:rsid w:val="00FB2FEA"/>
    <w:rsid w:val="00FB329F"/>
    <w:rsid w:val="00FB3322"/>
    <w:rsid w:val="00FB3CFF"/>
    <w:rsid w:val="00FB3DD4"/>
    <w:rsid w:val="00FB42CB"/>
    <w:rsid w:val="00FB4345"/>
    <w:rsid w:val="00FB47E5"/>
    <w:rsid w:val="00FB513C"/>
    <w:rsid w:val="00FB5308"/>
    <w:rsid w:val="00FB5C65"/>
    <w:rsid w:val="00FB5E2F"/>
    <w:rsid w:val="00FB6551"/>
    <w:rsid w:val="00FB6AD4"/>
    <w:rsid w:val="00FB6F5C"/>
    <w:rsid w:val="00FB7327"/>
    <w:rsid w:val="00FB7342"/>
    <w:rsid w:val="00FB73EB"/>
    <w:rsid w:val="00FB74DF"/>
    <w:rsid w:val="00FB75B9"/>
    <w:rsid w:val="00FC0241"/>
    <w:rsid w:val="00FC027A"/>
    <w:rsid w:val="00FC043A"/>
    <w:rsid w:val="00FC1173"/>
    <w:rsid w:val="00FC2548"/>
    <w:rsid w:val="00FC280B"/>
    <w:rsid w:val="00FC2D03"/>
    <w:rsid w:val="00FC324C"/>
    <w:rsid w:val="00FC3E11"/>
    <w:rsid w:val="00FC430E"/>
    <w:rsid w:val="00FC4595"/>
    <w:rsid w:val="00FC507C"/>
    <w:rsid w:val="00FC5B8A"/>
    <w:rsid w:val="00FC5F0F"/>
    <w:rsid w:val="00FC621D"/>
    <w:rsid w:val="00FC6B78"/>
    <w:rsid w:val="00FC6C66"/>
    <w:rsid w:val="00FC6D3B"/>
    <w:rsid w:val="00FD0AE5"/>
    <w:rsid w:val="00FD0D92"/>
    <w:rsid w:val="00FD0EE5"/>
    <w:rsid w:val="00FD1107"/>
    <w:rsid w:val="00FD11B6"/>
    <w:rsid w:val="00FD152D"/>
    <w:rsid w:val="00FD16AE"/>
    <w:rsid w:val="00FD1975"/>
    <w:rsid w:val="00FD1B5A"/>
    <w:rsid w:val="00FD21B1"/>
    <w:rsid w:val="00FD24BC"/>
    <w:rsid w:val="00FD2625"/>
    <w:rsid w:val="00FD300C"/>
    <w:rsid w:val="00FD39E4"/>
    <w:rsid w:val="00FD3B31"/>
    <w:rsid w:val="00FD3EDA"/>
    <w:rsid w:val="00FD520A"/>
    <w:rsid w:val="00FD5C5E"/>
    <w:rsid w:val="00FD5E9A"/>
    <w:rsid w:val="00FD5F62"/>
    <w:rsid w:val="00FD64C7"/>
    <w:rsid w:val="00FD6831"/>
    <w:rsid w:val="00FD6AB9"/>
    <w:rsid w:val="00FD6FCC"/>
    <w:rsid w:val="00FD7497"/>
    <w:rsid w:val="00FD7B6C"/>
    <w:rsid w:val="00FE00ED"/>
    <w:rsid w:val="00FE03DD"/>
    <w:rsid w:val="00FE0E10"/>
    <w:rsid w:val="00FE12A9"/>
    <w:rsid w:val="00FE1373"/>
    <w:rsid w:val="00FE1379"/>
    <w:rsid w:val="00FE170D"/>
    <w:rsid w:val="00FE26FA"/>
    <w:rsid w:val="00FE36F8"/>
    <w:rsid w:val="00FE3808"/>
    <w:rsid w:val="00FE42AF"/>
    <w:rsid w:val="00FE4853"/>
    <w:rsid w:val="00FE48D0"/>
    <w:rsid w:val="00FE63DE"/>
    <w:rsid w:val="00FE655B"/>
    <w:rsid w:val="00FE6594"/>
    <w:rsid w:val="00FE7700"/>
    <w:rsid w:val="00FE7BBC"/>
    <w:rsid w:val="00FF0076"/>
    <w:rsid w:val="00FF0388"/>
    <w:rsid w:val="00FF09EF"/>
    <w:rsid w:val="00FF0EEB"/>
    <w:rsid w:val="00FF18F4"/>
    <w:rsid w:val="00FF1C9C"/>
    <w:rsid w:val="00FF1E86"/>
    <w:rsid w:val="00FF2ED7"/>
    <w:rsid w:val="00FF3259"/>
    <w:rsid w:val="00FF42ED"/>
    <w:rsid w:val="00FF43B0"/>
    <w:rsid w:val="00FF49E4"/>
    <w:rsid w:val="00FF4A22"/>
    <w:rsid w:val="00FF51C1"/>
    <w:rsid w:val="00FF55D5"/>
    <w:rsid w:val="00FF59D5"/>
    <w:rsid w:val="00FF639C"/>
    <w:rsid w:val="00FF66A4"/>
    <w:rsid w:val="00FF6BC1"/>
    <w:rsid w:val="00FF7353"/>
    <w:rsid w:val="00FF736B"/>
    <w:rsid w:val="00FF774D"/>
    <w:rsid w:val="00FF78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E0304F"/>
  <w15:docId w15:val="{3FACF7C9-6832-402B-AAA3-98297DC63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95416"/>
    <w:rPr>
      <w:sz w:val="24"/>
      <w:lang w:bidi="ar-SA"/>
    </w:rPr>
  </w:style>
  <w:style w:type="paragraph" w:styleId="1">
    <w:name w:val="heading 1"/>
    <w:basedOn w:val="a0"/>
    <w:next w:val="a0"/>
    <w:link w:val="10"/>
    <w:uiPriority w:val="99"/>
    <w:qFormat/>
    <w:rsid w:val="005510B6"/>
    <w:pPr>
      <w:keepNext/>
      <w:overflowPunct w:val="0"/>
      <w:autoSpaceDE w:val="0"/>
      <w:autoSpaceDN w:val="0"/>
      <w:adjustRightInd w:val="0"/>
      <w:jc w:val="center"/>
      <w:textAlignment w:val="baseline"/>
      <w:outlineLvl w:val="0"/>
    </w:pPr>
    <w:rPr>
      <w:rFonts w:cs="David"/>
      <w:b/>
      <w:bCs/>
      <w:sz w:val="40"/>
      <w:szCs w:val="40"/>
      <w:lang w:eastAsia="he-IL" w:bidi="he-IL"/>
    </w:rPr>
  </w:style>
  <w:style w:type="paragraph" w:styleId="20">
    <w:name w:val="heading 2"/>
    <w:basedOn w:val="a0"/>
    <w:next w:val="a0"/>
    <w:link w:val="21"/>
    <w:uiPriority w:val="99"/>
    <w:qFormat/>
    <w:rsid w:val="009D5E1E"/>
    <w:pPr>
      <w:keepNext/>
      <w:spacing w:before="240" w:after="60"/>
      <w:outlineLvl w:val="1"/>
    </w:pPr>
    <w:rPr>
      <w:rFonts w:ascii="Cambria" w:hAnsi="Cambria"/>
      <w:b/>
      <w:bCs/>
      <w:i/>
      <w:iCs/>
      <w:sz w:val="28"/>
      <w:szCs w:val="28"/>
    </w:rPr>
  </w:style>
  <w:style w:type="paragraph" w:styleId="30">
    <w:name w:val="heading 3"/>
    <w:basedOn w:val="a0"/>
    <w:next w:val="a0"/>
    <w:link w:val="31"/>
    <w:uiPriority w:val="99"/>
    <w:qFormat/>
    <w:rsid w:val="009D5E1E"/>
    <w:pPr>
      <w:keepNext/>
      <w:spacing w:before="240" w:after="60"/>
      <w:outlineLvl w:val="2"/>
    </w:pPr>
    <w:rPr>
      <w:rFonts w:ascii="Arial" w:hAnsi="Arial" w:cs="Arial"/>
      <w:b/>
      <w:bCs/>
      <w:sz w:val="26"/>
      <w:szCs w:val="26"/>
    </w:rPr>
  </w:style>
  <w:style w:type="paragraph" w:styleId="7">
    <w:name w:val="heading 7"/>
    <w:basedOn w:val="a0"/>
    <w:next w:val="a0"/>
    <w:link w:val="70"/>
    <w:semiHidden/>
    <w:unhideWhenUsed/>
    <w:qFormat/>
    <w:locked/>
    <w:rsid w:val="00C37714"/>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link w:val="1"/>
    <w:uiPriority w:val="99"/>
    <w:locked/>
    <w:rsid w:val="00082CBC"/>
    <w:rPr>
      <w:rFonts w:cs="David"/>
      <w:b/>
      <w:bCs/>
      <w:sz w:val="40"/>
      <w:szCs w:val="40"/>
      <w:lang w:eastAsia="he-IL" w:bidi="he-IL"/>
    </w:rPr>
  </w:style>
  <w:style w:type="character" w:customStyle="1" w:styleId="21">
    <w:name w:val="כותרת 2 תו"/>
    <w:link w:val="20"/>
    <w:uiPriority w:val="99"/>
    <w:locked/>
    <w:rsid w:val="009D5E1E"/>
    <w:rPr>
      <w:rFonts w:ascii="Cambria" w:hAnsi="Cambria" w:cs="Times New Roman"/>
      <w:b/>
      <w:bCs/>
      <w:i/>
      <w:iCs/>
      <w:sz w:val="28"/>
      <w:szCs w:val="28"/>
      <w:lang w:val="en-US" w:eastAsia="en-US" w:bidi="ar-SA"/>
    </w:rPr>
  </w:style>
  <w:style w:type="character" w:customStyle="1" w:styleId="31">
    <w:name w:val="כותרת 3 תו"/>
    <w:link w:val="30"/>
    <w:uiPriority w:val="99"/>
    <w:locked/>
    <w:rsid w:val="00082CBC"/>
    <w:rPr>
      <w:rFonts w:ascii="Arial" w:hAnsi="Arial" w:cs="Arial"/>
      <w:b/>
      <w:bCs/>
      <w:sz w:val="26"/>
      <w:szCs w:val="26"/>
      <w:lang w:bidi="ar-SA"/>
    </w:rPr>
  </w:style>
  <w:style w:type="paragraph" w:customStyle="1" w:styleId="H1">
    <w:name w:val="H1"/>
    <w:uiPriority w:val="99"/>
    <w:rsid w:val="005510B6"/>
    <w:pPr>
      <w:spacing w:line="240" w:lineRule="exact"/>
      <w:jc w:val="center"/>
    </w:pPr>
    <w:rPr>
      <w:b/>
      <w:noProof/>
      <w:lang w:bidi="ar-SA"/>
    </w:rPr>
  </w:style>
  <w:style w:type="paragraph" w:customStyle="1" w:styleId="H2">
    <w:name w:val="H2"/>
    <w:uiPriority w:val="99"/>
    <w:rsid w:val="005510B6"/>
    <w:pPr>
      <w:spacing w:line="240" w:lineRule="exact"/>
    </w:pPr>
    <w:rPr>
      <w:b/>
      <w:noProof/>
      <w:lang w:bidi="ar-SA"/>
    </w:rPr>
  </w:style>
  <w:style w:type="paragraph" w:customStyle="1" w:styleId="H3">
    <w:name w:val="H3"/>
    <w:uiPriority w:val="99"/>
    <w:rsid w:val="005510B6"/>
    <w:pPr>
      <w:spacing w:line="240" w:lineRule="exact"/>
      <w:jc w:val="right"/>
    </w:pPr>
    <w:rPr>
      <w:b/>
      <w:noProof/>
      <w:lang w:bidi="ar-SA"/>
    </w:rPr>
  </w:style>
  <w:style w:type="paragraph" w:customStyle="1" w:styleId="H4">
    <w:name w:val="H4"/>
    <w:uiPriority w:val="99"/>
    <w:rsid w:val="005510B6"/>
    <w:pPr>
      <w:spacing w:line="240" w:lineRule="exact"/>
      <w:jc w:val="center"/>
    </w:pPr>
    <w:rPr>
      <w:i/>
      <w:noProof/>
      <w:lang w:bidi="ar-SA"/>
    </w:rPr>
  </w:style>
  <w:style w:type="paragraph" w:customStyle="1" w:styleId="H4X">
    <w:name w:val="H4X"/>
    <w:uiPriority w:val="99"/>
    <w:rsid w:val="005510B6"/>
    <w:pPr>
      <w:spacing w:line="240" w:lineRule="exact"/>
      <w:jc w:val="center"/>
    </w:pPr>
    <w:rPr>
      <w:b/>
      <w:i/>
      <w:noProof/>
      <w:lang w:bidi="ar-SA"/>
    </w:rPr>
  </w:style>
  <w:style w:type="paragraph" w:customStyle="1" w:styleId="H5">
    <w:name w:val="H5"/>
    <w:uiPriority w:val="99"/>
    <w:rsid w:val="005510B6"/>
    <w:pPr>
      <w:spacing w:line="240" w:lineRule="exact"/>
    </w:pPr>
    <w:rPr>
      <w:i/>
      <w:noProof/>
      <w:lang w:bidi="ar-SA"/>
    </w:rPr>
  </w:style>
  <w:style w:type="paragraph" w:customStyle="1" w:styleId="H5X">
    <w:name w:val="H5X"/>
    <w:uiPriority w:val="99"/>
    <w:rsid w:val="005510B6"/>
    <w:pPr>
      <w:spacing w:line="240" w:lineRule="exact"/>
    </w:pPr>
    <w:rPr>
      <w:b/>
      <w:i/>
      <w:noProof/>
      <w:lang w:bidi="ar-SA"/>
    </w:rPr>
  </w:style>
  <w:style w:type="paragraph" w:customStyle="1" w:styleId="H6">
    <w:name w:val="H6"/>
    <w:uiPriority w:val="99"/>
    <w:rsid w:val="005510B6"/>
    <w:pPr>
      <w:spacing w:line="240" w:lineRule="exact"/>
      <w:jc w:val="right"/>
    </w:pPr>
    <w:rPr>
      <w:i/>
      <w:noProof/>
      <w:lang w:bidi="ar-SA"/>
    </w:rPr>
  </w:style>
  <w:style w:type="paragraph" w:customStyle="1" w:styleId="H6X">
    <w:name w:val="H6X"/>
    <w:uiPriority w:val="99"/>
    <w:rsid w:val="005510B6"/>
    <w:pPr>
      <w:spacing w:line="240" w:lineRule="exact"/>
      <w:jc w:val="right"/>
    </w:pPr>
    <w:rPr>
      <w:b/>
      <w:i/>
      <w:noProof/>
      <w:lang w:bidi="ar-SA"/>
    </w:rPr>
  </w:style>
  <w:style w:type="paragraph" w:customStyle="1" w:styleId="H7">
    <w:name w:val="H7"/>
    <w:uiPriority w:val="99"/>
    <w:rsid w:val="005510B6"/>
    <w:pPr>
      <w:spacing w:line="240" w:lineRule="exact"/>
      <w:jc w:val="center"/>
    </w:pPr>
    <w:rPr>
      <w:noProof/>
      <w:lang w:bidi="ar-SA"/>
    </w:rPr>
  </w:style>
  <w:style w:type="paragraph" w:customStyle="1" w:styleId="H8">
    <w:name w:val="H8"/>
    <w:uiPriority w:val="99"/>
    <w:rsid w:val="005510B6"/>
    <w:pPr>
      <w:spacing w:line="240" w:lineRule="exact"/>
    </w:pPr>
    <w:rPr>
      <w:noProof/>
      <w:lang w:bidi="ar-SA"/>
    </w:rPr>
  </w:style>
  <w:style w:type="paragraph" w:customStyle="1" w:styleId="H9">
    <w:name w:val="H9"/>
    <w:uiPriority w:val="99"/>
    <w:rsid w:val="005510B6"/>
    <w:pPr>
      <w:spacing w:line="240" w:lineRule="exact"/>
      <w:jc w:val="right"/>
    </w:pPr>
    <w:rPr>
      <w:noProof/>
      <w:lang w:bidi="ar-SA"/>
    </w:rPr>
  </w:style>
  <w:style w:type="paragraph" w:customStyle="1" w:styleId="I1">
    <w:name w:val="I1"/>
    <w:uiPriority w:val="99"/>
    <w:rsid w:val="005510B6"/>
    <w:pPr>
      <w:spacing w:line="240" w:lineRule="exact"/>
      <w:ind w:left="240"/>
    </w:pPr>
    <w:rPr>
      <w:noProof/>
      <w:lang w:bidi="ar-SA"/>
    </w:rPr>
  </w:style>
  <w:style w:type="paragraph" w:customStyle="1" w:styleId="I2">
    <w:name w:val="I2"/>
    <w:uiPriority w:val="99"/>
    <w:rsid w:val="005510B6"/>
    <w:pPr>
      <w:spacing w:line="240" w:lineRule="exact"/>
      <w:ind w:left="480"/>
    </w:pPr>
    <w:rPr>
      <w:noProof/>
      <w:lang w:bidi="ar-SA"/>
    </w:rPr>
  </w:style>
  <w:style w:type="paragraph" w:customStyle="1" w:styleId="I3">
    <w:name w:val="I3"/>
    <w:uiPriority w:val="99"/>
    <w:rsid w:val="005510B6"/>
    <w:pPr>
      <w:spacing w:line="240" w:lineRule="exact"/>
      <w:ind w:left="720"/>
    </w:pPr>
    <w:rPr>
      <w:noProof/>
      <w:lang w:bidi="ar-SA"/>
    </w:rPr>
  </w:style>
  <w:style w:type="paragraph" w:customStyle="1" w:styleId="I4">
    <w:name w:val="I4"/>
    <w:uiPriority w:val="99"/>
    <w:rsid w:val="005510B6"/>
    <w:pPr>
      <w:spacing w:line="240" w:lineRule="exact"/>
      <w:ind w:left="960"/>
    </w:pPr>
    <w:rPr>
      <w:noProof/>
      <w:lang w:bidi="ar-SA"/>
    </w:rPr>
  </w:style>
  <w:style w:type="paragraph" w:customStyle="1" w:styleId="IH1">
    <w:name w:val="IH1"/>
    <w:uiPriority w:val="99"/>
    <w:rsid w:val="005510B6"/>
    <w:pPr>
      <w:spacing w:line="240" w:lineRule="exact"/>
      <w:ind w:left="200" w:hanging="200"/>
    </w:pPr>
    <w:rPr>
      <w:noProof/>
      <w:lang w:bidi="ar-SA"/>
    </w:rPr>
  </w:style>
  <w:style w:type="paragraph" w:customStyle="1" w:styleId="IH2">
    <w:name w:val="IH2"/>
    <w:uiPriority w:val="99"/>
    <w:rsid w:val="005510B6"/>
    <w:pPr>
      <w:ind w:left="400" w:hanging="400"/>
    </w:pPr>
    <w:rPr>
      <w:noProof/>
      <w:lang w:bidi="ar-SA"/>
    </w:rPr>
  </w:style>
  <w:style w:type="paragraph" w:customStyle="1" w:styleId="IH3">
    <w:name w:val="IH3"/>
    <w:uiPriority w:val="99"/>
    <w:rsid w:val="005510B6"/>
    <w:pPr>
      <w:tabs>
        <w:tab w:val="left" w:pos="2"/>
      </w:tabs>
      <w:spacing w:line="240" w:lineRule="exact"/>
      <w:ind w:left="500" w:hanging="500"/>
    </w:pPr>
    <w:rPr>
      <w:noProof/>
      <w:lang w:bidi="ar-SA"/>
    </w:rPr>
  </w:style>
  <w:style w:type="paragraph" w:customStyle="1" w:styleId="P1">
    <w:name w:val="P1"/>
    <w:uiPriority w:val="99"/>
    <w:rsid w:val="005510B6"/>
    <w:pPr>
      <w:spacing w:line="240" w:lineRule="exact"/>
    </w:pPr>
    <w:rPr>
      <w:noProof/>
      <w:lang w:bidi="ar-SA"/>
    </w:rPr>
  </w:style>
  <w:style w:type="paragraph" w:customStyle="1" w:styleId="P2">
    <w:name w:val="P2"/>
    <w:uiPriority w:val="99"/>
    <w:rsid w:val="005510B6"/>
    <w:pPr>
      <w:spacing w:line="240" w:lineRule="exact"/>
    </w:pPr>
    <w:rPr>
      <w:b/>
      <w:noProof/>
      <w:lang w:bidi="ar-SA"/>
    </w:rPr>
  </w:style>
  <w:style w:type="paragraph" w:customStyle="1" w:styleId="P3">
    <w:name w:val="P3"/>
    <w:uiPriority w:val="99"/>
    <w:rsid w:val="005510B6"/>
    <w:pPr>
      <w:spacing w:line="240" w:lineRule="exact"/>
    </w:pPr>
    <w:rPr>
      <w:i/>
      <w:noProof/>
      <w:lang w:bidi="ar-SA"/>
    </w:rPr>
  </w:style>
  <w:style w:type="paragraph" w:customStyle="1" w:styleId="P4">
    <w:name w:val="P4"/>
    <w:uiPriority w:val="99"/>
    <w:rsid w:val="005510B6"/>
    <w:pPr>
      <w:spacing w:line="240" w:lineRule="exact"/>
    </w:pPr>
    <w:rPr>
      <w:b/>
      <w:i/>
      <w:noProof/>
      <w:lang w:bidi="ar-SA"/>
    </w:rPr>
  </w:style>
  <w:style w:type="paragraph" w:customStyle="1" w:styleId="LP10">
    <w:name w:val="LP10"/>
    <w:uiPriority w:val="99"/>
    <w:rsid w:val="005510B6"/>
    <w:rPr>
      <w:noProof/>
      <w:lang w:bidi="ar-SA"/>
    </w:rPr>
  </w:style>
  <w:style w:type="paragraph" w:customStyle="1" w:styleId="LP4">
    <w:name w:val="LP4"/>
    <w:uiPriority w:val="99"/>
    <w:rsid w:val="005510B6"/>
    <w:rPr>
      <w:noProof/>
      <w:sz w:val="8"/>
      <w:lang w:bidi="ar-SA"/>
    </w:rPr>
  </w:style>
  <w:style w:type="paragraph" w:customStyle="1" w:styleId="LP6">
    <w:name w:val="LP6"/>
    <w:uiPriority w:val="99"/>
    <w:rsid w:val="005510B6"/>
    <w:pPr>
      <w:spacing w:line="120" w:lineRule="exact"/>
      <w:jc w:val="both"/>
    </w:pPr>
    <w:rPr>
      <w:noProof/>
      <w:sz w:val="12"/>
      <w:lang w:bidi="ar-SA"/>
    </w:rPr>
  </w:style>
  <w:style w:type="paragraph" w:customStyle="1" w:styleId="LP8">
    <w:name w:val="LP8"/>
    <w:uiPriority w:val="99"/>
    <w:rsid w:val="005510B6"/>
    <w:rPr>
      <w:noProof/>
      <w:sz w:val="16"/>
      <w:lang w:bidi="ar-SA"/>
    </w:rPr>
  </w:style>
  <w:style w:type="paragraph" w:customStyle="1" w:styleId="LP12">
    <w:name w:val="LP12"/>
    <w:uiPriority w:val="99"/>
    <w:rsid w:val="005510B6"/>
    <w:pPr>
      <w:spacing w:line="240" w:lineRule="exact"/>
      <w:jc w:val="both"/>
    </w:pPr>
    <w:rPr>
      <w:noProof/>
      <w:sz w:val="24"/>
      <w:lang w:bidi="ar-SA"/>
    </w:rPr>
  </w:style>
  <w:style w:type="paragraph" w:customStyle="1" w:styleId="LP24">
    <w:name w:val="LP24"/>
    <w:uiPriority w:val="99"/>
    <w:rsid w:val="005510B6"/>
    <w:pPr>
      <w:spacing w:line="480" w:lineRule="exact"/>
      <w:jc w:val="both"/>
    </w:pPr>
    <w:rPr>
      <w:noProof/>
      <w:sz w:val="48"/>
      <w:lang w:bidi="ar-SA"/>
    </w:rPr>
  </w:style>
  <w:style w:type="paragraph" w:customStyle="1" w:styleId="LP18">
    <w:name w:val="LP18"/>
    <w:uiPriority w:val="99"/>
    <w:rsid w:val="005510B6"/>
    <w:pPr>
      <w:spacing w:line="360" w:lineRule="exact"/>
      <w:jc w:val="both"/>
    </w:pPr>
    <w:rPr>
      <w:noProof/>
      <w:sz w:val="36"/>
      <w:lang w:bidi="ar-SA"/>
    </w:rPr>
  </w:style>
  <w:style w:type="paragraph" w:customStyle="1" w:styleId="C8H">
    <w:name w:val="C8H"/>
    <w:uiPriority w:val="99"/>
    <w:rsid w:val="005510B6"/>
    <w:pPr>
      <w:spacing w:line="160" w:lineRule="exact"/>
      <w:jc w:val="center"/>
    </w:pPr>
    <w:rPr>
      <w:b/>
      <w:noProof/>
      <w:sz w:val="16"/>
      <w:lang w:bidi="ar-SA"/>
    </w:rPr>
  </w:style>
  <w:style w:type="paragraph" w:customStyle="1" w:styleId="ST10">
    <w:name w:val="ST10"/>
    <w:uiPriority w:val="99"/>
    <w:rsid w:val="005510B6"/>
    <w:pPr>
      <w:spacing w:line="240" w:lineRule="exact"/>
    </w:pPr>
    <w:rPr>
      <w:noProof/>
      <w:lang w:bidi="ar-SA"/>
    </w:rPr>
  </w:style>
  <w:style w:type="paragraph" w:customStyle="1" w:styleId="C10">
    <w:name w:val="C10"/>
    <w:uiPriority w:val="99"/>
    <w:rsid w:val="005510B6"/>
    <w:pPr>
      <w:spacing w:line="240" w:lineRule="exact"/>
      <w:jc w:val="right"/>
    </w:pPr>
    <w:rPr>
      <w:noProof/>
      <w:lang w:bidi="ar-SA"/>
    </w:rPr>
  </w:style>
  <w:style w:type="character" w:customStyle="1" w:styleId="Beur">
    <w:name w:val="Beur"/>
    <w:rsid w:val="001C6E9B"/>
    <w:rPr>
      <w:rFonts w:ascii="Times New Roman" w:hAnsi="Times New Roman" w:cs="Times New Roman"/>
      <w:b/>
      <w:sz w:val="26"/>
    </w:rPr>
  </w:style>
  <w:style w:type="paragraph" w:styleId="a4">
    <w:name w:val="Balloon Text"/>
    <w:basedOn w:val="a0"/>
    <w:link w:val="a5"/>
    <w:uiPriority w:val="99"/>
    <w:semiHidden/>
    <w:rsid w:val="005510B6"/>
    <w:rPr>
      <w:rFonts w:ascii="Tahoma" w:hAnsi="Tahoma" w:cs="Tahoma"/>
      <w:sz w:val="16"/>
      <w:szCs w:val="16"/>
    </w:rPr>
  </w:style>
  <w:style w:type="character" w:customStyle="1" w:styleId="a5">
    <w:name w:val="טקסט בלונים תו"/>
    <w:link w:val="a4"/>
    <w:uiPriority w:val="99"/>
    <w:semiHidden/>
    <w:locked/>
    <w:rsid w:val="00082CBC"/>
    <w:rPr>
      <w:rFonts w:ascii="Tahoma" w:hAnsi="Tahoma" w:cs="Tahoma"/>
      <w:sz w:val="16"/>
      <w:szCs w:val="16"/>
      <w:lang w:bidi="ar-SA"/>
    </w:rPr>
  </w:style>
  <w:style w:type="paragraph" w:customStyle="1" w:styleId="TABLE">
    <w:name w:val="TABLE"/>
    <w:basedOn w:val="a0"/>
    <w:uiPriority w:val="99"/>
    <w:rsid w:val="005510B6"/>
    <w:pPr>
      <w:spacing w:line="240" w:lineRule="exact"/>
    </w:pPr>
    <w:rPr>
      <w:noProof/>
      <w:sz w:val="20"/>
    </w:rPr>
  </w:style>
  <w:style w:type="paragraph" w:customStyle="1" w:styleId="rrdColumnRuleStyle">
    <w:name w:val="rrdColumnRule_Style"/>
    <w:basedOn w:val="a0"/>
    <w:uiPriority w:val="99"/>
    <w:rsid w:val="005510B6"/>
    <w:pPr>
      <w:pBdr>
        <w:top w:val="single" w:sz="6" w:space="1" w:color="auto"/>
      </w:pBdr>
      <w:spacing w:before="20" w:line="40" w:lineRule="exact"/>
      <w:jc w:val="center"/>
    </w:pPr>
    <w:rPr>
      <w:sz w:val="8"/>
      <w:szCs w:val="8"/>
    </w:rPr>
  </w:style>
  <w:style w:type="paragraph" w:customStyle="1" w:styleId="rrdsinglerule">
    <w:name w:val="rrdsinglerule"/>
    <w:basedOn w:val="a0"/>
    <w:next w:val="a0"/>
    <w:uiPriority w:val="99"/>
    <w:rsid w:val="005510B6"/>
    <w:pPr>
      <w:pBdr>
        <w:top w:val="single" w:sz="8" w:space="1" w:color="auto"/>
      </w:pBdr>
      <w:spacing w:before="20" w:line="20" w:lineRule="exact"/>
      <w:jc w:val="center"/>
    </w:pPr>
    <w:rPr>
      <w:sz w:val="8"/>
      <w:szCs w:val="8"/>
    </w:rPr>
  </w:style>
  <w:style w:type="paragraph" w:styleId="a6">
    <w:name w:val="header"/>
    <w:aliases w:val="כותרת עליונה תו1 תו1,כותרת עליונה תו תו תו,כותרת עליונה תו2 תו1 תו תו,כותרת עליונה תו1 תו1 תו תו תו,כותרת עליונה תו תו תו תו תו תו,כותרת עליונה תו1 תו תו תו תו תו תו,כותרת עליונה תו תו תו תו תו תו תו תו1,כותרת עליונה תו1,Header תו תו,Head"/>
    <w:basedOn w:val="a0"/>
    <w:link w:val="a7"/>
    <w:uiPriority w:val="99"/>
    <w:rsid w:val="005510B6"/>
    <w:pPr>
      <w:tabs>
        <w:tab w:val="center" w:pos="4320"/>
        <w:tab w:val="right" w:pos="8640"/>
      </w:tabs>
    </w:pPr>
  </w:style>
  <w:style w:type="character" w:customStyle="1" w:styleId="a7">
    <w:name w:val="כותרת עליונה תו"/>
    <w:aliases w:val="כותרת עליונה תו1 תו1 תו,כותרת עליונה תו תו תו תו,כותרת עליונה תו2 תו1 תו תו תו,כותרת עליונה תו1 תו1 תו תו תו תו,כותרת עליונה תו תו תו תו תו תו תו,כותרת עליונה תו1 תו תו תו תו תו תו תו,כותרת עליונה תו תו תו תו תו תו תו תו1 תו,Head תו"/>
    <w:link w:val="a6"/>
    <w:uiPriority w:val="99"/>
    <w:locked/>
    <w:rsid w:val="000B6AF7"/>
    <w:rPr>
      <w:rFonts w:cs="Times New Roman"/>
      <w:sz w:val="24"/>
      <w:lang w:bidi="ar-SA"/>
    </w:rPr>
  </w:style>
  <w:style w:type="paragraph" w:styleId="a8">
    <w:name w:val="footer"/>
    <w:basedOn w:val="a0"/>
    <w:link w:val="a9"/>
    <w:uiPriority w:val="99"/>
    <w:rsid w:val="005510B6"/>
    <w:pPr>
      <w:tabs>
        <w:tab w:val="center" w:pos="4320"/>
        <w:tab w:val="right" w:pos="8640"/>
      </w:tabs>
    </w:pPr>
  </w:style>
  <w:style w:type="character" w:customStyle="1" w:styleId="a9">
    <w:name w:val="כותרת תחתונה תו"/>
    <w:link w:val="a8"/>
    <w:uiPriority w:val="99"/>
    <w:locked/>
    <w:rsid w:val="00082CBC"/>
    <w:rPr>
      <w:rFonts w:cs="Times New Roman"/>
      <w:sz w:val="24"/>
      <w:lang w:bidi="ar-SA"/>
    </w:rPr>
  </w:style>
  <w:style w:type="character" w:styleId="aa">
    <w:name w:val="page number"/>
    <w:uiPriority w:val="99"/>
    <w:rsid w:val="005510B6"/>
    <w:rPr>
      <w:rFonts w:cs="Times New Roman"/>
    </w:rPr>
  </w:style>
  <w:style w:type="paragraph" w:styleId="NormalWeb">
    <w:name w:val="Normal (Web)"/>
    <w:basedOn w:val="a0"/>
    <w:uiPriority w:val="99"/>
    <w:rsid w:val="005510B6"/>
    <w:pPr>
      <w:spacing w:before="100" w:beforeAutospacing="1" w:after="100" w:afterAutospacing="1"/>
    </w:pPr>
    <w:rPr>
      <w:szCs w:val="24"/>
    </w:rPr>
  </w:style>
  <w:style w:type="paragraph" w:customStyle="1" w:styleId="rrddoublerule">
    <w:name w:val="rrddoublerule"/>
    <w:basedOn w:val="rrdsinglerule"/>
    <w:uiPriority w:val="99"/>
    <w:rsid w:val="005510B6"/>
    <w:pPr>
      <w:pBdr>
        <w:top w:val="double" w:sz="6" w:space="1" w:color="auto"/>
      </w:pBdr>
    </w:pPr>
  </w:style>
  <w:style w:type="paragraph" w:customStyle="1" w:styleId="LA4">
    <w:name w:val="LA4"/>
    <w:basedOn w:val="a0"/>
    <w:uiPriority w:val="99"/>
    <w:rsid w:val="005510B6"/>
    <w:pPr>
      <w:spacing w:line="80" w:lineRule="exact"/>
    </w:pPr>
    <w:rPr>
      <w:sz w:val="8"/>
      <w:szCs w:val="8"/>
    </w:rPr>
  </w:style>
  <w:style w:type="paragraph" w:customStyle="1" w:styleId="la2">
    <w:name w:val="la2"/>
    <w:basedOn w:val="LP4"/>
    <w:next w:val="P1"/>
    <w:uiPriority w:val="99"/>
    <w:rsid w:val="005510B6"/>
    <w:pPr>
      <w:spacing w:line="40" w:lineRule="exact"/>
    </w:pPr>
    <w:rPr>
      <w:szCs w:val="8"/>
    </w:rPr>
  </w:style>
  <w:style w:type="paragraph" w:customStyle="1" w:styleId="rco">
    <w:name w:val="rco"/>
    <w:uiPriority w:val="99"/>
    <w:rsid w:val="005510B6"/>
    <w:pPr>
      <w:pBdr>
        <w:bottom w:val="single" w:sz="8" w:space="1" w:color="auto"/>
      </w:pBdr>
      <w:spacing w:line="80" w:lineRule="exact"/>
      <w:ind w:left="4320" w:right="4320"/>
      <w:jc w:val="center"/>
    </w:pPr>
    <w:rPr>
      <w:noProof/>
      <w:sz w:val="12"/>
      <w:lang w:bidi="ar-SA"/>
    </w:rPr>
  </w:style>
  <w:style w:type="paragraph" w:customStyle="1" w:styleId="rfn">
    <w:name w:val="rfn"/>
    <w:autoRedefine/>
    <w:uiPriority w:val="99"/>
    <w:rsid w:val="005510B6"/>
    <w:pPr>
      <w:pBdr>
        <w:bottom w:val="single" w:sz="6" w:space="1" w:color="auto"/>
      </w:pBdr>
      <w:spacing w:after="60" w:line="120" w:lineRule="exact"/>
      <w:ind w:right="7200"/>
    </w:pPr>
    <w:rPr>
      <w:noProof/>
      <w:sz w:val="12"/>
      <w:lang w:bidi="ar-SA"/>
    </w:rPr>
  </w:style>
  <w:style w:type="paragraph" w:styleId="ab">
    <w:name w:val="Title"/>
    <w:basedOn w:val="a0"/>
    <w:link w:val="ac"/>
    <w:qFormat/>
    <w:rsid w:val="005510B6"/>
    <w:pPr>
      <w:spacing w:before="240" w:after="60"/>
      <w:jc w:val="center"/>
      <w:outlineLvl w:val="0"/>
    </w:pPr>
    <w:rPr>
      <w:rFonts w:ascii="Arial" w:hAnsi="Arial" w:cs="Arial"/>
      <w:b/>
      <w:bCs/>
      <w:kern w:val="28"/>
      <w:sz w:val="32"/>
      <w:szCs w:val="32"/>
    </w:rPr>
  </w:style>
  <w:style w:type="character" w:customStyle="1" w:styleId="ac">
    <w:name w:val="כותרת טקסט תו"/>
    <w:link w:val="ab"/>
    <w:locked/>
    <w:rsid w:val="00082CBC"/>
    <w:rPr>
      <w:rFonts w:ascii="Arial" w:hAnsi="Arial" w:cs="Arial"/>
      <w:b/>
      <w:bCs/>
      <w:kern w:val="28"/>
      <w:sz w:val="32"/>
      <w:szCs w:val="32"/>
      <w:lang w:bidi="ar-SA"/>
    </w:rPr>
  </w:style>
  <w:style w:type="paragraph" w:styleId="ad">
    <w:name w:val="Subtitle"/>
    <w:basedOn w:val="a0"/>
    <w:link w:val="ae"/>
    <w:uiPriority w:val="99"/>
    <w:qFormat/>
    <w:rsid w:val="005510B6"/>
    <w:pPr>
      <w:spacing w:after="60"/>
      <w:jc w:val="center"/>
      <w:outlineLvl w:val="1"/>
    </w:pPr>
    <w:rPr>
      <w:rFonts w:ascii="Arial" w:hAnsi="Arial" w:cs="Arial"/>
      <w:szCs w:val="24"/>
    </w:rPr>
  </w:style>
  <w:style w:type="character" w:customStyle="1" w:styleId="ae">
    <w:name w:val="כותרת משנה תו"/>
    <w:link w:val="ad"/>
    <w:uiPriority w:val="99"/>
    <w:locked/>
    <w:rsid w:val="00082CBC"/>
    <w:rPr>
      <w:rFonts w:ascii="Arial" w:hAnsi="Arial" w:cs="Arial"/>
      <w:sz w:val="24"/>
      <w:szCs w:val="24"/>
      <w:lang w:bidi="ar-SA"/>
    </w:rPr>
  </w:style>
  <w:style w:type="character" w:customStyle="1" w:styleId="Koteret">
    <w:name w:val="Koteret"/>
    <w:rsid w:val="005510B6"/>
    <w:rPr>
      <w:rFonts w:ascii="Times New Roman" w:hAnsi="Times New Roman" w:cs="Times New Roman"/>
      <w:b/>
      <w:sz w:val="18"/>
    </w:rPr>
  </w:style>
  <w:style w:type="paragraph" w:customStyle="1" w:styleId="BEUR0">
    <w:name w:val="BEUR"/>
    <w:rsid w:val="005510B6"/>
    <w:pPr>
      <w:widowControl w:val="0"/>
      <w:tabs>
        <w:tab w:val="left" w:pos="-720"/>
      </w:tabs>
      <w:suppressAutoHyphens/>
      <w:overflowPunct w:val="0"/>
      <w:autoSpaceDE w:val="0"/>
      <w:autoSpaceDN w:val="0"/>
      <w:adjustRightInd w:val="0"/>
      <w:textAlignment w:val="baseline"/>
    </w:pPr>
    <w:rPr>
      <w:rFonts w:ascii="Univers" w:hAnsi="Univers"/>
      <w:b/>
      <w:bCs/>
      <w:sz w:val="24"/>
      <w:szCs w:val="24"/>
    </w:rPr>
  </w:style>
  <w:style w:type="paragraph" w:customStyle="1" w:styleId="errorstyle">
    <w:name w:val="error_style"/>
    <w:basedOn w:val="a0"/>
    <w:uiPriority w:val="99"/>
    <w:rsid w:val="005510B6"/>
    <w:pPr>
      <w:pBdr>
        <w:bottom w:val="single" w:sz="4" w:space="1" w:color="auto"/>
      </w:pBdr>
      <w:jc w:val="right"/>
    </w:pPr>
    <w:rPr>
      <w:b/>
      <w:bCs/>
      <w:strike/>
      <w:color w:val="FF0000"/>
      <w:sz w:val="20"/>
    </w:rPr>
  </w:style>
  <w:style w:type="paragraph" w:styleId="af">
    <w:name w:val="footnote text"/>
    <w:basedOn w:val="a0"/>
    <w:link w:val="af0"/>
    <w:uiPriority w:val="99"/>
    <w:semiHidden/>
    <w:rsid w:val="001C6E9B"/>
    <w:rPr>
      <w:rFonts w:cs="David"/>
      <w:sz w:val="20"/>
      <w:lang w:bidi="he-IL"/>
    </w:rPr>
  </w:style>
  <w:style w:type="character" w:customStyle="1" w:styleId="af0">
    <w:name w:val="טקסט הערת שוליים תו"/>
    <w:link w:val="af"/>
    <w:uiPriority w:val="99"/>
    <w:semiHidden/>
    <w:locked/>
    <w:rsid w:val="00082CBC"/>
    <w:rPr>
      <w:rFonts w:cs="David"/>
      <w:lang w:bidi="he-IL"/>
    </w:rPr>
  </w:style>
  <w:style w:type="table" w:styleId="af1">
    <w:name w:val="Table Grid"/>
    <w:basedOn w:val="a2"/>
    <w:rsid w:val="001C6E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a0"/>
    <w:link w:val="BodytextChar"/>
    <w:uiPriority w:val="99"/>
    <w:rsid w:val="00DB7A76"/>
    <w:pPr>
      <w:widowControl w:val="0"/>
      <w:tabs>
        <w:tab w:val="left" w:pos="397"/>
      </w:tabs>
      <w:suppressAutoHyphens/>
      <w:autoSpaceDE w:val="0"/>
      <w:autoSpaceDN w:val="0"/>
      <w:adjustRightInd w:val="0"/>
      <w:spacing w:line="260" w:lineRule="atLeast"/>
      <w:textAlignment w:val="center"/>
    </w:pPr>
    <w:rPr>
      <w:rFonts w:ascii="Univers 45 Light" w:hAnsi="Univers 45 Light" w:cs="Univers 45 Light"/>
      <w:color w:val="000000"/>
      <w:sz w:val="20"/>
      <w:lang w:val="en-GB"/>
    </w:rPr>
  </w:style>
  <w:style w:type="character" w:customStyle="1" w:styleId="BodytextChar">
    <w:name w:val="Body text Char"/>
    <w:link w:val="BodyText1"/>
    <w:uiPriority w:val="99"/>
    <w:locked/>
    <w:rsid w:val="00DB7A76"/>
    <w:rPr>
      <w:rFonts w:ascii="Univers 45 Light" w:hAnsi="Univers 45 Light" w:cs="Univers 45 Light"/>
      <w:color w:val="000000"/>
      <w:lang w:val="en-GB" w:eastAsia="en-US" w:bidi="ar-SA"/>
    </w:rPr>
  </w:style>
  <w:style w:type="paragraph" w:customStyle="1" w:styleId="Explain1">
    <w:name w:val="Explain 1"/>
    <w:basedOn w:val="BodyText1"/>
    <w:uiPriority w:val="99"/>
    <w:rsid w:val="00DB7A76"/>
    <w:pPr>
      <w:tabs>
        <w:tab w:val="clear" w:pos="397"/>
        <w:tab w:val="left" w:pos="510"/>
        <w:tab w:val="left" w:pos="1531"/>
        <w:tab w:val="left" w:pos="1814"/>
      </w:tabs>
      <w:ind w:left="1531" w:right="113" w:hanging="1417"/>
    </w:pPr>
  </w:style>
  <w:style w:type="paragraph" w:customStyle="1" w:styleId="Subhead1">
    <w:name w:val="Subhead 1"/>
    <w:basedOn w:val="a0"/>
    <w:uiPriority w:val="99"/>
    <w:rsid w:val="00DB7A76"/>
    <w:pPr>
      <w:keepNext/>
      <w:widowControl w:val="0"/>
      <w:tabs>
        <w:tab w:val="left" w:pos="1531"/>
      </w:tabs>
      <w:suppressAutoHyphens/>
      <w:autoSpaceDE w:val="0"/>
      <w:autoSpaceDN w:val="0"/>
      <w:adjustRightInd w:val="0"/>
      <w:spacing w:line="260" w:lineRule="atLeast"/>
      <w:ind w:left="1531" w:hanging="1531"/>
      <w:textAlignment w:val="center"/>
    </w:pPr>
    <w:rPr>
      <w:rFonts w:ascii="Univers 55" w:hAnsi="Univers 55" w:cs="Univers 55"/>
      <w:color w:val="0C2D83"/>
      <w:sz w:val="28"/>
      <w:szCs w:val="28"/>
      <w:lang w:val="en-GB"/>
    </w:rPr>
  </w:style>
  <w:style w:type="paragraph" w:customStyle="1" w:styleId="Subhead3">
    <w:name w:val="Subhead 3"/>
    <w:basedOn w:val="a0"/>
    <w:uiPriority w:val="99"/>
    <w:rsid w:val="00DB7A76"/>
    <w:pPr>
      <w:widowControl w:val="0"/>
      <w:tabs>
        <w:tab w:val="left" w:pos="1134"/>
        <w:tab w:val="left" w:pos="1531"/>
        <w:tab w:val="left" w:pos="1871"/>
      </w:tabs>
      <w:suppressAutoHyphens/>
      <w:autoSpaceDE w:val="0"/>
      <w:autoSpaceDN w:val="0"/>
      <w:adjustRightInd w:val="0"/>
      <w:spacing w:line="260" w:lineRule="atLeast"/>
      <w:ind w:left="1531" w:right="935" w:hanging="1531"/>
      <w:textAlignment w:val="center"/>
    </w:pPr>
    <w:rPr>
      <w:rFonts w:ascii="Univers 45 Light" w:hAnsi="Univers 45 Light" w:cs="Univers 55"/>
      <w:b/>
      <w:bCs/>
      <w:color w:val="0C2D83"/>
      <w:sz w:val="20"/>
      <w:lang w:val="en-GB"/>
    </w:rPr>
  </w:style>
  <w:style w:type="paragraph" w:customStyle="1" w:styleId="AccountingPolicy">
    <w:name w:val="Accounting Policy"/>
    <w:basedOn w:val="a0"/>
    <w:uiPriority w:val="99"/>
    <w:rsid w:val="00DB7A76"/>
    <w:pPr>
      <w:widowControl w:val="0"/>
      <w:tabs>
        <w:tab w:val="left" w:pos="1531"/>
        <w:tab w:val="left" w:pos="1871"/>
      </w:tabs>
      <w:suppressAutoHyphens/>
      <w:autoSpaceDE w:val="0"/>
      <w:autoSpaceDN w:val="0"/>
      <w:adjustRightInd w:val="0"/>
      <w:spacing w:line="260" w:lineRule="atLeast"/>
      <w:ind w:left="1531" w:hanging="1531"/>
      <w:textAlignment w:val="center"/>
    </w:pPr>
    <w:rPr>
      <w:rFonts w:ascii="Univers 45 Light" w:hAnsi="Univers 45 Light" w:cs="Univers 45 Light"/>
      <w:color w:val="000000"/>
      <w:sz w:val="20"/>
      <w:lang w:val="en-GB"/>
    </w:rPr>
  </w:style>
  <w:style w:type="paragraph" w:customStyle="1" w:styleId="Note">
    <w:name w:val="Note"/>
    <w:basedOn w:val="a0"/>
    <w:link w:val="NoteChar"/>
    <w:uiPriority w:val="99"/>
    <w:rsid w:val="00DB7A76"/>
    <w:pPr>
      <w:widowControl w:val="0"/>
      <w:tabs>
        <w:tab w:val="left" w:pos="1134"/>
        <w:tab w:val="left" w:pos="1531"/>
        <w:tab w:val="left" w:pos="1871"/>
      </w:tabs>
      <w:suppressAutoHyphens/>
      <w:autoSpaceDE w:val="0"/>
      <w:autoSpaceDN w:val="0"/>
      <w:adjustRightInd w:val="0"/>
      <w:spacing w:line="260" w:lineRule="atLeast"/>
      <w:ind w:left="1531" w:hanging="1531"/>
      <w:textAlignment w:val="center"/>
    </w:pPr>
    <w:rPr>
      <w:rFonts w:ascii="Univers 55" w:hAnsi="Univers 55" w:cs="Univers 55"/>
      <w:b/>
      <w:color w:val="0C2D83"/>
      <w:sz w:val="20"/>
      <w:lang w:val="en-GB"/>
    </w:rPr>
  </w:style>
  <w:style w:type="character" w:customStyle="1" w:styleId="NoteChar">
    <w:name w:val="Note Char"/>
    <w:link w:val="Note"/>
    <w:uiPriority w:val="99"/>
    <w:locked/>
    <w:rsid w:val="0085123A"/>
    <w:rPr>
      <w:rFonts w:ascii="Univers 55" w:hAnsi="Univers 55" w:cs="Univers 55"/>
      <w:b/>
      <w:color w:val="0C2D83"/>
      <w:lang w:val="en-GB" w:eastAsia="en-US" w:bidi="ar-SA"/>
    </w:rPr>
  </w:style>
  <w:style w:type="paragraph" w:customStyle="1" w:styleId="Subhead4">
    <w:name w:val="Subhead 4"/>
    <w:basedOn w:val="a0"/>
    <w:uiPriority w:val="99"/>
    <w:rsid w:val="00DB7A76"/>
    <w:pPr>
      <w:widowControl w:val="0"/>
      <w:tabs>
        <w:tab w:val="left" w:pos="1134"/>
        <w:tab w:val="left" w:pos="1531"/>
        <w:tab w:val="left" w:pos="1871"/>
      </w:tabs>
      <w:suppressAutoHyphens/>
      <w:autoSpaceDE w:val="0"/>
      <w:autoSpaceDN w:val="0"/>
      <w:adjustRightInd w:val="0"/>
      <w:spacing w:line="260" w:lineRule="atLeast"/>
      <w:ind w:left="1531" w:right="935" w:hanging="1531"/>
      <w:textAlignment w:val="center"/>
    </w:pPr>
    <w:rPr>
      <w:rFonts w:ascii="Univers 45 Light" w:hAnsi="Univers 45 Light" w:cs="Univers 55"/>
      <w:b/>
      <w:bCs/>
      <w:color w:val="808EC8"/>
      <w:sz w:val="20"/>
      <w:lang w:val="en-GB"/>
    </w:rPr>
  </w:style>
  <w:style w:type="paragraph" w:customStyle="1" w:styleId="Subhead5">
    <w:name w:val="Subhead 5"/>
    <w:basedOn w:val="a0"/>
    <w:uiPriority w:val="99"/>
    <w:rsid w:val="00DB7A76"/>
    <w:pPr>
      <w:widowControl w:val="0"/>
      <w:tabs>
        <w:tab w:val="left" w:pos="1134"/>
        <w:tab w:val="left" w:pos="1531"/>
        <w:tab w:val="left" w:pos="1871"/>
      </w:tabs>
      <w:suppressAutoHyphens/>
      <w:autoSpaceDE w:val="0"/>
      <w:autoSpaceDN w:val="0"/>
      <w:adjustRightInd w:val="0"/>
      <w:spacing w:line="260" w:lineRule="atLeast"/>
      <w:ind w:left="1531" w:right="935" w:hanging="1531"/>
      <w:textAlignment w:val="center"/>
    </w:pPr>
    <w:rPr>
      <w:rFonts w:ascii="Univers 55" w:hAnsi="Univers 55" w:cs="Univers 55"/>
      <w:i/>
      <w:iCs/>
      <w:color w:val="000000"/>
      <w:sz w:val="20"/>
      <w:lang w:val="en-GB"/>
    </w:rPr>
  </w:style>
  <w:style w:type="paragraph" w:customStyle="1" w:styleId="ind2">
    <w:name w:val="ind 2"/>
    <w:basedOn w:val="a0"/>
    <w:rsid w:val="00D542DF"/>
    <w:pPr>
      <w:overflowPunct w:val="0"/>
      <w:autoSpaceDE w:val="0"/>
      <w:autoSpaceDN w:val="0"/>
      <w:adjustRightInd w:val="0"/>
      <w:ind w:left="1588" w:hanging="567"/>
      <w:jc w:val="both"/>
      <w:textAlignment w:val="baseline"/>
    </w:pPr>
    <w:rPr>
      <w:szCs w:val="24"/>
      <w:lang w:eastAsia="he-IL" w:bidi="he-IL"/>
    </w:rPr>
  </w:style>
  <w:style w:type="paragraph" w:customStyle="1" w:styleId="AccountingPolicyIndent">
    <w:name w:val="Accounting Policy Indent"/>
    <w:basedOn w:val="a0"/>
    <w:uiPriority w:val="99"/>
    <w:rsid w:val="0085123A"/>
    <w:pPr>
      <w:widowControl w:val="0"/>
      <w:tabs>
        <w:tab w:val="left" w:pos="1531"/>
        <w:tab w:val="left" w:pos="1871"/>
      </w:tabs>
      <w:suppressAutoHyphens/>
      <w:autoSpaceDE w:val="0"/>
      <w:autoSpaceDN w:val="0"/>
      <w:adjustRightInd w:val="0"/>
      <w:spacing w:line="260" w:lineRule="atLeast"/>
      <w:ind w:left="1871" w:hanging="1871"/>
      <w:textAlignment w:val="center"/>
    </w:pPr>
    <w:rPr>
      <w:rFonts w:ascii="Univers 45 Light" w:hAnsi="Univers 45 Light" w:cs="Univers 45 Light"/>
      <w:color w:val="000000"/>
      <w:sz w:val="20"/>
      <w:lang w:val="en-GB" w:eastAsia="en-GB"/>
    </w:rPr>
  </w:style>
  <w:style w:type="character" w:customStyle="1" w:styleId="Bullet">
    <w:name w:val="Bullet"/>
    <w:uiPriority w:val="99"/>
    <w:rsid w:val="0085123A"/>
    <w:rPr>
      <w:rFonts w:ascii="ZapfDingbats BT" w:hAnsi="ZapfDingbats BT"/>
      <w:color w:val="0C2D83"/>
      <w:position w:val="2"/>
      <w:sz w:val="10"/>
      <w:lang w:bidi="he-IL"/>
    </w:rPr>
  </w:style>
  <w:style w:type="character" w:customStyle="1" w:styleId="Footnote">
    <w:name w:val="Footnote"/>
    <w:uiPriority w:val="99"/>
    <w:rsid w:val="0085123A"/>
    <w:rPr>
      <w:rFonts w:ascii="Univers 45 Light" w:hAnsi="Univers 45 Light"/>
      <w:color w:val="0038E5"/>
      <w:position w:val="2"/>
      <w:sz w:val="20"/>
      <w:vertAlign w:val="superscript"/>
    </w:rPr>
  </w:style>
  <w:style w:type="paragraph" w:customStyle="1" w:styleId="ExplainHanging">
    <w:name w:val="Explain Hanging"/>
    <w:basedOn w:val="Explain1"/>
    <w:next w:val="a0"/>
    <w:uiPriority w:val="99"/>
    <w:rsid w:val="00891116"/>
    <w:pPr>
      <w:tabs>
        <w:tab w:val="clear" w:pos="510"/>
        <w:tab w:val="clear" w:pos="1531"/>
      </w:tabs>
      <w:ind w:left="1814" w:hanging="283"/>
    </w:pPr>
    <w:rPr>
      <w:lang w:eastAsia="en-GB"/>
    </w:rPr>
  </w:style>
  <w:style w:type="character" w:customStyle="1" w:styleId="Reference">
    <w:name w:val="Reference"/>
    <w:uiPriority w:val="99"/>
    <w:rsid w:val="00891116"/>
    <w:rPr>
      <w:rFonts w:ascii="Univers 45 Light" w:hAnsi="Univers 45 Light"/>
      <w:i/>
      <w:color w:val="0C2D83"/>
      <w:sz w:val="16"/>
    </w:rPr>
  </w:style>
  <w:style w:type="paragraph" w:styleId="af2">
    <w:name w:val="List Paragraph"/>
    <w:basedOn w:val="a0"/>
    <w:uiPriority w:val="34"/>
    <w:qFormat/>
    <w:rsid w:val="009D5E1E"/>
    <w:pPr>
      <w:ind w:left="720"/>
      <w:contextualSpacing/>
    </w:pPr>
  </w:style>
  <w:style w:type="paragraph" w:styleId="af3">
    <w:name w:val="Body Text"/>
    <w:basedOn w:val="a0"/>
    <w:link w:val="af4"/>
    <w:rsid w:val="009D5E1E"/>
    <w:pPr>
      <w:spacing w:after="240"/>
      <w:ind w:firstLine="720"/>
    </w:pPr>
    <w:rPr>
      <w:sz w:val="20"/>
      <w:szCs w:val="24"/>
      <w:lang w:val="en-GB"/>
    </w:rPr>
  </w:style>
  <w:style w:type="character" w:customStyle="1" w:styleId="af4">
    <w:name w:val="גוף טקסט תו"/>
    <w:link w:val="af3"/>
    <w:locked/>
    <w:rsid w:val="00082CBC"/>
    <w:rPr>
      <w:rFonts w:cs="Times New Roman"/>
      <w:sz w:val="24"/>
      <w:szCs w:val="24"/>
      <w:lang w:val="en-GB" w:bidi="ar-SA"/>
    </w:rPr>
  </w:style>
  <w:style w:type="character" w:customStyle="1" w:styleId="af5">
    <w:name w:val="טקסט רגיל תו"/>
    <w:aliases w:val="(WGM) תו"/>
    <w:link w:val="af6"/>
    <w:uiPriority w:val="99"/>
    <w:locked/>
    <w:rsid w:val="00807C51"/>
    <w:rPr>
      <w:rFonts w:cs="Times New Roman"/>
      <w:lang w:bidi="ar-SA"/>
    </w:rPr>
  </w:style>
  <w:style w:type="paragraph" w:styleId="af6">
    <w:name w:val="Plain Text"/>
    <w:aliases w:val="(WGM)"/>
    <w:basedOn w:val="a0"/>
    <w:link w:val="af5"/>
    <w:uiPriority w:val="99"/>
    <w:rsid w:val="00807C51"/>
    <w:rPr>
      <w:sz w:val="20"/>
    </w:rPr>
  </w:style>
  <w:style w:type="character" w:customStyle="1" w:styleId="PlainTextChar1">
    <w:name w:val="Plain Text Char1"/>
    <w:aliases w:val="(WGM) Char1"/>
    <w:uiPriority w:val="99"/>
    <w:semiHidden/>
    <w:rsid w:val="00082CBC"/>
    <w:rPr>
      <w:rFonts w:ascii="Consolas" w:hAnsi="Consolas" w:cs="Times New Roman"/>
      <w:sz w:val="21"/>
      <w:szCs w:val="21"/>
      <w:lang w:bidi="ar-SA"/>
    </w:rPr>
  </w:style>
  <w:style w:type="paragraph" w:styleId="af7">
    <w:name w:val="Block Text"/>
    <w:basedOn w:val="a0"/>
    <w:uiPriority w:val="99"/>
    <w:rsid w:val="00367A95"/>
    <w:pPr>
      <w:widowControl w:val="0"/>
      <w:suppressAutoHyphens/>
      <w:overflowPunct w:val="0"/>
      <w:autoSpaceDE w:val="0"/>
      <w:autoSpaceDN w:val="0"/>
      <w:bidi/>
      <w:adjustRightInd w:val="0"/>
      <w:spacing w:line="264" w:lineRule="auto"/>
      <w:ind w:left="1134"/>
      <w:jc w:val="both"/>
      <w:textAlignment w:val="baseline"/>
    </w:pPr>
    <w:rPr>
      <w:rFonts w:ascii="Arial" w:hAnsi="Arial" w:cs="Arial"/>
      <w:spacing w:val="-2"/>
      <w:sz w:val="20"/>
      <w:lang w:bidi="he-IL"/>
    </w:rPr>
  </w:style>
  <w:style w:type="paragraph" w:styleId="32">
    <w:name w:val="Body Text 3"/>
    <w:basedOn w:val="a0"/>
    <w:link w:val="33"/>
    <w:uiPriority w:val="99"/>
    <w:rsid w:val="00367A95"/>
    <w:pPr>
      <w:spacing w:after="120"/>
    </w:pPr>
    <w:rPr>
      <w:sz w:val="16"/>
      <w:szCs w:val="16"/>
    </w:rPr>
  </w:style>
  <w:style w:type="character" w:customStyle="1" w:styleId="33">
    <w:name w:val="גוף טקסט 3 תו"/>
    <w:link w:val="32"/>
    <w:uiPriority w:val="99"/>
    <w:locked/>
    <w:rsid w:val="00082CBC"/>
    <w:rPr>
      <w:rFonts w:cs="Times New Roman"/>
      <w:sz w:val="16"/>
      <w:szCs w:val="16"/>
      <w:lang w:bidi="ar-SA"/>
    </w:rPr>
  </w:style>
  <w:style w:type="paragraph" w:customStyle="1" w:styleId="ARNote">
    <w:name w:val="AR Note"/>
    <w:basedOn w:val="a0"/>
    <w:next w:val="af3"/>
    <w:uiPriority w:val="99"/>
    <w:rsid w:val="00367A95"/>
    <w:pPr>
      <w:keepNext/>
      <w:tabs>
        <w:tab w:val="num" w:pos="0"/>
      </w:tabs>
      <w:spacing w:before="400" w:line="320" w:lineRule="exact"/>
      <w:ind w:hanging="964"/>
    </w:pPr>
    <w:rPr>
      <w:b/>
      <w:sz w:val="28"/>
      <w:lang w:val="en-GB"/>
    </w:rPr>
  </w:style>
  <w:style w:type="character" w:styleId="af8">
    <w:name w:val="annotation reference"/>
    <w:uiPriority w:val="99"/>
    <w:rsid w:val="000B6AF7"/>
    <w:rPr>
      <w:rFonts w:cs="Times New Roman"/>
      <w:sz w:val="16"/>
      <w:szCs w:val="16"/>
    </w:rPr>
  </w:style>
  <w:style w:type="paragraph" w:styleId="af9">
    <w:name w:val="annotation text"/>
    <w:basedOn w:val="a0"/>
    <w:link w:val="afa"/>
    <w:uiPriority w:val="99"/>
    <w:rsid w:val="000B6AF7"/>
    <w:rPr>
      <w:sz w:val="20"/>
    </w:rPr>
  </w:style>
  <w:style w:type="character" w:customStyle="1" w:styleId="afa">
    <w:name w:val="טקסט הערה תו"/>
    <w:link w:val="af9"/>
    <w:uiPriority w:val="99"/>
    <w:locked/>
    <w:rsid w:val="000B6AF7"/>
    <w:rPr>
      <w:rFonts w:cs="Times New Roman"/>
      <w:lang w:bidi="ar-SA"/>
    </w:rPr>
  </w:style>
  <w:style w:type="paragraph" w:styleId="afb">
    <w:name w:val="annotation subject"/>
    <w:basedOn w:val="af9"/>
    <w:next w:val="af9"/>
    <w:link w:val="afc"/>
    <w:uiPriority w:val="99"/>
    <w:rsid w:val="000B6AF7"/>
    <w:rPr>
      <w:b/>
      <w:bCs/>
    </w:rPr>
  </w:style>
  <w:style w:type="character" w:customStyle="1" w:styleId="afc">
    <w:name w:val="נושא הערה תו"/>
    <w:link w:val="afb"/>
    <w:uiPriority w:val="99"/>
    <w:locked/>
    <w:rsid w:val="000B6AF7"/>
    <w:rPr>
      <w:rFonts w:cs="Times New Roman"/>
      <w:b/>
      <w:bCs/>
      <w:lang w:bidi="ar-SA"/>
    </w:rPr>
  </w:style>
  <w:style w:type="paragraph" w:customStyle="1" w:styleId="Text">
    <w:name w:val="Text"/>
    <w:basedOn w:val="a0"/>
    <w:link w:val="TextChar"/>
    <w:uiPriority w:val="99"/>
    <w:rsid w:val="003A0EF2"/>
    <w:pPr>
      <w:spacing w:after="180"/>
      <w:jc w:val="both"/>
    </w:pPr>
    <w:rPr>
      <w:sz w:val="22"/>
      <w:lang w:val="en-GB"/>
    </w:rPr>
  </w:style>
  <w:style w:type="character" w:customStyle="1" w:styleId="TextChar">
    <w:name w:val="Text Char"/>
    <w:link w:val="Text"/>
    <w:uiPriority w:val="99"/>
    <w:locked/>
    <w:rsid w:val="003A0EF2"/>
    <w:rPr>
      <w:rFonts w:cs="Times New Roman"/>
      <w:sz w:val="22"/>
      <w:lang w:val="en-GB" w:bidi="ar-SA"/>
    </w:rPr>
  </w:style>
  <w:style w:type="character" w:styleId="afd">
    <w:name w:val="Emphasis"/>
    <w:uiPriority w:val="99"/>
    <w:qFormat/>
    <w:rsid w:val="00705A78"/>
    <w:rPr>
      <w:rFonts w:cs="Times New Roman"/>
      <w:i/>
      <w:iCs/>
    </w:rPr>
  </w:style>
  <w:style w:type="paragraph" w:customStyle="1" w:styleId="BodyText11">
    <w:name w:val="Body Text11"/>
    <w:basedOn w:val="a0"/>
    <w:uiPriority w:val="99"/>
    <w:rsid w:val="001137AA"/>
    <w:pPr>
      <w:widowControl w:val="0"/>
      <w:tabs>
        <w:tab w:val="left" w:pos="397"/>
      </w:tabs>
      <w:suppressAutoHyphens/>
      <w:autoSpaceDE w:val="0"/>
      <w:autoSpaceDN w:val="0"/>
      <w:adjustRightInd w:val="0"/>
      <w:spacing w:line="260" w:lineRule="atLeast"/>
      <w:textAlignment w:val="center"/>
    </w:pPr>
    <w:rPr>
      <w:rFonts w:ascii="Univers 45 Light" w:hAnsi="Univers 45 Light" w:cs="Univers 45 Light"/>
      <w:color w:val="000000"/>
      <w:sz w:val="20"/>
      <w:lang w:val="en-GB"/>
    </w:rPr>
  </w:style>
  <w:style w:type="character" w:customStyle="1" w:styleId="hps">
    <w:name w:val="hps"/>
    <w:uiPriority w:val="99"/>
    <w:rsid w:val="004A3C21"/>
    <w:rPr>
      <w:rFonts w:cs="Times New Roman"/>
    </w:rPr>
  </w:style>
  <w:style w:type="paragraph" w:customStyle="1" w:styleId="Default">
    <w:name w:val="Default"/>
    <w:uiPriority w:val="99"/>
    <w:rsid w:val="004A3C21"/>
    <w:pPr>
      <w:autoSpaceDE w:val="0"/>
      <w:autoSpaceDN w:val="0"/>
      <w:adjustRightInd w:val="0"/>
    </w:pPr>
    <w:rPr>
      <w:color w:val="000000"/>
      <w:sz w:val="24"/>
      <w:szCs w:val="24"/>
    </w:rPr>
  </w:style>
  <w:style w:type="paragraph" w:styleId="afe">
    <w:name w:val="Revision"/>
    <w:hidden/>
    <w:uiPriority w:val="99"/>
    <w:semiHidden/>
    <w:rsid w:val="00451FFD"/>
    <w:rPr>
      <w:sz w:val="24"/>
      <w:lang w:bidi="ar-SA"/>
    </w:rPr>
  </w:style>
  <w:style w:type="paragraph" w:customStyle="1" w:styleId="xmsonormal">
    <w:name w:val="x_msonormal"/>
    <w:basedOn w:val="a0"/>
    <w:uiPriority w:val="99"/>
    <w:rsid w:val="00493876"/>
    <w:pPr>
      <w:spacing w:before="100" w:beforeAutospacing="1" w:after="100" w:afterAutospacing="1"/>
    </w:pPr>
    <w:rPr>
      <w:szCs w:val="24"/>
      <w:lang w:bidi="he-IL"/>
    </w:rPr>
  </w:style>
  <w:style w:type="paragraph" w:styleId="a">
    <w:name w:val="List Number"/>
    <w:basedOn w:val="a0"/>
    <w:uiPriority w:val="99"/>
    <w:rsid w:val="00536D89"/>
    <w:pPr>
      <w:widowControl w:val="0"/>
      <w:numPr>
        <w:numId w:val="1"/>
      </w:numPr>
      <w:overflowPunct w:val="0"/>
      <w:autoSpaceDE w:val="0"/>
      <w:autoSpaceDN w:val="0"/>
      <w:adjustRightInd w:val="0"/>
      <w:spacing w:after="240"/>
      <w:jc w:val="both"/>
      <w:textAlignment w:val="baseline"/>
    </w:pPr>
  </w:style>
  <w:style w:type="paragraph" w:styleId="2">
    <w:name w:val="List Number 2"/>
    <w:basedOn w:val="a0"/>
    <w:uiPriority w:val="99"/>
    <w:rsid w:val="00536D89"/>
    <w:pPr>
      <w:widowControl w:val="0"/>
      <w:numPr>
        <w:ilvl w:val="1"/>
        <w:numId w:val="1"/>
      </w:numPr>
      <w:overflowPunct w:val="0"/>
      <w:autoSpaceDE w:val="0"/>
      <w:autoSpaceDN w:val="0"/>
      <w:adjustRightInd w:val="0"/>
      <w:spacing w:after="240"/>
      <w:jc w:val="both"/>
      <w:textAlignment w:val="baseline"/>
    </w:pPr>
  </w:style>
  <w:style w:type="paragraph" w:styleId="3">
    <w:name w:val="List Number 3"/>
    <w:basedOn w:val="a0"/>
    <w:uiPriority w:val="99"/>
    <w:rsid w:val="00536D89"/>
    <w:pPr>
      <w:widowControl w:val="0"/>
      <w:numPr>
        <w:ilvl w:val="2"/>
        <w:numId w:val="1"/>
      </w:numPr>
      <w:tabs>
        <w:tab w:val="left" w:pos="2498"/>
      </w:tabs>
      <w:overflowPunct w:val="0"/>
      <w:autoSpaceDE w:val="0"/>
      <w:autoSpaceDN w:val="0"/>
      <w:adjustRightInd w:val="0"/>
      <w:spacing w:after="240"/>
      <w:jc w:val="both"/>
      <w:textAlignment w:val="baseline"/>
    </w:pPr>
  </w:style>
  <w:style w:type="paragraph" w:styleId="4">
    <w:name w:val="List Number 4"/>
    <w:basedOn w:val="a0"/>
    <w:uiPriority w:val="99"/>
    <w:rsid w:val="00536D89"/>
    <w:pPr>
      <w:widowControl w:val="0"/>
      <w:numPr>
        <w:ilvl w:val="3"/>
        <w:numId w:val="1"/>
      </w:numPr>
      <w:overflowPunct w:val="0"/>
      <w:autoSpaceDE w:val="0"/>
      <w:autoSpaceDN w:val="0"/>
      <w:adjustRightInd w:val="0"/>
      <w:spacing w:after="240"/>
      <w:jc w:val="both"/>
      <w:textAlignment w:val="baseline"/>
    </w:pPr>
    <w:rPr>
      <w:lang w:val="cs-CZ"/>
    </w:rPr>
  </w:style>
  <w:style w:type="paragraph" w:styleId="5">
    <w:name w:val="List Number 5"/>
    <w:basedOn w:val="a0"/>
    <w:uiPriority w:val="99"/>
    <w:rsid w:val="00536D89"/>
    <w:pPr>
      <w:widowControl w:val="0"/>
      <w:numPr>
        <w:ilvl w:val="4"/>
        <w:numId w:val="1"/>
      </w:numPr>
      <w:overflowPunct w:val="0"/>
      <w:autoSpaceDE w:val="0"/>
      <w:autoSpaceDN w:val="0"/>
      <w:adjustRightInd w:val="0"/>
      <w:spacing w:after="240"/>
      <w:jc w:val="both"/>
      <w:textAlignment w:val="baseline"/>
    </w:pPr>
    <w:rPr>
      <w:lang w:val="cs-CZ"/>
    </w:rPr>
  </w:style>
  <w:style w:type="paragraph" w:customStyle="1" w:styleId="aff">
    <w:name w:val="באור"/>
    <w:basedOn w:val="af6"/>
    <w:uiPriority w:val="99"/>
    <w:rsid w:val="00240DE4"/>
    <w:pPr>
      <w:bidi/>
      <w:spacing w:line="264" w:lineRule="auto"/>
      <w:jc w:val="both"/>
    </w:pPr>
    <w:rPr>
      <w:rFonts w:ascii="Arial" w:hAnsi="Arial" w:cs="Arial"/>
      <w:b/>
      <w:bCs/>
      <w:sz w:val="22"/>
      <w:lang w:eastAsia="he-IL" w:bidi="he-IL"/>
    </w:rPr>
  </w:style>
  <w:style w:type="paragraph" w:customStyle="1" w:styleId="zKISDescFooter">
    <w:name w:val="zKISDescFooter"/>
    <w:basedOn w:val="a0"/>
    <w:rsid w:val="00842B23"/>
    <w:pPr>
      <w:framePr w:hSpace="284" w:wrap="around" w:vAnchor="page" w:hAnchor="page" w:x="4282" w:y="15905"/>
      <w:spacing w:line="130" w:lineRule="exact"/>
    </w:pPr>
    <w:rPr>
      <w:rFonts w:ascii="Univers 45 Light" w:hAnsi="Univers 45 Light"/>
      <w:sz w:val="11"/>
      <w:lang w:val="en-GB"/>
    </w:rPr>
  </w:style>
  <w:style w:type="paragraph" w:styleId="22">
    <w:name w:val="Body Text Indent 2"/>
    <w:basedOn w:val="a0"/>
    <w:link w:val="23"/>
    <w:uiPriority w:val="99"/>
    <w:semiHidden/>
    <w:unhideWhenUsed/>
    <w:rsid w:val="00057E1F"/>
    <w:pPr>
      <w:spacing w:after="120" w:line="480" w:lineRule="auto"/>
      <w:ind w:left="283"/>
    </w:pPr>
  </w:style>
  <w:style w:type="character" w:customStyle="1" w:styleId="23">
    <w:name w:val="כניסה בגוף טקסט 2 תו"/>
    <w:basedOn w:val="a1"/>
    <w:link w:val="22"/>
    <w:uiPriority w:val="99"/>
    <w:semiHidden/>
    <w:rsid w:val="00057E1F"/>
    <w:rPr>
      <w:sz w:val="24"/>
      <w:lang w:bidi="ar-SA"/>
    </w:rPr>
  </w:style>
  <w:style w:type="character" w:styleId="Hyperlink">
    <w:name w:val="Hyperlink"/>
    <w:basedOn w:val="a1"/>
    <w:rsid w:val="00057E1F"/>
    <w:rPr>
      <w:color w:val="0000FF" w:themeColor="hyperlink"/>
      <w:u w:val="single"/>
    </w:rPr>
  </w:style>
  <w:style w:type="paragraph" w:customStyle="1" w:styleId="Normal00">
    <w:name w:val="Normal_0_0"/>
    <w:qFormat/>
    <w:rsid w:val="00057E1F"/>
    <w:pPr>
      <w:overflowPunct w:val="0"/>
      <w:autoSpaceDE w:val="0"/>
      <w:autoSpaceDN w:val="0"/>
      <w:adjustRightInd w:val="0"/>
      <w:jc w:val="both"/>
      <w:textAlignment w:val="baseline"/>
    </w:pPr>
    <w:rPr>
      <w:sz w:val="22"/>
      <w:szCs w:val="22"/>
    </w:rPr>
  </w:style>
  <w:style w:type="character" w:customStyle="1" w:styleId="70">
    <w:name w:val="כותרת 7 תו"/>
    <w:basedOn w:val="a1"/>
    <w:link w:val="7"/>
    <w:semiHidden/>
    <w:rsid w:val="00C37714"/>
    <w:rPr>
      <w:rFonts w:asciiTheme="majorHAnsi" w:eastAsiaTheme="majorEastAsia" w:hAnsiTheme="majorHAnsi" w:cstheme="majorBidi"/>
      <w:i/>
      <w:iCs/>
      <w:color w:val="404040" w:themeColor="text1" w:themeTint="BF"/>
      <w:sz w:val="24"/>
      <w:lang w:bidi="ar-SA"/>
    </w:rPr>
  </w:style>
  <w:style w:type="paragraph" w:customStyle="1" w:styleId="EYBusinessaddress">
    <w:name w:val="EY Business address"/>
    <w:basedOn w:val="a0"/>
    <w:rsid w:val="002F1CF2"/>
    <w:pPr>
      <w:suppressAutoHyphens/>
      <w:spacing w:line="170" w:lineRule="exact"/>
    </w:pPr>
    <w:rPr>
      <w:rFonts w:ascii="Arial" w:hAnsi="Arial"/>
      <w:color w:val="808080"/>
      <w:kern w:val="12"/>
      <w:sz w:val="15"/>
      <w:szCs w:val="24"/>
    </w:rPr>
  </w:style>
  <w:style w:type="paragraph" w:customStyle="1" w:styleId="FirsLine">
    <w:name w:val="FirsLine"/>
    <w:basedOn w:val="a0"/>
    <w:link w:val="FirsLine0"/>
    <w:rsid w:val="002F1CF2"/>
    <w:pPr>
      <w:overflowPunct w:val="0"/>
      <w:autoSpaceDE w:val="0"/>
      <w:autoSpaceDN w:val="0"/>
      <w:adjustRightInd w:val="0"/>
      <w:ind w:firstLine="567"/>
      <w:jc w:val="both"/>
      <w:textAlignment w:val="baseline"/>
    </w:pPr>
    <w:rPr>
      <w:rFonts w:cs="Narkisim"/>
      <w:sz w:val="22"/>
      <w:szCs w:val="24"/>
      <w:lang w:bidi="he-IL"/>
    </w:rPr>
  </w:style>
  <w:style w:type="character" w:customStyle="1" w:styleId="FirsLine0">
    <w:name w:val="FirsLine תו"/>
    <w:basedOn w:val="a1"/>
    <w:link w:val="FirsLine"/>
    <w:rsid w:val="002F1CF2"/>
    <w:rPr>
      <w:rFonts w:cs="Narkisim"/>
      <w:sz w:val="22"/>
      <w:szCs w:val="24"/>
    </w:rPr>
  </w:style>
  <w:style w:type="paragraph" w:customStyle="1" w:styleId="aff0">
    <w:name w:val="????"/>
    <w:basedOn w:val="a0"/>
    <w:rsid w:val="002F1CF2"/>
    <w:pPr>
      <w:pBdr>
        <w:bottom w:val="single" w:sz="6" w:space="1" w:color="auto"/>
      </w:pBdr>
      <w:overflowPunct w:val="0"/>
      <w:autoSpaceDE w:val="0"/>
      <w:autoSpaceDN w:val="0"/>
      <w:adjustRightInd w:val="0"/>
      <w:jc w:val="center"/>
      <w:textAlignment w:val="baseline"/>
    </w:pPr>
    <w:rPr>
      <w:b/>
      <w:bCs/>
      <w:sz w:val="22"/>
      <w:szCs w:val="24"/>
      <w:lang w:bidi="he-IL"/>
    </w:rPr>
  </w:style>
  <w:style w:type="paragraph" w:customStyle="1" w:styleId="24">
    <w:name w:val="2"/>
    <w:basedOn w:val="a0"/>
    <w:rsid w:val="002F1CF2"/>
    <w:pPr>
      <w:pBdr>
        <w:bottom w:val="double" w:sz="6" w:space="1" w:color="auto"/>
      </w:pBdr>
      <w:overflowPunct w:val="0"/>
      <w:autoSpaceDE w:val="0"/>
      <w:autoSpaceDN w:val="0"/>
      <w:adjustRightInd w:val="0"/>
      <w:jc w:val="both"/>
      <w:textAlignment w:val="baseline"/>
    </w:pPr>
    <w:rPr>
      <w:sz w:val="22"/>
      <w:szCs w:val="22"/>
      <w:lang w:bidi="he-IL"/>
    </w:rPr>
  </w:style>
  <w:style w:type="character" w:customStyle="1" w:styleId="34">
    <w:name w:val="מא3 תו"/>
    <w:basedOn w:val="a1"/>
    <w:link w:val="35"/>
    <w:locked/>
    <w:rsid w:val="007736EA"/>
    <w:rPr>
      <w:rFonts w:ascii="Batang" w:eastAsia="Batang" w:hAnsi="Batang" w:cs="Narkisim"/>
      <w:sz w:val="22"/>
      <w:szCs w:val="22"/>
    </w:rPr>
  </w:style>
  <w:style w:type="paragraph" w:customStyle="1" w:styleId="35">
    <w:name w:val="מא3"/>
    <w:basedOn w:val="a0"/>
    <w:link w:val="34"/>
    <w:rsid w:val="007736EA"/>
    <w:pPr>
      <w:tabs>
        <w:tab w:val="left" w:pos="1701"/>
        <w:tab w:val="left" w:pos="2268"/>
      </w:tabs>
      <w:overflowPunct w:val="0"/>
      <w:autoSpaceDE w:val="0"/>
      <w:autoSpaceDN w:val="0"/>
      <w:adjustRightInd w:val="0"/>
      <w:ind w:left="2268" w:hanging="567"/>
      <w:jc w:val="both"/>
    </w:pPr>
    <w:rPr>
      <w:rFonts w:ascii="Batang" w:eastAsia="Batang" w:hAnsi="Batang" w:cs="Narkisim"/>
      <w:sz w:val="22"/>
      <w:szCs w:val="22"/>
      <w:lang w:bidi="he-IL"/>
    </w:rPr>
  </w:style>
  <w:style w:type="paragraph" w:customStyle="1" w:styleId="Normal1">
    <w:name w:val="Normal1"/>
    <w:basedOn w:val="1"/>
    <w:link w:val="Normal1Char"/>
    <w:rsid w:val="008957D4"/>
    <w:pPr>
      <w:spacing w:line="264" w:lineRule="auto"/>
      <w:outlineLvl w:val="9"/>
    </w:pPr>
    <w:rPr>
      <w:rFonts w:cs="Times New Roman"/>
      <w:b w:val="0"/>
      <w:bCs w:val="0"/>
      <w:sz w:val="22"/>
      <w:szCs w:val="22"/>
    </w:rPr>
  </w:style>
  <w:style w:type="character" w:customStyle="1" w:styleId="Normal1Char">
    <w:name w:val="Normal1 Char"/>
    <w:basedOn w:val="10"/>
    <w:link w:val="Normal1"/>
    <w:rsid w:val="008957D4"/>
    <w:rPr>
      <w:rFonts w:cs="David"/>
      <w:b w:val="0"/>
      <w:bCs w:val="0"/>
      <w:sz w:val="22"/>
      <w:szCs w:val="22"/>
      <w:lang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48165">
      <w:bodyDiv w:val="1"/>
      <w:marLeft w:val="0"/>
      <w:marRight w:val="0"/>
      <w:marTop w:val="0"/>
      <w:marBottom w:val="0"/>
      <w:divBdr>
        <w:top w:val="none" w:sz="0" w:space="0" w:color="auto"/>
        <w:left w:val="none" w:sz="0" w:space="0" w:color="auto"/>
        <w:bottom w:val="none" w:sz="0" w:space="0" w:color="auto"/>
        <w:right w:val="none" w:sz="0" w:space="0" w:color="auto"/>
      </w:divBdr>
    </w:div>
    <w:div w:id="32386845">
      <w:bodyDiv w:val="1"/>
      <w:marLeft w:val="0"/>
      <w:marRight w:val="0"/>
      <w:marTop w:val="0"/>
      <w:marBottom w:val="0"/>
      <w:divBdr>
        <w:top w:val="none" w:sz="0" w:space="0" w:color="auto"/>
        <w:left w:val="none" w:sz="0" w:space="0" w:color="auto"/>
        <w:bottom w:val="none" w:sz="0" w:space="0" w:color="auto"/>
        <w:right w:val="none" w:sz="0" w:space="0" w:color="auto"/>
      </w:divBdr>
    </w:div>
    <w:div w:id="34737467">
      <w:bodyDiv w:val="1"/>
      <w:marLeft w:val="0"/>
      <w:marRight w:val="0"/>
      <w:marTop w:val="0"/>
      <w:marBottom w:val="0"/>
      <w:divBdr>
        <w:top w:val="none" w:sz="0" w:space="0" w:color="auto"/>
        <w:left w:val="none" w:sz="0" w:space="0" w:color="auto"/>
        <w:bottom w:val="none" w:sz="0" w:space="0" w:color="auto"/>
        <w:right w:val="none" w:sz="0" w:space="0" w:color="auto"/>
      </w:divBdr>
    </w:div>
    <w:div w:id="56247948">
      <w:marLeft w:val="0"/>
      <w:marRight w:val="0"/>
      <w:marTop w:val="0"/>
      <w:marBottom w:val="0"/>
      <w:divBdr>
        <w:top w:val="none" w:sz="0" w:space="0" w:color="auto"/>
        <w:left w:val="none" w:sz="0" w:space="0" w:color="auto"/>
        <w:bottom w:val="none" w:sz="0" w:space="0" w:color="auto"/>
        <w:right w:val="none" w:sz="0" w:space="0" w:color="auto"/>
      </w:divBdr>
    </w:div>
    <w:div w:id="56247949">
      <w:marLeft w:val="0"/>
      <w:marRight w:val="0"/>
      <w:marTop w:val="0"/>
      <w:marBottom w:val="0"/>
      <w:divBdr>
        <w:top w:val="none" w:sz="0" w:space="0" w:color="auto"/>
        <w:left w:val="none" w:sz="0" w:space="0" w:color="auto"/>
        <w:bottom w:val="none" w:sz="0" w:space="0" w:color="auto"/>
        <w:right w:val="none" w:sz="0" w:space="0" w:color="auto"/>
      </w:divBdr>
    </w:div>
    <w:div w:id="56247950">
      <w:marLeft w:val="0"/>
      <w:marRight w:val="0"/>
      <w:marTop w:val="0"/>
      <w:marBottom w:val="0"/>
      <w:divBdr>
        <w:top w:val="none" w:sz="0" w:space="0" w:color="auto"/>
        <w:left w:val="none" w:sz="0" w:space="0" w:color="auto"/>
        <w:bottom w:val="none" w:sz="0" w:space="0" w:color="auto"/>
        <w:right w:val="none" w:sz="0" w:space="0" w:color="auto"/>
      </w:divBdr>
    </w:div>
    <w:div w:id="56247951">
      <w:marLeft w:val="0"/>
      <w:marRight w:val="0"/>
      <w:marTop w:val="0"/>
      <w:marBottom w:val="0"/>
      <w:divBdr>
        <w:top w:val="none" w:sz="0" w:space="0" w:color="auto"/>
        <w:left w:val="none" w:sz="0" w:space="0" w:color="auto"/>
        <w:bottom w:val="none" w:sz="0" w:space="0" w:color="auto"/>
        <w:right w:val="none" w:sz="0" w:space="0" w:color="auto"/>
      </w:divBdr>
    </w:div>
    <w:div w:id="56247952">
      <w:marLeft w:val="0"/>
      <w:marRight w:val="0"/>
      <w:marTop w:val="0"/>
      <w:marBottom w:val="0"/>
      <w:divBdr>
        <w:top w:val="none" w:sz="0" w:space="0" w:color="auto"/>
        <w:left w:val="none" w:sz="0" w:space="0" w:color="auto"/>
        <w:bottom w:val="none" w:sz="0" w:space="0" w:color="auto"/>
        <w:right w:val="none" w:sz="0" w:space="0" w:color="auto"/>
      </w:divBdr>
    </w:div>
    <w:div w:id="56247953">
      <w:marLeft w:val="0"/>
      <w:marRight w:val="0"/>
      <w:marTop w:val="0"/>
      <w:marBottom w:val="0"/>
      <w:divBdr>
        <w:top w:val="none" w:sz="0" w:space="0" w:color="auto"/>
        <w:left w:val="none" w:sz="0" w:space="0" w:color="auto"/>
        <w:bottom w:val="none" w:sz="0" w:space="0" w:color="auto"/>
        <w:right w:val="none" w:sz="0" w:space="0" w:color="auto"/>
      </w:divBdr>
    </w:div>
    <w:div w:id="56247954">
      <w:marLeft w:val="0"/>
      <w:marRight w:val="0"/>
      <w:marTop w:val="0"/>
      <w:marBottom w:val="0"/>
      <w:divBdr>
        <w:top w:val="none" w:sz="0" w:space="0" w:color="auto"/>
        <w:left w:val="none" w:sz="0" w:space="0" w:color="auto"/>
        <w:bottom w:val="none" w:sz="0" w:space="0" w:color="auto"/>
        <w:right w:val="none" w:sz="0" w:space="0" w:color="auto"/>
      </w:divBdr>
    </w:div>
    <w:div w:id="56247955">
      <w:marLeft w:val="0"/>
      <w:marRight w:val="0"/>
      <w:marTop w:val="0"/>
      <w:marBottom w:val="0"/>
      <w:divBdr>
        <w:top w:val="none" w:sz="0" w:space="0" w:color="auto"/>
        <w:left w:val="none" w:sz="0" w:space="0" w:color="auto"/>
        <w:bottom w:val="none" w:sz="0" w:space="0" w:color="auto"/>
        <w:right w:val="none" w:sz="0" w:space="0" w:color="auto"/>
      </w:divBdr>
    </w:div>
    <w:div w:id="56247956">
      <w:marLeft w:val="0"/>
      <w:marRight w:val="0"/>
      <w:marTop w:val="0"/>
      <w:marBottom w:val="0"/>
      <w:divBdr>
        <w:top w:val="none" w:sz="0" w:space="0" w:color="auto"/>
        <w:left w:val="none" w:sz="0" w:space="0" w:color="auto"/>
        <w:bottom w:val="none" w:sz="0" w:space="0" w:color="auto"/>
        <w:right w:val="none" w:sz="0" w:space="0" w:color="auto"/>
      </w:divBdr>
    </w:div>
    <w:div w:id="56247957">
      <w:marLeft w:val="0"/>
      <w:marRight w:val="0"/>
      <w:marTop w:val="0"/>
      <w:marBottom w:val="0"/>
      <w:divBdr>
        <w:top w:val="none" w:sz="0" w:space="0" w:color="auto"/>
        <w:left w:val="none" w:sz="0" w:space="0" w:color="auto"/>
        <w:bottom w:val="none" w:sz="0" w:space="0" w:color="auto"/>
        <w:right w:val="none" w:sz="0" w:space="0" w:color="auto"/>
      </w:divBdr>
    </w:div>
    <w:div w:id="56247958">
      <w:marLeft w:val="0"/>
      <w:marRight w:val="0"/>
      <w:marTop w:val="0"/>
      <w:marBottom w:val="0"/>
      <w:divBdr>
        <w:top w:val="none" w:sz="0" w:space="0" w:color="auto"/>
        <w:left w:val="none" w:sz="0" w:space="0" w:color="auto"/>
        <w:bottom w:val="none" w:sz="0" w:space="0" w:color="auto"/>
        <w:right w:val="none" w:sz="0" w:space="0" w:color="auto"/>
      </w:divBdr>
    </w:div>
    <w:div w:id="56247959">
      <w:marLeft w:val="0"/>
      <w:marRight w:val="0"/>
      <w:marTop w:val="0"/>
      <w:marBottom w:val="0"/>
      <w:divBdr>
        <w:top w:val="none" w:sz="0" w:space="0" w:color="auto"/>
        <w:left w:val="none" w:sz="0" w:space="0" w:color="auto"/>
        <w:bottom w:val="none" w:sz="0" w:space="0" w:color="auto"/>
        <w:right w:val="none" w:sz="0" w:space="0" w:color="auto"/>
      </w:divBdr>
    </w:div>
    <w:div w:id="56247960">
      <w:marLeft w:val="0"/>
      <w:marRight w:val="0"/>
      <w:marTop w:val="0"/>
      <w:marBottom w:val="0"/>
      <w:divBdr>
        <w:top w:val="none" w:sz="0" w:space="0" w:color="auto"/>
        <w:left w:val="none" w:sz="0" w:space="0" w:color="auto"/>
        <w:bottom w:val="none" w:sz="0" w:space="0" w:color="auto"/>
        <w:right w:val="none" w:sz="0" w:space="0" w:color="auto"/>
      </w:divBdr>
    </w:div>
    <w:div w:id="56247961">
      <w:marLeft w:val="0"/>
      <w:marRight w:val="0"/>
      <w:marTop w:val="0"/>
      <w:marBottom w:val="0"/>
      <w:divBdr>
        <w:top w:val="none" w:sz="0" w:space="0" w:color="auto"/>
        <w:left w:val="none" w:sz="0" w:space="0" w:color="auto"/>
        <w:bottom w:val="none" w:sz="0" w:space="0" w:color="auto"/>
        <w:right w:val="none" w:sz="0" w:space="0" w:color="auto"/>
      </w:divBdr>
    </w:div>
    <w:div w:id="56247962">
      <w:marLeft w:val="0"/>
      <w:marRight w:val="0"/>
      <w:marTop w:val="0"/>
      <w:marBottom w:val="0"/>
      <w:divBdr>
        <w:top w:val="none" w:sz="0" w:space="0" w:color="auto"/>
        <w:left w:val="none" w:sz="0" w:space="0" w:color="auto"/>
        <w:bottom w:val="none" w:sz="0" w:space="0" w:color="auto"/>
        <w:right w:val="none" w:sz="0" w:space="0" w:color="auto"/>
      </w:divBdr>
    </w:div>
    <w:div w:id="56247963">
      <w:marLeft w:val="0"/>
      <w:marRight w:val="0"/>
      <w:marTop w:val="0"/>
      <w:marBottom w:val="0"/>
      <w:divBdr>
        <w:top w:val="none" w:sz="0" w:space="0" w:color="auto"/>
        <w:left w:val="none" w:sz="0" w:space="0" w:color="auto"/>
        <w:bottom w:val="none" w:sz="0" w:space="0" w:color="auto"/>
        <w:right w:val="none" w:sz="0" w:space="0" w:color="auto"/>
      </w:divBdr>
    </w:div>
    <w:div w:id="56247964">
      <w:marLeft w:val="0"/>
      <w:marRight w:val="0"/>
      <w:marTop w:val="0"/>
      <w:marBottom w:val="0"/>
      <w:divBdr>
        <w:top w:val="none" w:sz="0" w:space="0" w:color="auto"/>
        <w:left w:val="none" w:sz="0" w:space="0" w:color="auto"/>
        <w:bottom w:val="none" w:sz="0" w:space="0" w:color="auto"/>
        <w:right w:val="none" w:sz="0" w:space="0" w:color="auto"/>
      </w:divBdr>
    </w:div>
    <w:div w:id="56247965">
      <w:marLeft w:val="0"/>
      <w:marRight w:val="0"/>
      <w:marTop w:val="0"/>
      <w:marBottom w:val="0"/>
      <w:divBdr>
        <w:top w:val="none" w:sz="0" w:space="0" w:color="auto"/>
        <w:left w:val="none" w:sz="0" w:space="0" w:color="auto"/>
        <w:bottom w:val="none" w:sz="0" w:space="0" w:color="auto"/>
        <w:right w:val="none" w:sz="0" w:space="0" w:color="auto"/>
      </w:divBdr>
    </w:div>
    <w:div w:id="56247966">
      <w:marLeft w:val="0"/>
      <w:marRight w:val="0"/>
      <w:marTop w:val="0"/>
      <w:marBottom w:val="0"/>
      <w:divBdr>
        <w:top w:val="none" w:sz="0" w:space="0" w:color="auto"/>
        <w:left w:val="none" w:sz="0" w:space="0" w:color="auto"/>
        <w:bottom w:val="none" w:sz="0" w:space="0" w:color="auto"/>
        <w:right w:val="none" w:sz="0" w:space="0" w:color="auto"/>
      </w:divBdr>
    </w:div>
    <w:div w:id="56247967">
      <w:marLeft w:val="0"/>
      <w:marRight w:val="0"/>
      <w:marTop w:val="0"/>
      <w:marBottom w:val="0"/>
      <w:divBdr>
        <w:top w:val="none" w:sz="0" w:space="0" w:color="auto"/>
        <w:left w:val="none" w:sz="0" w:space="0" w:color="auto"/>
        <w:bottom w:val="none" w:sz="0" w:space="0" w:color="auto"/>
        <w:right w:val="none" w:sz="0" w:space="0" w:color="auto"/>
      </w:divBdr>
    </w:div>
    <w:div w:id="56247968">
      <w:marLeft w:val="0"/>
      <w:marRight w:val="0"/>
      <w:marTop w:val="0"/>
      <w:marBottom w:val="0"/>
      <w:divBdr>
        <w:top w:val="none" w:sz="0" w:space="0" w:color="auto"/>
        <w:left w:val="none" w:sz="0" w:space="0" w:color="auto"/>
        <w:bottom w:val="none" w:sz="0" w:space="0" w:color="auto"/>
        <w:right w:val="none" w:sz="0" w:space="0" w:color="auto"/>
      </w:divBdr>
    </w:div>
    <w:div w:id="56247969">
      <w:marLeft w:val="0"/>
      <w:marRight w:val="0"/>
      <w:marTop w:val="0"/>
      <w:marBottom w:val="0"/>
      <w:divBdr>
        <w:top w:val="none" w:sz="0" w:space="0" w:color="auto"/>
        <w:left w:val="none" w:sz="0" w:space="0" w:color="auto"/>
        <w:bottom w:val="none" w:sz="0" w:space="0" w:color="auto"/>
        <w:right w:val="none" w:sz="0" w:space="0" w:color="auto"/>
      </w:divBdr>
    </w:div>
    <w:div w:id="56247970">
      <w:marLeft w:val="0"/>
      <w:marRight w:val="0"/>
      <w:marTop w:val="0"/>
      <w:marBottom w:val="0"/>
      <w:divBdr>
        <w:top w:val="none" w:sz="0" w:space="0" w:color="auto"/>
        <w:left w:val="none" w:sz="0" w:space="0" w:color="auto"/>
        <w:bottom w:val="none" w:sz="0" w:space="0" w:color="auto"/>
        <w:right w:val="none" w:sz="0" w:space="0" w:color="auto"/>
      </w:divBdr>
    </w:div>
    <w:div w:id="56247971">
      <w:marLeft w:val="0"/>
      <w:marRight w:val="0"/>
      <w:marTop w:val="0"/>
      <w:marBottom w:val="0"/>
      <w:divBdr>
        <w:top w:val="none" w:sz="0" w:space="0" w:color="auto"/>
        <w:left w:val="none" w:sz="0" w:space="0" w:color="auto"/>
        <w:bottom w:val="none" w:sz="0" w:space="0" w:color="auto"/>
        <w:right w:val="none" w:sz="0" w:space="0" w:color="auto"/>
      </w:divBdr>
    </w:div>
    <w:div w:id="56247972">
      <w:marLeft w:val="0"/>
      <w:marRight w:val="0"/>
      <w:marTop w:val="0"/>
      <w:marBottom w:val="0"/>
      <w:divBdr>
        <w:top w:val="none" w:sz="0" w:space="0" w:color="auto"/>
        <w:left w:val="none" w:sz="0" w:space="0" w:color="auto"/>
        <w:bottom w:val="none" w:sz="0" w:space="0" w:color="auto"/>
        <w:right w:val="none" w:sz="0" w:space="0" w:color="auto"/>
      </w:divBdr>
    </w:div>
    <w:div w:id="56247973">
      <w:marLeft w:val="0"/>
      <w:marRight w:val="0"/>
      <w:marTop w:val="0"/>
      <w:marBottom w:val="0"/>
      <w:divBdr>
        <w:top w:val="none" w:sz="0" w:space="0" w:color="auto"/>
        <w:left w:val="none" w:sz="0" w:space="0" w:color="auto"/>
        <w:bottom w:val="none" w:sz="0" w:space="0" w:color="auto"/>
        <w:right w:val="none" w:sz="0" w:space="0" w:color="auto"/>
      </w:divBdr>
    </w:div>
    <w:div w:id="56247974">
      <w:marLeft w:val="0"/>
      <w:marRight w:val="0"/>
      <w:marTop w:val="0"/>
      <w:marBottom w:val="0"/>
      <w:divBdr>
        <w:top w:val="none" w:sz="0" w:space="0" w:color="auto"/>
        <w:left w:val="none" w:sz="0" w:space="0" w:color="auto"/>
        <w:bottom w:val="none" w:sz="0" w:space="0" w:color="auto"/>
        <w:right w:val="none" w:sz="0" w:space="0" w:color="auto"/>
      </w:divBdr>
    </w:div>
    <w:div w:id="56247975">
      <w:marLeft w:val="0"/>
      <w:marRight w:val="0"/>
      <w:marTop w:val="0"/>
      <w:marBottom w:val="0"/>
      <w:divBdr>
        <w:top w:val="none" w:sz="0" w:space="0" w:color="auto"/>
        <w:left w:val="none" w:sz="0" w:space="0" w:color="auto"/>
        <w:bottom w:val="none" w:sz="0" w:space="0" w:color="auto"/>
        <w:right w:val="none" w:sz="0" w:space="0" w:color="auto"/>
      </w:divBdr>
    </w:div>
    <w:div w:id="56247976">
      <w:marLeft w:val="0"/>
      <w:marRight w:val="0"/>
      <w:marTop w:val="0"/>
      <w:marBottom w:val="0"/>
      <w:divBdr>
        <w:top w:val="none" w:sz="0" w:space="0" w:color="auto"/>
        <w:left w:val="none" w:sz="0" w:space="0" w:color="auto"/>
        <w:bottom w:val="none" w:sz="0" w:space="0" w:color="auto"/>
        <w:right w:val="none" w:sz="0" w:space="0" w:color="auto"/>
      </w:divBdr>
    </w:div>
    <w:div w:id="63768624">
      <w:bodyDiv w:val="1"/>
      <w:marLeft w:val="0"/>
      <w:marRight w:val="0"/>
      <w:marTop w:val="0"/>
      <w:marBottom w:val="0"/>
      <w:divBdr>
        <w:top w:val="none" w:sz="0" w:space="0" w:color="auto"/>
        <w:left w:val="none" w:sz="0" w:space="0" w:color="auto"/>
        <w:bottom w:val="none" w:sz="0" w:space="0" w:color="auto"/>
        <w:right w:val="none" w:sz="0" w:space="0" w:color="auto"/>
      </w:divBdr>
    </w:div>
    <w:div w:id="67073176">
      <w:bodyDiv w:val="1"/>
      <w:marLeft w:val="0"/>
      <w:marRight w:val="0"/>
      <w:marTop w:val="0"/>
      <w:marBottom w:val="0"/>
      <w:divBdr>
        <w:top w:val="none" w:sz="0" w:space="0" w:color="auto"/>
        <w:left w:val="none" w:sz="0" w:space="0" w:color="auto"/>
        <w:bottom w:val="none" w:sz="0" w:space="0" w:color="auto"/>
        <w:right w:val="none" w:sz="0" w:space="0" w:color="auto"/>
      </w:divBdr>
    </w:div>
    <w:div w:id="72052756">
      <w:bodyDiv w:val="1"/>
      <w:marLeft w:val="0"/>
      <w:marRight w:val="0"/>
      <w:marTop w:val="0"/>
      <w:marBottom w:val="0"/>
      <w:divBdr>
        <w:top w:val="none" w:sz="0" w:space="0" w:color="auto"/>
        <w:left w:val="none" w:sz="0" w:space="0" w:color="auto"/>
        <w:bottom w:val="none" w:sz="0" w:space="0" w:color="auto"/>
        <w:right w:val="none" w:sz="0" w:space="0" w:color="auto"/>
      </w:divBdr>
    </w:div>
    <w:div w:id="163278170">
      <w:bodyDiv w:val="1"/>
      <w:marLeft w:val="0"/>
      <w:marRight w:val="0"/>
      <w:marTop w:val="0"/>
      <w:marBottom w:val="0"/>
      <w:divBdr>
        <w:top w:val="none" w:sz="0" w:space="0" w:color="auto"/>
        <w:left w:val="none" w:sz="0" w:space="0" w:color="auto"/>
        <w:bottom w:val="none" w:sz="0" w:space="0" w:color="auto"/>
        <w:right w:val="none" w:sz="0" w:space="0" w:color="auto"/>
      </w:divBdr>
    </w:div>
    <w:div w:id="181479191">
      <w:bodyDiv w:val="1"/>
      <w:marLeft w:val="0"/>
      <w:marRight w:val="0"/>
      <w:marTop w:val="0"/>
      <w:marBottom w:val="0"/>
      <w:divBdr>
        <w:top w:val="none" w:sz="0" w:space="0" w:color="auto"/>
        <w:left w:val="none" w:sz="0" w:space="0" w:color="auto"/>
        <w:bottom w:val="none" w:sz="0" w:space="0" w:color="auto"/>
        <w:right w:val="none" w:sz="0" w:space="0" w:color="auto"/>
      </w:divBdr>
    </w:div>
    <w:div w:id="199821443">
      <w:bodyDiv w:val="1"/>
      <w:marLeft w:val="0"/>
      <w:marRight w:val="0"/>
      <w:marTop w:val="0"/>
      <w:marBottom w:val="0"/>
      <w:divBdr>
        <w:top w:val="none" w:sz="0" w:space="0" w:color="auto"/>
        <w:left w:val="none" w:sz="0" w:space="0" w:color="auto"/>
        <w:bottom w:val="none" w:sz="0" w:space="0" w:color="auto"/>
        <w:right w:val="none" w:sz="0" w:space="0" w:color="auto"/>
      </w:divBdr>
    </w:div>
    <w:div w:id="210582387">
      <w:bodyDiv w:val="1"/>
      <w:marLeft w:val="0"/>
      <w:marRight w:val="0"/>
      <w:marTop w:val="0"/>
      <w:marBottom w:val="0"/>
      <w:divBdr>
        <w:top w:val="none" w:sz="0" w:space="0" w:color="auto"/>
        <w:left w:val="none" w:sz="0" w:space="0" w:color="auto"/>
        <w:bottom w:val="none" w:sz="0" w:space="0" w:color="auto"/>
        <w:right w:val="none" w:sz="0" w:space="0" w:color="auto"/>
      </w:divBdr>
    </w:div>
    <w:div w:id="220213451">
      <w:bodyDiv w:val="1"/>
      <w:marLeft w:val="0"/>
      <w:marRight w:val="0"/>
      <w:marTop w:val="0"/>
      <w:marBottom w:val="0"/>
      <w:divBdr>
        <w:top w:val="none" w:sz="0" w:space="0" w:color="auto"/>
        <w:left w:val="none" w:sz="0" w:space="0" w:color="auto"/>
        <w:bottom w:val="none" w:sz="0" w:space="0" w:color="auto"/>
        <w:right w:val="none" w:sz="0" w:space="0" w:color="auto"/>
      </w:divBdr>
    </w:div>
    <w:div w:id="228343139">
      <w:bodyDiv w:val="1"/>
      <w:marLeft w:val="0"/>
      <w:marRight w:val="0"/>
      <w:marTop w:val="0"/>
      <w:marBottom w:val="0"/>
      <w:divBdr>
        <w:top w:val="none" w:sz="0" w:space="0" w:color="auto"/>
        <w:left w:val="none" w:sz="0" w:space="0" w:color="auto"/>
        <w:bottom w:val="none" w:sz="0" w:space="0" w:color="auto"/>
        <w:right w:val="none" w:sz="0" w:space="0" w:color="auto"/>
      </w:divBdr>
    </w:div>
    <w:div w:id="263075915">
      <w:bodyDiv w:val="1"/>
      <w:marLeft w:val="0"/>
      <w:marRight w:val="0"/>
      <w:marTop w:val="0"/>
      <w:marBottom w:val="0"/>
      <w:divBdr>
        <w:top w:val="none" w:sz="0" w:space="0" w:color="auto"/>
        <w:left w:val="none" w:sz="0" w:space="0" w:color="auto"/>
        <w:bottom w:val="none" w:sz="0" w:space="0" w:color="auto"/>
        <w:right w:val="none" w:sz="0" w:space="0" w:color="auto"/>
      </w:divBdr>
    </w:div>
    <w:div w:id="266157898">
      <w:bodyDiv w:val="1"/>
      <w:marLeft w:val="0"/>
      <w:marRight w:val="0"/>
      <w:marTop w:val="0"/>
      <w:marBottom w:val="0"/>
      <w:divBdr>
        <w:top w:val="none" w:sz="0" w:space="0" w:color="auto"/>
        <w:left w:val="none" w:sz="0" w:space="0" w:color="auto"/>
        <w:bottom w:val="none" w:sz="0" w:space="0" w:color="auto"/>
        <w:right w:val="none" w:sz="0" w:space="0" w:color="auto"/>
      </w:divBdr>
    </w:div>
    <w:div w:id="275210460">
      <w:bodyDiv w:val="1"/>
      <w:marLeft w:val="0"/>
      <w:marRight w:val="0"/>
      <w:marTop w:val="0"/>
      <w:marBottom w:val="0"/>
      <w:divBdr>
        <w:top w:val="none" w:sz="0" w:space="0" w:color="auto"/>
        <w:left w:val="none" w:sz="0" w:space="0" w:color="auto"/>
        <w:bottom w:val="none" w:sz="0" w:space="0" w:color="auto"/>
        <w:right w:val="none" w:sz="0" w:space="0" w:color="auto"/>
      </w:divBdr>
    </w:div>
    <w:div w:id="316542336">
      <w:bodyDiv w:val="1"/>
      <w:marLeft w:val="0"/>
      <w:marRight w:val="0"/>
      <w:marTop w:val="0"/>
      <w:marBottom w:val="0"/>
      <w:divBdr>
        <w:top w:val="none" w:sz="0" w:space="0" w:color="auto"/>
        <w:left w:val="none" w:sz="0" w:space="0" w:color="auto"/>
        <w:bottom w:val="none" w:sz="0" w:space="0" w:color="auto"/>
        <w:right w:val="none" w:sz="0" w:space="0" w:color="auto"/>
      </w:divBdr>
    </w:div>
    <w:div w:id="339507364">
      <w:bodyDiv w:val="1"/>
      <w:marLeft w:val="0"/>
      <w:marRight w:val="0"/>
      <w:marTop w:val="0"/>
      <w:marBottom w:val="0"/>
      <w:divBdr>
        <w:top w:val="none" w:sz="0" w:space="0" w:color="auto"/>
        <w:left w:val="none" w:sz="0" w:space="0" w:color="auto"/>
        <w:bottom w:val="none" w:sz="0" w:space="0" w:color="auto"/>
        <w:right w:val="none" w:sz="0" w:space="0" w:color="auto"/>
      </w:divBdr>
    </w:div>
    <w:div w:id="355158061">
      <w:bodyDiv w:val="1"/>
      <w:marLeft w:val="0"/>
      <w:marRight w:val="0"/>
      <w:marTop w:val="0"/>
      <w:marBottom w:val="0"/>
      <w:divBdr>
        <w:top w:val="none" w:sz="0" w:space="0" w:color="auto"/>
        <w:left w:val="none" w:sz="0" w:space="0" w:color="auto"/>
        <w:bottom w:val="none" w:sz="0" w:space="0" w:color="auto"/>
        <w:right w:val="none" w:sz="0" w:space="0" w:color="auto"/>
      </w:divBdr>
    </w:div>
    <w:div w:id="383524253">
      <w:bodyDiv w:val="1"/>
      <w:marLeft w:val="0"/>
      <w:marRight w:val="0"/>
      <w:marTop w:val="0"/>
      <w:marBottom w:val="0"/>
      <w:divBdr>
        <w:top w:val="none" w:sz="0" w:space="0" w:color="auto"/>
        <w:left w:val="none" w:sz="0" w:space="0" w:color="auto"/>
        <w:bottom w:val="none" w:sz="0" w:space="0" w:color="auto"/>
        <w:right w:val="none" w:sz="0" w:space="0" w:color="auto"/>
      </w:divBdr>
    </w:div>
    <w:div w:id="426969726">
      <w:bodyDiv w:val="1"/>
      <w:marLeft w:val="0"/>
      <w:marRight w:val="0"/>
      <w:marTop w:val="0"/>
      <w:marBottom w:val="0"/>
      <w:divBdr>
        <w:top w:val="none" w:sz="0" w:space="0" w:color="auto"/>
        <w:left w:val="none" w:sz="0" w:space="0" w:color="auto"/>
        <w:bottom w:val="none" w:sz="0" w:space="0" w:color="auto"/>
        <w:right w:val="none" w:sz="0" w:space="0" w:color="auto"/>
      </w:divBdr>
    </w:div>
    <w:div w:id="490874395">
      <w:bodyDiv w:val="1"/>
      <w:marLeft w:val="0"/>
      <w:marRight w:val="0"/>
      <w:marTop w:val="0"/>
      <w:marBottom w:val="0"/>
      <w:divBdr>
        <w:top w:val="none" w:sz="0" w:space="0" w:color="auto"/>
        <w:left w:val="none" w:sz="0" w:space="0" w:color="auto"/>
        <w:bottom w:val="none" w:sz="0" w:space="0" w:color="auto"/>
        <w:right w:val="none" w:sz="0" w:space="0" w:color="auto"/>
      </w:divBdr>
    </w:div>
    <w:div w:id="492528976">
      <w:bodyDiv w:val="1"/>
      <w:marLeft w:val="0"/>
      <w:marRight w:val="0"/>
      <w:marTop w:val="0"/>
      <w:marBottom w:val="0"/>
      <w:divBdr>
        <w:top w:val="none" w:sz="0" w:space="0" w:color="auto"/>
        <w:left w:val="none" w:sz="0" w:space="0" w:color="auto"/>
        <w:bottom w:val="none" w:sz="0" w:space="0" w:color="auto"/>
        <w:right w:val="none" w:sz="0" w:space="0" w:color="auto"/>
      </w:divBdr>
    </w:div>
    <w:div w:id="492649191">
      <w:bodyDiv w:val="1"/>
      <w:marLeft w:val="0"/>
      <w:marRight w:val="0"/>
      <w:marTop w:val="0"/>
      <w:marBottom w:val="0"/>
      <w:divBdr>
        <w:top w:val="none" w:sz="0" w:space="0" w:color="auto"/>
        <w:left w:val="none" w:sz="0" w:space="0" w:color="auto"/>
        <w:bottom w:val="none" w:sz="0" w:space="0" w:color="auto"/>
        <w:right w:val="none" w:sz="0" w:space="0" w:color="auto"/>
      </w:divBdr>
    </w:div>
    <w:div w:id="539318718">
      <w:bodyDiv w:val="1"/>
      <w:marLeft w:val="0"/>
      <w:marRight w:val="0"/>
      <w:marTop w:val="0"/>
      <w:marBottom w:val="0"/>
      <w:divBdr>
        <w:top w:val="none" w:sz="0" w:space="0" w:color="auto"/>
        <w:left w:val="none" w:sz="0" w:space="0" w:color="auto"/>
        <w:bottom w:val="none" w:sz="0" w:space="0" w:color="auto"/>
        <w:right w:val="none" w:sz="0" w:space="0" w:color="auto"/>
      </w:divBdr>
    </w:div>
    <w:div w:id="611472405">
      <w:bodyDiv w:val="1"/>
      <w:marLeft w:val="0"/>
      <w:marRight w:val="0"/>
      <w:marTop w:val="0"/>
      <w:marBottom w:val="0"/>
      <w:divBdr>
        <w:top w:val="none" w:sz="0" w:space="0" w:color="auto"/>
        <w:left w:val="none" w:sz="0" w:space="0" w:color="auto"/>
        <w:bottom w:val="none" w:sz="0" w:space="0" w:color="auto"/>
        <w:right w:val="none" w:sz="0" w:space="0" w:color="auto"/>
      </w:divBdr>
    </w:div>
    <w:div w:id="619991469">
      <w:bodyDiv w:val="1"/>
      <w:marLeft w:val="0"/>
      <w:marRight w:val="0"/>
      <w:marTop w:val="0"/>
      <w:marBottom w:val="0"/>
      <w:divBdr>
        <w:top w:val="none" w:sz="0" w:space="0" w:color="auto"/>
        <w:left w:val="none" w:sz="0" w:space="0" w:color="auto"/>
        <w:bottom w:val="none" w:sz="0" w:space="0" w:color="auto"/>
        <w:right w:val="none" w:sz="0" w:space="0" w:color="auto"/>
      </w:divBdr>
    </w:div>
    <w:div w:id="682634010">
      <w:bodyDiv w:val="1"/>
      <w:marLeft w:val="0"/>
      <w:marRight w:val="0"/>
      <w:marTop w:val="0"/>
      <w:marBottom w:val="0"/>
      <w:divBdr>
        <w:top w:val="none" w:sz="0" w:space="0" w:color="auto"/>
        <w:left w:val="none" w:sz="0" w:space="0" w:color="auto"/>
        <w:bottom w:val="none" w:sz="0" w:space="0" w:color="auto"/>
        <w:right w:val="none" w:sz="0" w:space="0" w:color="auto"/>
      </w:divBdr>
    </w:div>
    <w:div w:id="715465778">
      <w:bodyDiv w:val="1"/>
      <w:marLeft w:val="0"/>
      <w:marRight w:val="0"/>
      <w:marTop w:val="0"/>
      <w:marBottom w:val="0"/>
      <w:divBdr>
        <w:top w:val="none" w:sz="0" w:space="0" w:color="auto"/>
        <w:left w:val="none" w:sz="0" w:space="0" w:color="auto"/>
        <w:bottom w:val="none" w:sz="0" w:space="0" w:color="auto"/>
        <w:right w:val="none" w:sz="0" w:space="0" w:color="auto"/>
      </w:divBdr>
    </w:div>
    <w:div w:id="725186216">
      <w:bodyDiv w:val="1"/>
      <w:marLeft w:val="0"/>
      <w:marRight w:val="0"/>
      <w:marTop w:val="0"/>
      <w:marBottom w:val="0"/>
      <w:divBdr>
        <w:top w:val="none" w:sz="0" w:space="0" w:color="auto"/>
        <w:left w:val="none" w:sz="0" w:space="0" w:color="auto"/>
        <w:bottom w:val="none" w:sz="0" w:space="0" w:color="auto"/>
        <w:right w:val="none" w:sz="0" w:space="0" w:color="auto"/>
      </w:divBdr>
    </w:div>
    <w:div w:id="725762710">
      <w:bodyDiv w:val="1"/>
      <w:marLeft w:val="0"/>
      <w:marRight w:val="0"/>
      <w:marTop w:val="0"/>
      <w:marBottom w:val="0"/>
      <w:divBdr>
        <w:top w:val="none" w:sz="0" w:space="0" w:color="auto"/>
        <w:left w:val="none" w:sz="0" w:space="0" w:color="auto"/>
        <w:bottom w:val="none" w:sz="0" w:space="0" w:color="auto"/>
        <w:right w:val="none" w:sz="0" w:space="0" w:color="auto"/>
      </w:divBdr>
    </w:div>
    <w:div w:id="729621577">
      <w:bodyDiv w:val="1"/>
      <w:marLeft w:val="0"/>
      <w:marRight w:val="0"/>
      <w:marTop w:val="0"/>
      <w:marBottom w:val="0"/>
      <w:divBdr>
        <w:top w:val="none" w:sz="0" w:space="0" w:color="auto"/>
        <w:left w:val="none" w:sz="0" w:space="0" w:color="auto"/>
        <w:bottom w:val="none" w:sz="0" w:space="0" w:color="auto"/>
        <w:right w:val="none" w:sz="0" w:space="0" w:color="auto"/>
      </w:divBdr>
    </w:div>
    <w:div w:id="755596400">
      <w:bodyDiv w:val="1"/>
      <w:marLeft w:val="0"/>
      <w:marRight w:val="0"/>
      <w:marTop w:val="0"/>
      <w:marBottom w:val="0"/>
      <w:divBdr>
        <w:top w:val="none" w:sz="0" w:space="0" w:color="auto"/>
        <w:left w:val="none" w:sz="0" w:space="0" w:color="auto"/>
        <w:bottom w:val="none" w:sz="0" w:space="0" w:color="auto"/>
        <w:right w:val="none" w:sz="0" w:space="0" w:color="auto"/>
      </w:divBdr>
    </w:div>
    <w:div w:id="759104938">
      <w:bodyDiv w:val="1"/>
      <w:marLeft w:val="0"/>
      <w:marRight w:val="0"/>
      <w:marTop w:val="0"/>
      <w:marBottom w:val="0"/>
      <w:divBdr>
        <w:top w:val="none" w:sz="0" w:space="0" w:color="auto"/>
        <w:left w:val="none" w:sz="0" w:space="0" w:color="auto"/>
        <w:bottom w:val="none" w:sz="0" w:space="0" w:color="auto"/>
        <w:right w:val="none" w:sz="0" w:space="0" w:color="auto"/>
      </w:divBdr>
    </w:div>
    <w:div w:id="769400693">
      <w:bodyDiv w:val="1"/>
      <w:marLeft w:val="0"/>
      <w:marRight w:val="0"/>
      <w:marTop w:val="0"/>
      <w:marBottom w:val="0"/>
      <w:divBdr>
        <w:top w:val="none" w:sz="0" w:space="0" w:color="auto"/>
        <w:left w:val="none" w:sz="0" w:space="0" w:color="auto"/>
        <w:bottom w:val="none" w:sz="0" w:space="0" w:color="auto"/>
        <w:right w:val="none" w:sz="0" w:space="0" w:color="auto"/>
      </w:divBdr>
    </w:div>
    <w:div w:id="793257360">
      <w:bodyDiv w:val="1"/>
      <w:marLeft w:val="0"/>
      <w:marRight w:val="0"/>
      <w:marTop w:val="0"/>
      <w:marBottom w:val="0"/>
      <w:divBdr>
        <w:top w:val="none" w:sz="0" w:space="0" w:color="auto"/>
        <w:left w:val="none" w:sz="0" w:space="0" w:color="auto"/>
        <w:bottom w:val="none" w:sz="0" w:space="0" w:color="auto"/>
        <w:right w:val="none" w:sz="0" w:space="0" w:color="auto"/>
      </w:divBdr>
    </w:div>
    <w:div w:id="793864736">
      <w:bodyDiv w:val="1"/>
      <w:marLeft w:val="0"/>
      <w:marRight w:val="0"/>
      <w:marTop w:val="0"/>
      <w:marBottom w:val="0"/>
      <w:divBdr>
        <w:top w:val="none" w:sz="0" w:space="0" w:color="auto"/>
        <w:left w:val="none" w:sz="0" w:space="0" w:color="auto"/>
        <w:bottom w:val="none" w:sz="0" w:space="0" w:color="auto"/>
        <w:right w:val="none" w:sz="0" w:space="0" w:color="auto"/>
      </w:divBdr>
    </w:div>
    <w:div w:id="842546090">
      <w:bodyDiv w:val="1"/>
      <w:marLeft w:val="0"/>
      <w:marRight w:val="0"/>
      <w:marTop w:val="0"/>
      <w:marBottom w:val="0"/>
      <w:divBdr>
        <w:top w:val="none" w:sz="0" w:space="0" w:color="auto"/>
        <w:left w:val="none" w:sz="0" w:space="0" w:color="auto"/>
        <w:bottom w:val="none" w:sz="0" w:space="0" w:color="auto"/>
        <w:right w:val="none" w:sz="0" w:space="0" w:color="auto"/>
      </w:divBdr>
    </w:div>
    <w:div w:id="892077438">
      <w:bodyDiv w:val="1"/>
      <w:marLeft w:val="0"/>
      <w:marRight w:val="0"/>
      <w:marTop w:val="0"/>
      <w:marBottom w:val="0"/>
      <w:divBdr>
        <w:top w:val="none" w:sz="0" w:space="0" w:color="auto"/>
        <w:left w:val="none" w:sz="0" w:space="0" w:color="auto"/>
        <w:bottom w:val="none" w:sz="0" w:space="0" w:color="auto"/>
        <w:right w:val="none" w:sz="0" w:space="0" w:color="auto"/>
      </w:divBdr>
    </w:div>
    <w:div w:id="900406089">
      <w:bodyDiv w:val="1"/>
      <w:marLeft w:val="0"/>
      <w:marRight w:val="0"/>
      <w:marTop w:val="0"/>
      <w:marBottom w:val="0"/>
      <w:divBdr>
        <w:top w:val="none" w:sz="0" w:space="0" w:color="auto"/>
        <w:left w:val="none" w:sz="0" w:space="0" w:color="auto"/>
        <w:bottom w:val="none" w:sz="0" w:space="0" w:color="auto"/>
        <w:right w:val="none" w:sz="0" w:space="0" w:color="auto"/>
      </w:divBdr>
    </w:div>
    <w:div w:id="946278697">
      <w:bodyDiv w:val="1"/>
      <w:marLeft w:val="0"/>
      <w:marRight w:val="0"/>
      <w:marTop w:val="0"/>
      <w:marBottom w:val="0"/>
      <w:divBdr>
        <w:top w:val="none" w:sz="0" w:space="0" w:color="auto"/>
        <w:left w:val="none" w:sz="0" w:space="0" w:color="auto"/>
        <w:bottom w:val="none" w:sz="0" w:space="0" w:color="auto"/>
        <w:right w:val="none" w:sz="0" w:space="0" w:color="auto"/>
      </w:divBdr>
    </w:div>
    <w:div w:id="947586969">
      <w:bodyDiv w:val="1"/>
      <w:marLeft w:val="0"/>
      <w:marRight w:val="0"/>
      <w:marTop w:val="0"/>
      <w:marBottom w:val="0"/>
      <w:divBdr>
        <w:top w:val="none" w:sz="0" w:space="0" w:color="auto"/>
        <w:left w:val="none" w:sz="0" w:space="0" w:color="auto"/>
        <w:bottom w:val="none" w:sz="0" w:space="0" w:color="auto"/>
        <w:right w:val="none" w:sz="0" w:space="0" w:color="auto"/>
      </w:divBdr>
    </w:div>
    <w:div w:id="953173998">
      <w:bodyDiv w:val="1"/>
      <w:marLeft w:val="0"/>
      <w:marRight w:val="0"/>
      <w:marTop w:val="0"/>
      <w:marBottom w:val="0"/>
      <w:divBdr>
        <w:top w:val="none" w:sz="0" w:space="0" w:color="auto"/>
        <w:left w:val="none" w:sz="0" w:space="0" w:color="auto"/>
        <w:bottom w:val="none" w:sz="0" w:space="0" w:color="auto"/>
        <w:right w:val="none" w:sz="0" w:space="0" w:color="auto"/>
      </w:divBdr>
    </w:div>
    <w:div w:id="970398429">
      <w:bodyDiv w:val="1"/>
      <w:marLeft w:val="0"/>
      <w:marRight w:val="0"/>
      <w:marTop w:val="0"/>
      <w:marBottom w:val="0"/>
      <w:divBdr>
        <w:top w:val="none" w:sz="0" w:space="0" w:color="auto"/>
        <w:left w:val="none" w:sz="0" w:space="0" w:color="auto"/>
        <w:bottom w:val="none" w:sz="0" w:space="0" w:color="auto"/>
        <w:right w:val="none" w:sz="0" w:space="0" w:color="auto"/>
      </w:divBdr>
    </w:div>
    <w:div w:id="980618066">
      <w:bodyDiv w:val="1"/>
      <w:marLeft w:val="0"/>
      <w:marRight w:val="0"/>
      <w:marTop w:val="0"/>
      <w:marBottom w:val="0"/>
      <w:divBdr>
        <w:top w:val="none" w:sz="0" w:space="0" w:color="auto"/>
        <w:left w:val="none" w:sz="0" w:space="0" w:color="auto"/>
        <w:bottom w:val="none" w:sz="0" w:space="0" w:color="auto"/>
        <w:right w:val="none" w:sz="0" w:space="0" w:color="auto"/>
      </w:divBdr>
    </w:div>
    <w:div w:id="990333285">
      <w:bodyDiv w:val="1"/>
      <w:marLeft w:val="0"/>
      <w:marRight w:val="0"/>
      <w:marTop w:val="0"/>
      <w:marBottom w:val="0"/>
      <w:divBdr>
        <w:top w:val="none" w:sz="0" w:space="0" w:color="auto"/>
        <w:left w:val="none" w:sz="0" w:space="0" w:color="auto"/>
        <w:bottom w:val="none" w:sz="0" w:space="0" w:color="auto"/>
        <w:right w:val="none" w:sz="0" w:space="0" w:color="auto"/>
      </w:divBdr>
    </w:div>
    <w:div w:id="1046418397">
      <w:bodyDiv w:val="1"/>
      <w:marLeft w:val="0"/>
      <w:marRight w:val="0"/>
      <w:marTop w:val="0"/>
      <w:marBottom w:val="0"/>
      <w:divBdr>
        <w:top w:val="none" w:sz="0" w:space="0" w:color="auto"/>
        <w:left w:val="none" w:sz="0" w:space="0" w:color="auto"/>
        <w:bottom w:val="none" w:sz="0" w:space="0" w:color="auto"/>
        <w:right w:val="none" w:sz="0" w:space="0" w:color="auto"/>
      </w:divBdr>
    </w:div>
    <w:div w:id="1050226725">
      <w:bodyDiv w:val="1"/>
      <w:marLeft w:val="0"/>
      <w:marRight w:val="0"/>
      <w:marTop w:val="0"/>
      <w:marBottom w:val="0"/>
      <w:divBdr>
        <w:top w:val="none" w:sz="0" w:space="0" w:color="auto"/>
        <w:left w:val="none" w:sz="0" w:space="0" w:color="auto"/>
        <w:bottom w:val="none" w:sz="0" w:space="0" w:color="auto"/>
        <w:right w:val="none" w:sz="0" w:space="0" w:color="auto"/>
      </w:divBdr>
    </w:div>
    <w:div w:id="1061177224">
      <w:bodyDiv w:val="1"/>
      <w:marLeft w:val="0"/>
      <w:marRight w:val="0"/>
      <w:marTop w:val="0"/>
      <w:marBottom w:val="0"/>
      <w:divBdr>
        <w:top w:val="none" w:sz="0" w:space="0" w:color="auto"/>
        <w:left w:val="none" w:sz="0" w:space="0" w:color="auto"/>
        <w:bottom w:val="none" w:sz="0" w:space="0" w:color="auto"/>
        <w:right w:val="none" w:sz="0" w:space="0" w:color="auto"/>
      </w:divBdr>
    </w:div>
    <w:div w:id="1069353359">
      <w:bodyDiv w:val="1"/>
      <w:marLeft w:val="0"/>
      <w:marRight w:val="0"/>
      <w:marTop w:val="0"/>
      <w:marBottom w:val="0"/>
      <w:divBdr>
        <w:top w:val="none" w:sz="0" w:space="0" w:color="auto"/>
        <w:left w:val="none" w:sz="0" w:space="0" w:color="auto"/>
        <w:bottom w:val="none" w:sz="0" w:space="0" w:color="auto"/>
        <w:right w:val="none" w:sz="0" w:space="0" w:color="auto"/>
      </w:divBdr>
    </w:div>
    <w:div w:id="1096512956">
      <w:bodyDiv w:val="1"/>
      <w:marLeft w:val="0"/>
      <w:marRight w:val="0"/>
      <w:marTop w:val="0"/>
      <w:marBottom w:val="0"/>
      <w:divBdr>
        <w:top w:val="none" w:sz="0" w:space="0" w:color="auto"/>
        <w:left w:val="none" w:sz="0" w:space="0" w:color="auto"/>
        <w:bottom w:val="none" w:sz="0" w:space="0" w:color="auto"/>
        <w:right w:val="none" w:sz="0" w:space="0" w:color="auto"/>
      </w:divBdr>
    </w:div>
    <w:div w:id="1178542254">
      <w:bodyDiv w:val="1"/>
      <w:marLeft w:val="0"/>
      <w:marRight w:val="0"/>
      <w:marTop w:val="0"/>
      <w:marBottom w:val="0"/>
      <w:divBdr>
        <w:top w:val="none" w:sz="0" w:space="0" w:color="auto"/>
        <w:left w:val="none" w:sz="0" w:space="0" w:color="auto"/>
        <w:bottom w:val="none" w:sz="0" w:space="0" w:color="auto"/>
        <w:right w:val="none" w:sz="0" w:space="0" w:color="auto"/>
      </w:divBdr>
    </w:div>
    <w:div w:id="1183128652">
      <w:bodyDiv w:val="1"/>
      <w:marLeft w:val="0"/>
      <w:marRight w:val="0"/>
      <w:marTop w:val="0"/>
      <w:marBottom w:val="0"/>
      <w:divBdr>
        <w:top w:val="none" w:sz="0" w:space="0" w:color="auto"/>
        <w:left w:val="none" w:sz="0" w:space="0" w:color="auto"/>
        <w:bottom w:val="none" w:sz="0" w:space="0" w:color="auto"/>
        <w:right w:val="none" w:sz="0" w:space="0" w:color="auto"/>
      </w:divBdr>
    </w:div>
    <w:div w:id="1200624328">
      <w:bodyDiv w:val="1"/>
      <w:marLeft w:val="0"/>
      <w:marRight w:val="0"/>
      <w:marTop w:val="0"/>
      <w:marBottom w:val="0"/>
      <w:divBdr>
        <w:top w:val="none" w:sz="0" w:space="0" w:color="auto"/>
        <w:left w:val="none" w:sz="0" w:space="0" w:color="auto"/>
        <w:bottom w:val="none" w:sz="0" w:space="0" w:color="auto"/>
        <w:right w:val="none" w:sz="0" w:space="0" w:color="auto"/>
      </w:divBdr>
    </w:div>
    <w:div w:id="1206941036">
      <w:bodyDiv w:val="1"/>
      <w:marLeft w:val="0"/>
      <w:marRight w:val="0"/>
      <w:marTop w:val="0"/>
      <w:marBottom w:val="0"/>
      <w:divBdr>
        <w:top w:val="none" w:sz="0" w:space="0" w:color="auto"/>
        <w:left w:val="none" w:sz="0" w:space="0" w:color="auto"/>
        <w:bottom w:val="none" w:sz="0" w:space="0" w:color="auto"/>
        <w:right w:val="none" w:sz="0" w:space="0" w:color="auto"/>
      </w:divBdr>
    </w:div>
    <w:div w:id="1208108609">
      <w:bodyDiv w:val="1"/>
      <w:marLeft w:val="0"/>
      <w:marRight w:val="0"/>
      <w:marTop w:val="0"/>
      <w:marBottom w:val="0"/>
      <w:divBdr>
        <w:top w:val="none" w:sz="0" w:space="0" w:color="auto"/>
        <w:left w:val="none" w:sz="0" w:space="0" w:color="auto"/>
        <w:bottom w:val="none" w:sz="0" w:space="0" w:color="auto"/>
        <w:right w:val="none" w:sz="0" w:space="0" w:color="auto"/>
      </w:divBdr>
    </w:div>
    <w:div w:id="1219829163">
      <w:bodyDiv w:val="1"/>
      <w:marLeft w:val="0"/>
      <w:marRight w:val="0"/>
      <w:marTop w:val="0"/>
      <w:marBottom w:val="0"/>
      <w:divBdr>
        <w:top w:val="none" w:sz="0" w:space="0" w:color="auto"/>
        <w:left w:val="none" w:sz="0" w:space="0" w:color="auto"/>
        <w:bottom w:val="none" w:sz="0" w:space="0" w:color="auto"/>
        <w:right w:val="none" w:sz="0" w:space="0" w:color="auto"/>
      </w:divBdr>
    </w:div>
    <w:div w:id="1230310031">
      <w:bodyDiv w:val="1"/>
      <w:marLeft w:val="0"/>
      <w:marRight w:val="0"/>
      <w:marTop w:val="0"/>
      <w:marBottom w:val="0"/>
      <w:divBdr>
        <w:top w:val="none" w:sz="0" w:space="0" w:color="auto"/>
        <w:left w:val="none" w:sz="0" w:space="0" w:color="auto"/>
        <w:bottom w:val="none" w:sz="0" w:space="0" w:color="auto"/>
        <w:right w:val="none" w:sz="0" w:space="0" w:color="auto"/>
      </w:divBdr>
    </w:div>
    <w:div w:id="1231961469">
      <w:bodyDiv w:val="1"/>
      <w:marLeft w:val="0"/>
      <w:marRight w:val="0"/>
      <w:marTop w:val="0"/>
      <w:marBottom w:val="0"/>
      <w:divBdr>
        <w:top w:val="none" w:sz="0" w:space="0" w:color="auto"/>
        <w:left w:val="none" w:sz="0" w:space="0" w:color="auto"/>
        <w:bottom w:val="none" w:sz="0" w:space="0" w:color="auto"/>
        <w:right w:val="none" w:sz="0" w:space="0" w:color="auto"/>
      </w:divBdr>
    </w:div>
    <w:div w:id="1242720730">
      <w:bodyDiv w:val="1"/>
      <w:marLeft w:val="0"/>
      <w:marRight w:val="0"/>
      <w:marTop w:val="0"/>
      <w:marBottom w:val="0"/>
      <w:divBdr>
        <w:top w:val="none" w:sz="0" w:space="0" w:color="auto"/>
        <w:left w:val="none" w:sz="0" w:space="0" w:color="auto"/>
        <w:bottom w:val="none" w:sz="0" w:space="0" w:color="auto"/>
        <w:right w:val="none" w:sz="0" w:space="0" w:color="auto"/>
      </w:divBdr>
    </w:div>
    <w:div w:id="1250428228">
      <w:bodyDiv w:val="1"/>
      <w:marLeft w:val="0"/>
      <w:marRight w:val="0"/>
      <w:marTop w:val="0"/>
      <w:marBottom w:val="0"/>
      <w:divBdr>
        <w:top w:val="none" w:sz="0" w:space="0" w:color="auto"/>
        <w:left w:val="none" w:sz="0" w:space="0" w:color="auto"/>
        <w:bottom w:val="none" w:sz="0" w:space="0" w:color="auto"/>
        <w:right w:val="none" w:sz="0" w:space="0" w:color="auto"/>
      </w:divBdr>
    </w:div>
    <w:div w:id="1254624901">
      <w:bodyDiv w:val="1"/>
      <w:marLeft w:val="0"/>
      <w:marRight w:val="0"/>
      <w:marTop w:val="0"/>
      <w:marBottom w:val="0"/>
      <w:divBdr>
        <w:top w:val="none" w:sz="0" w:space="0" w:color="auto"/>
        <w:left w:val="none" w:sz="0" w:space="0" w:color="auto"/>
        <w:bottom w:val="none" w:sz="0" w:space="0" w:color="auto"/>
        <w:right w:val="none" w:sz="0" w:space="0" w:color="auto"/>
      </w:divBdr>
    </w:div>
    <w:div w:id="1288780737">
      <w:bodyDiv w:val="1"/>
      <w:marLeft w:val="0"/>
      <w:marRight w:val="0"/>
      <w:marTop w:val="0"/>
      <w:marBottom w:val="0"/>
      <w:divBdr>
        <w:top w:val="none" w:sz="0" w:space="0" w:color="auto"/>
        <w:left w:val="none" w:sz="0" w:space="0" w:color="auto"/>
        <w:bottom w:val="none" w:sz="0" w:space="0" w:color="auto"/>
        <w:right w:val="none" w:sz="0" w:space="0" w:color="auto"/>
      </w:divBdr>
    </w:div>
    <w:div w:id="1293562432">
      <w:bodyDiv w:val="1"/>
      <w:marLeft w:val="0"/>
      <w:marRight w:val="0"/>
      <w:marTop w:val="0"/>
      <w:marBottom w:val="0"/>
      <w:divBdr>
        <w:top w:val="none" w:sz="0" w:space="0" w:color="auto"/>
        <w:left w:val="none" w:sz="0" w:space="0" w:color="auto"/>
        <w:bottom w:val="none" w:sz="0" w:space="0" w:color="auto"/>
        <w:right w:val="none" w:sz="0" w:space="0" w:color="auto"/>
      </w:divBdr>
    </w:div>
    <w:div w:id="1297759856">
      <w:bodyDiv w:val="1"/>
      <w:marLeft w:val="0"/>
      <w:marRight w:val="0"/>
      <w:marTop w:val="0"/>
      <w:marBottom w:val="0"/>
      <w:divBdr>
        <w:top w:val="none" w:sz="0" w:space="0" w:color="auto"/>
        <w:left w:val="none" w:sz="0" w:space="0" w:color="auto"/>
        <w:bottom w:val="none" w:sz="0" w:space="0" w:color="auto"/>
        <w:right w:val="none" w:sz="0" w:space="0" w:color="auto"/>
      </w:divBdr>
    </w:div>
    <w:div w:id="1328678225">
      <w:bodyDiv w:val="1"/>
      <w:marLeft w:val="0"/>
      <w:marRight w:val="0"/>
      <w:marTop w:val="0"/>
      <w:marBottom w:val="0"/>
      <w:divBdr>
        <w:top w:val="none" w:sz="0" w:space="0" w:color="auto"/>
        <w:left w:val="none" w:sz="0" w:space="0" w:color="auto"/>
        <w:bottom w:val="none" w:sz="0" w:space="0" w:color="auto"/>
        <w:right w:val="none" w:sz="0" w:space="0" w:color="auto"/>
      </w:divBdr>
    </w:div>
    <w:div w:id="1347487843">
      <w:bodyDiv w:val="1"/>
      <w:marLeft w:val="0"/>
      <w:marRight w:val="0"/>
      <w:marTop w:val="0"/>
      <w:marBottom w:val="0"/>
      <w:divBdr>
        <w:top w:val="none" w:sz="0" w:space="0" w:color="auto"/>
        <w:left w:val="none" w:sz="0" w:space="0" w:color="auto"/>
        <w:bottom w:val="none" w:sz="0" w:space="0" w:color="auto"/>
        <w:right w:val="none" w:sz="0" w:space="0" w:color="auto"/>
      </w:divBdr>
    </w:div>
    <w:div w:id="1393655444">
      <w:bodyDiv w:val="1"/>
      <w:marLeft w:val="0"/>
      <w:marRight w:val="0"/>
      <w:marTop w:val="0"/>
      <w:marBottom w:val="0"/>
      <w:divBdr>
        <w:top w:val="none" w:sz="0" w:space="0" w:color="auto"/>
        <w:left w:val="none" w:sz="0" w:space="0" w:color="auto"/>
        <w:bottom w:val="none" w:sz="0" w:space="0" w:color="auto"/>
        <w:right w:val="none" w:sz="0" w:space="0" w:color="auto"/>
      </w:divBdr>
    </w:div>
    <w:div w:id="1407418325">
      <w:bodyDiv w:val="1"/>
      <w:marLeft w:val="0"/>
      <w:marRight w:val="0"/>
      <w:marTop w:val="0"/>
      <w:marBottom w:val="0"/>
      <w:divBdr>
        <w:top w:val="none" w:sz="0" w:space="0" w:color="auto"/>
        <w:left w:val="none" w:sz="0" w:space="0" w:color="auto"/>
        <w:bottom w:val="none" w:sz="0" w:space="0" w:color="auto"/>
        <w:right w:val="none" w:sz="0" w:space="0" w:color="auto"/>
      </w:divBdr>
    </w:div>
    <w:div w:id="1416510323">
      <w:bodyDiv w:val="1"/>
      <w:marLeft w:val="0"/>
      <w:marRight w:val="0"/>
      <w:marTop w:val="0"/>
      <w:marBottom w:val="0"/>
      <w:divBdr>
        <w:top w:val="none" w:sz="0" w:space="0" w:color="auto"/>
        <w:left w:val="none" w:sz="0" w:space="0" w:color="auto"/>
        <w:bottom w:val="none" w:sz="0" w:space="0" w:color="auto"/>
        <w:right w:val="none" w:sz="0" w:space="0" w:color="auto"/>
      </w:divBdr>
    </w:div>
    <w:div w:id="1437747403">
      <w:bodyDiv w:val="1"/>
      <w:marLeft w:val="0"/>
      <w:marRight w:val="0"/>
      <w:marTop w:val="0"/>
      <w:marBottom w:val="0"/>
      <w:divBdr>
        <w:top w:val="none" w:sz="0" w:space="0" w:color="auto"/>
        <w:left w:val="none" w:sz="0" w:space="0" w:color="auto"/>
        <w:bottom w:val="none" w:sz="0" w:space="0" w:color="auto"/>
        <w:right w:val="none" w:sz="0" w:space="0" w:color="auto"/>
      </w:divBdr>
    </w:div>
    <w:div w:id="1481189643">
      <w:bodyDiv w:val="1"/>
      <w:marLeft w:val="0"/>
      <w:marRight w:val="0"/>
      <w:marTop w:val="0"/>
      <w:marBottom w:val="0"/>
      <w:divBdr>
        <w:top w:val="none" w:sz="0" w:space="0" w:color="auto"/>
        <w:left w:val="none" w:sz="0" w:space="0" w:color="auto"/>
        <w:bottom w:val="none" w:sz="0" w:space="0" w:color="auto"/>
        <w:right w:val="none" w:sz="0" w:space="0" w:color="auto"/>
      </w:divBdr>
    </w:div>
    <w:div w:id="1513837624">
      <w:bodyDiv w:val="1"/>
      <w:marLeft w:val="0"/>
      <w:marRight w:val="0"/>
      <w:marTop w:val="0"/>
      <w:marBottom w:val="0"/>
      <w:divBdr>
        <w:top w:val="none" w:sz="0" w:space="0" w:color="auto"/>
        <w:left w:val="none" w:sz="0" w:space="0" w:color="auto"/>
        <w:bottom w:val="none" w:sz="0" w:space="0" w:color="auto"/>
        <w:right w:val="none" w:sz="0" w:space="0" w:color="auto"/>
      </w:divBdr>
    </w:div>
    <w:div w:id="1524393045">
      <w:bodyDiv w:val="1"/>
      <w:marLeft w:val="0"/>
      <w:marRight w:val="0"/>
      <w:marTop w:val="0"/>
      <w:marBottom w:val="0"/>
      <w:divBdr>
        <w:top w:val="none" w:sz="0" w:space="0" w:color="auto"/>
        <w:left w:val="none" w:sz="0" w:space="0" w:color="auto"/>
        <w:bottom w:val="none" w:sz="0" w:space="0" w:color="auto"/>
        <w:right w:val="none" w:sz="0" w:space="0" w:color="auto"/>
      </w:divBdr>
    </w:div>
    <w:div w:id="1525941313">
      <w:bodyDiv w:val="1"/>
      <w:marLeft w:val="0"/>
      <w:marRight w:val="0"/>
      <w:marTop w:val="0"/>
      <w:marBottom w:val="0"/>
      <w:divBdr>
        <w:top w:val="none" w:sz="0" w:space="0" w:color="auto"/>
        <w:left w:val="none" w:sz="0" w:space="0" w:color="auto"/>
        <w:bottom w:val="none" w:sz="0" w:space="0" w:color="auto"/>
        <w:right w:val="none" w:sz="0" w:space="0" w:color="auto"/>
      </w:divBdr>
    </w:div>
    <w:div w:id="1530799371">
      <w:bodyDiv w:val="1"/>
      <w:marLeft w:val="0"/>
      <w:marRight w:val="0"/>
      <w:marTop w:val="0"/>
      <w:marBottom w:val="0"/>
      <w:divBdr>
        <w:top w:val="none" w:sz="0" w:space="0" w:color="auto"/>
        <w:left w:val="none" w:sz="0" w:space="0" w:color="auto"/>
        <w:bottom w:val="none" w:sz="0" w:space="0" w:color="auto"/>
        <w:right w:val="none" w:sz="0" w:space="0" w:color="auto"/>
      </w:divBdr>
    </w:div>
    <w:div w:id="1578321895">
      <w:bodyDiv w:val="1"/>
      <w:marLeft w:val="0"/>
      <w:marRight w:val="0"/>
      <w:marTop w:val="0"/>
      <w:marBottom w:val="0"/>
      <w:divBdr>
        <w:top w:val="none" w:sz="0" w:space="0" w:color="auto"/>
        <w:left w:val="none" w:sz="0" w:space="0" w:color="auto"/>
        <w:bottom w:val="none" w:sz="0" w:space="0" w:color="auto"/>
        <w:right w:val="none" w:sz="0" w:space="0" w:color="auto"/>
      </w:divBdr>
    </w:div>
    <w:div w:id="1582522028">
      <w:bodyDiv w:val="1"/>
      <w:marLeft w:val="0"/>
      <w:marRight w:val="0"/>
      <w:marTop w:val="0"/>
      <w:marBottom w:val="0"/>
      <w:divBdr>
        <w:top w:val="none" w:sz="0" w:space="0" w:color="auto"/>
        <w:left w:val="none" w:sz="0" w:space="0" w:color="auto"/>
        <w:bottom w:val="none" w:sz="0" w:space="0" w:color="auto"/>
        <w:right w:val="none" w:sz="0" w:space="0" w:color="auto"/>
      </w:divBdr>
    </w:div>
    <w:div w:id="1596589828">
      <w:bodyDiv w:val="1"/>
      <w:marLeft w:val="0"/>
      <w:marRight w:val="0"/>
      <w:marTop w:val="0"/>
      <w:marBottom w:val="0"/>
      <w:divBdr>
        <w:top w:val="none" w:sz="0" w:space="0" w:color="auto"/>
        <w:left w:val="none" w:sz="0" w:space="0" w:color="auto"/>
        <w:bottom w:val="none" w:sz="0" w:space="0" w:color="auto"/>
        <w:right w:val="none" w:sz="0" w:space="0" w:color="auto"/>
      </w:divBdr>
    </w:div>
    <w:div w:id="1602370068">
      <w:bodyDiv w:val="1"/>
      <w:marLeft w:val="0"/>
      <w:marRight w:val="0"/>
      <w:marTop w:val="0"/>
      <w:marBottom w:val="0"/>
      <w:divBdr>
        <w:top w:val="none" w:sz="0" w:space="0" w:color="auto"/>
        <w:left w:val="none" w:sz="0" w:space="0" w:color="auto"/>
        <w:bottom w:val="none" w:sz="0" w:space="0" w:color="auto"/>
        <w:right w:val="none" w:sz="0" w:space="0" w:color="auto"/>
      </w:divBdr>
    </w:div>
    <w:div w:id="1605073279">
      <w:bodyDiv w:val="1"/>
      <w:marLeft w:val="0"/>
      <w:marRight w:val="0"/>
      <w:marTop w:val="0"/>
      <w:marBottom w:val="0"/>
      <w:divBdr>
        <w:top w:val="none" w:sz="0" w:space="0" w:color="auto"/>
        <w:left w:val="none" w:sz="0" w:space="0" w:color="auto"/>
        <w:bottom w:val="none" w:sz="0" w:space="0" w:color="auto"/>
        <w:right w:val="none" w:sz="0" w:space="0" w:color="auto"/>
      </w:divBdr>
    </w:div>
    <w:div w:id="1628198417">
      <w:bodyDiv w:val="1"/>
      <w:marLeft w:val="0"/>
      <w:marRight w:val="0"/>
      <w:marTop w:val="0"/>
      <w:marBottom w:val="0"/>
      <w:divBdr>
        <w:top w:val="none" w:sz="0" w:space="0" w:color="auto"/>
        <w:left w:val="none" w:sz="0" w:space="0" w:color="auto"/>
        <w:bottom w:val="none" w:sz="0" w:space="0" w:color="auto"/>
        <w:right w:val="none" w:sz="0" w:space="0" w:color="auto"/>
      </w:divBdr>
    </w:div>
    <w:div w:id="1653826102">
      <w:bodyDiv w:val="1"/>
      <w:marLeft w:val="0"/>
      <w:marRight w:val="0"/>
      <w:marTop w:val="0"/>
      <w:marBottom w:val="0"/>
      <w:divBdr>
        <w:top w:val="none" w:sz="0" w:space="0" w:color="auto"/>
        <w:left w:val="none" w:sz="0" w:space="0" w:color="auto"/>
        <w:bottom w:val="none" w:sz="0" w:space="0" w:color="auto"/>
        <w:right w:val="none" w:sz="0" w:space="0" w:color="auto"/>
      </w:divBdr>
    </w:div>
    <w:div w:id="1677460773">
      <w:bodyDiv w:val="1"/>
      <w:marLeft w:val="0"/>
      <w:marRight w:val="0"/>
      <w:marTop w:val="0"/>
      <w:marBottom w:val="0"/>
      <w:divBdr>
        <w:top w:val="none" w:sz="0" w:space="0" w:color="auto"/>
        <w:left w:val="none" w:sz="0" w:space="0" w:color="auto"/>
        <w:bottom w:val="none" w:sz="0" w:space="0" w:color="auto"/>
        <w:right w:val="none" w:sz="0" w:space="0" w:color="auto"/>
      </w:divBdr>
    </w:div>
    <w:div w:id="1679428658">
      <w:bodyDiv w:val="1"/>
      <w:marLeft w:val="0"/>
      <w:marRight w:val="0"/>
      <w:marTop w:val="0"/>
      <w:marBottom w:val="0"/>
      <w:divBdr>
        <w:top w:val="none" w:sz="0" w:space="0" w:color="auto"/>
        <w:left w:val="none" w:sz="0" w:space="0" w:color="auto"/>
        <w:bottom w:val="none" w:sz="0" w:space="0" w:color="auto"/>
        <w:right w:val="none" w:sz="0" w:space="0" w:color="auto"/>
      </w:divBdr>
    </w:div>
    <w:div w:id="1689942613">
      <w:bodyDiv w:val="1"/>
      <w:marLeft w:val="0"/>
      <w:marRight w:val="0"/>
      <w:marTop w:val="0"/>
      <w:marBottom w:val="0"/>
      <w:divBdr>
        <w:top w:val="none" w:sz="0" w:space="0" w:color="auto"/>
        <w:left w:val="none" w:sz="0" w:space="0" w:color="auto"/>
        <w:bottom w:val="none" w:sz="0" w:space="0" w:color="auto"/>
        <w:right w:val="none" w:sz="0" w:space="0" w:color="auto"/>
      </w:divBdr>
    </w:div>
    <w:div w:id="1692146800">
      <w:bodyDiv w:val="1"/>
      <w:marLeft w:val="0"/>
      <w:marRight w:val="0"/>
      <w:marTop w:val="0"/>
      <w:marBottom w:val="0"/>
      <w:divBdr>
        <w:top w:val="none" w:sz="0" w:space="0" w:color="auto"/>
        <w:left w:val="none" w:sz="0" w:space="0" w:color="auto"/>
        <w:bottom w:val="none" w:sz="0" w:space="0" w:color="auto"/>
        <w:right w:val="none" w:sz="0" w:space="0" w:color="auto"/>
      </w:divBdr>
    </w:div>
    <w:div w:id="1693610919">
      <w:bodyDiv w:val="1"/>
      <w:marLeft w:val="0"/>
      <w:marRight w:val="0"/>
      <w:marTop w:val="0"/>
      <w:marBottom w:val="0"/>
      <w:divBdr>
        <w:top w:val="none" w:sz="0" w:space="0" w:color="auto"/>
        <w:left w:val="none" w:sz="0" w:space="0" w:color="auto"/>
        <w:bottom w:val="none" w:sz="0" w:space="0" w:color="auto"/>
        <w:right w:val="none" w:sz="0" w:space="0" w:color="auto"/>
      </w:divBdr>
    </w:div>
    <w:div w:id="1721858710">
      <w:bodyDiv w:val="1"/>
      <w:marLeft w:val="0"/>
      <w:marRight w:val="0"/>
      <w:marTop w:val="0"/>
      <w:marBottom w:val="0"/>
      <w:divBdr>
        <w:top w:val="none" w:sz="0" w:space="0" w:color="auto"/>
        <w:left w:val="none" w:sz="0" w:space="0" w:color="auto"/>
        <w:bottom w:val="none" w:sz="0" w:space="0" w:color="auto"/>
        <w:right w:val="none" w:sz="0" w:space="0" w:color="auto"/>
      </w:divBdr>
    </w:div>
    <w:div w:id="1745757825">
      <w:bodyDiv w:val="1"/>
      <w:marLeft w:val="0"/>
      <w:marRight w:val="0"/>
      <w:marTop w:val="0"/>
      <w:marBottom w:val="0"/>
      <w:divBdr>
        <w:top w:val="none" w:sz="0" w:space="0" w:color="auto"/>
        <w:left w:val="none" w:sz="0" w:space="0" w:color="auto"/>
        <w:bottom w:val="none" w:sz="0" w:space="0" w:color="auto"/>
        <w:right w:val="none" w:sz="0" w:space="0" w:color="auto"/>
      </w:divBdr>
    </w:div>
    <w:div w:id="1748259334">
      <w:bodyDiv w:val="1"/>
      <w:marLeft w:val="0"/>
      <w:marRight w:val="0"/>
      <w:marTop w:val="0"/>
      <w:marBottom w:val="0"/>
      <w:divBdr>
        <w:top w:val="none" w:sz="0" w:space="0" w:color="auto"/>
        <w:left w:val="none" w:sz="0" w:space="0" w:color="auto"/>
        <w:bottom w:val="none" w:sz="0" w:space="0" w:color="auto"/>
        <w:right w:val="none" w:sz="0" w:space="0" w:color="auto"/>
      </w:divBdr>
    </w:div>
    <w:div w:id="1759280776">
      <w:bodyDiv w:val="1"/>
      <w:marLeft w:val="0"/>
      <w:marRight w:val="0"/>
      <w:marTop w:val="0"/>
      <w:marBottom w:val="0"/>
      <w:divBdr>
        <w:top w:val="none" w:sz="0" w:space="0" w:color="auto"/>
        <w:left w:val="none" w:sz="0" w:space="0" w:color="auto"/>
        <w:bottom w:val="none" w:sz="0" w:space="0" w:color="auto"/>
        <w:right w:val="none" w:sz="0" w:space="0" w:color="auto"/>
      </w:divBdr>
    </w:div>
    <w:div w:id="1767580931">
      <w:bodyDiv w:val="1"/>
      <w:marLeft w:val="0"/>
      <w:marRight w:val="0"/>
      <w:marTop w:val="0"/>
      <w:marBottom w:val="0"/>
      <w:divBdr>
        <w:top w:val="none" w:sz="0" w:space="0" w:color="auto"/>
        <w:left w:val="none" w:sz="0" w:space="0" w:color="auto"/>
        <w:bottom w:val="none" w:sz="0" w:space="0" w:color="auto"/>
        <w:right w:val="none" w:sz="0" w:space="0" w:color="auto"/>
      </w:divBdr>
    </w:div>
    <w:div w:id="1847161424">
      <w:bodyDiv w:val="1"/>
      <w:marLeft w:val="0"/>
      <w:marRight w:val="0"/>
      <w:marTop w:val="0"/>
      <w:marBottom w:val="0"/>
      <w:divBdr>
        <w:top w:val="none" w:sz="0" w:space="0" w:color="auto"/>
        <w:left w:val="none" w:sz="0" w:space="0" w:color="auto"/>
        <w:bottom w:val="none" w:sz="0" w:space="0" w:color="auto"/>
        <w:right w:val="none" w:sz="0" w:space="0" w:color="auto"/>
      </w:divBdr>
    </w:div>
    <w:div w:id="1847360385">
      <w:bodyDiv w:val="1"/>
      <w:marLeft w:val="0"/>
      <w:marRight w:val="0"/>
      <w:marTop w:val="0"/>
      <w:marBottom w:val="0"/>
      <w:divBdr>
        <w:top w:val="none" w:sz="0" w:space="0" w:color="auto"/>
        <w:left w:val="none" w:sz="0" w:space="0" w:color="auto"/>
        <w:bottom w:val="none" w:sz="0" w:space="0" w:color="auto"/>
        <w:right w:val="none" w:sz="0" w:space="0" w:color="auto"/>
      </w:divBdr>
    </w:div>
    <w:div w:id="1867062766">
      <w:bodyDiv w:val="1"/>
      <w:marLeft w:val="0"/>
      <w:marRight w:val="0"/>
      <w:marTop w:val="0"/>
      <w:marBottom w:val="0"/>
      <w:divBdr>
        <w:top w:val="none" w:sz="0" w:space="0" w:color="auto"/>
        <w:left w:val="none" w:sz="0" w:space="0" w:color="auto"/>
        <w:bottom w:val="none" w:sz="0" w:space="0" w:color="auto"/>
        <w:right w:val="none" w:sz="0" w:space="0" w:color="auto"/>
      </w:divBdr>
    </w:div>
    <w:div w:id="1896575027">
      <w:bodyDiv w:val="1"/>
      <w:marLeft w:val="0"/>
      <w:marRight w:val="0"/>
      <w:marTop w:val="0"/>
      <w:marBottom w:val="0"/>
      <w:divBdr>
        <w:top w:val="none" w:sz="0" w:space="0" w:color="auto"/>
        <w:left w:val="none" w:sz="0" w:space="0" w:color="auto"/>
        <w:bottom w:val="none" w:sz="0" w:space="0" w:color="auto"/>
        <w:right w:val="none" w:sz="0" w:space="0" w:color="auto"/>
      </w:divBdr>
    </w:div>
    <w:div w:id="1914199839">
      <w:bodyDiv w:val="1"/>
      <w:marLeft w:val="0"/>
      <w:marRight w:val="0"/>
      <w:marTop w:val="0"/>
      <w:marBottom w:val="0"/>
      <w:divBdr>
        <w:top w:val="none" w:sz="0" w:space="0" w:color="auto"/>
        <w:left w:val="none" w:sz="0" w:space="0" w:color="auto"/>
        <w:bottom w:val="none" w:sz="0" w:space="0" w:color="auto"/>
        <w:right w:val="none" w:sz="0" w:space="0" w:color="auto"/>
      </w:divBdr>
    </w:div>
    <w:div w:id="1922637965">
      <w:bodyDiv w:val="1"/>
      <w:marLeft w:val="0"/>
      <w:marRight w:val="0"/>
      <w:marTop w:val="0"/>
      <w:marBottom w:val="0"/>
      <w:divBdr>
        <w:top w:val="none" w:sz="0" w:space="0" w:color="auto"/>
        <w:left w:val="none" w:sz="0" w:space="0" w:color="auto"/>
        <w:bottom w:val="none" w:sz="0" w:space="0" w:color="auto"/>
        <w:right w:val="none" w:sz="0" w:space="0" w:color="auto"/>
      </w:divBdr>
    </w:div>
    <w:div w:id="1922834197">
      <w:bodyDiv w:val="1"/>
      <w:marLeft w:val="0"/>
      <w:marRight w:val="0"/>
      <w:marTop w:val="0"/>
      <w:marBottom w:val="0"/>
      <w:divBdr>
        <w:top w:val="none" w:sz="0" w:space="0" w:color="auto"/>
        <w:left w:val="none" w:sz="0" w:space="0" w:color="auto"/>
        <w:bottom w:val="none" w:sz="0" w:space="0" w:color="auto"/>
        <w:right w:val="none" w:sz="0" w:space="0" w:color="auto"/>
      </w:divBdr>
    </w:div>
    <w:div w:id="1944994737">
      <w:bodyDiv w:val="1"/>
      <w:marLeft w:val="0"/>
      <w:marRight w:val="0"/>
      <w:marTop w:val="0"/>
      <w:marBottom w:val="0"/>
      <w:divBdr>
        <w:top w:val="none" w:sz="0" w:space="0" w:color="auto"/>
        <w:left w:val="none" w:sz="0" w:space="0" w:color="auto"/>
        <w:bottom w:val="none" w:sz="0" w:space="0" w:color="auto"/>
        <w:right w:val="none" w:sz="0" w:space="0" w:color="auto"/>
      </w:divBdr>
    </w:div>
    <w:div w:id="1964459280">
      <w:bodyDiv w:val="1"/>
      <w:marLeft w:val="0"/>
      <w:marRight w:val="0"/>
      <w:marTop w:val="0"/>
      <w:marBottom w:val="0"/>
      <w:divBdr>
        <w:top w:val="none" w:sz="0" w:space="0" w:color="auto"/>
        <w:left w:val="none" w:sz="0" w:space="0" w:color="auto"/>
        <w:bottom w:val="none" w:sz="0" w:space="0" w:color="auto"/>
        <w:right w:val="none" w:sz="0" w:space="0" w:color="auto"/>
      </w:divBdr>
    </w:div>
    <w:div w:id="2015570578">
      <w:bodyDiv w:val="1"/>
      <w:marLeft w:val="0"/>
      <w:marRight w:val="0"/>
      <w:marTop w:val="0"/>
      <w:marBottom w:val="0"/>
      <w:divBdr>
        <w:top w:val="none" w:sz="0" w:space="0" w:color="auto"/>
        <w:left w:val="none" w:sz="0" w:space="0" w:color="auto"/>
        <w:bottom w:val="none" w:sz="0" w:space="0" w:color="auto"/>
        <w:right w:val="none" w:sz="0" w:space="0" w:color="auto"/>
      </w:divBdr>
    </w:div>
    <w:div w:id="2020497822">
      <w:bodyDiv w:val="1"/>
      <w:marLeft w:val="0"/>
      <w:marRight w:val="0"/>
      <w:marTop w:val="0"/>
      <w:marBottom w:val="0"/>
      <w:divBdr>
        <w:top w:val="none" w:sz="0" w:space="0" w:color="auto"/>
        <w:left w:val="none" w:sz="0" w:space="0" w:color="auto"/>
        <w:bottom w:val="none" w:sz="0" w:space="0" w:color="auto"/>
        <w:right w:val="none" w:sz="0" w:space="0" w:color="auto"/>
      </w:divBdr>
    </w:div>
    <w:div w:id="2027977680">
      <w:bodyDiv w:val="1"/>
      <w:marLeft w:val="0"/>
      <w:marRight w:val="0"/>
      <w:marTop w:val="0"/>
      <w:marBottom w:val="0"/>
      <w:divBdr>
        <w:top w:val="none" w:sz="0" w:space="0" w:color="auto"/>
        <w:left w:val="none" w:sz="0" w:space="0" w:color="auto"/>
        <w:bottom w:val="none" w:sz="0" w:space="0" w:color="auto"/>
        <w:right w:val="none" w:sz="0" w:space="0" w:color="auto"/>
      </w:divBdr>
    </w:div>
    <w:div w:id="2043091395">
      <w:bodyDiv w:val="1"/>
      <w:marLeft w:val="0"/>
      <w:marRight w:val="0"/>
      <w:marTop w:val="0"/>
      <w:marBottom w:val="0"/>
      <w:divBdr>
        <w:top w:val="none" w:sz="0" w:space="0" w:color="auto"/>
        <w:left w:val="none" w:sz="0" w:space="0" w:color="auto"/>
        <w:bottom w:val="none" w:sz="0" w:space="0" w:color="auto"/>
        <w:right w:val="none" w:sz="0" w:space="0" w:color="auto"/>
      </w:divBdr>
    </w:div>
    <w:div w:id="2048263007">
      <w:bodyDiv w:val="1"/>
      <w:marLeft w:val="0"/>
      <w:marRight w:val="0"/>
      <w:marTop w:val="0"/>
      <w:marBottom w:val="0"/>
      <w:divBdr>
        <w:top w:val="none" w:sz="0" w:space="0" w:color="auto"/>
        <w:left w:val="none" w:sz="0" w:space="0" w:color="auto"/>
        <w:bottom w:val="none" w:sz="0" w:space="0" w:color="auto"/>
        <w:right w:val="none" w:sz="0" w:space="0" w:color="auto"/>
      </w:divBdr>
    </w:div>
    <w:div w:id="2059819104">
      <w:bodyDiv w:val="1"/>
      <w:marLeft w:val="0"/>
      <w:marRight w:val="0"/>
      <w:marTop w:val="0"/>
      <w:marBottom w:val="0"/>
      <w:divBdr>
        <w:top w:val="none" w:sz="0" w:space="0" w:color="auto"/>
        <w:left w:val="none" w:sz="0" w:space="0" w:color="auto"/>
        <w:bottom w:val="none" w:sz="0" w:space="0" w:color="auto"/>
        <w:right w:val="none" w:sz="0" w:space="0" w:color="auto"/>
      </w:divBdr>
    </w:div>
    <w:div w:id="2082289185">
      <w:bodyDiv w:val="1"/>
      <w:marLeft w:val="0"/>
      <w:marRight w:val="0"/>
      <w:marTop w:val="0"/>
      <w:marBottom w:val="0"/>
      <w:divBdr>
        <w:top w:val="none" w:sz="0" w:space="0" w:color="auto"/>
        <w:left w:val="none" w:sz="0" w:space="0" w:color="auto"/>
        <w:bottom w:val="none" w:sz="0" w:space="0" w:color="auto"/>
        <w:right w:val="none" w:sz="0" w:space="0" w:color="auto"/>
      </w:divBdr>
    </w:div>
    <w:div w:id="2121870382">
      <w:bodyDiv w:val="1"/>
      <w:marLeft w:val="0"/>
      <w:marRight w:val="0"/>
      <w:marTop w:val="0"/>
      <w:marBottom w:val="0"/>
      <w:divBdr>
        <w:top w:val="none" w:sz="0" w:space="0" w:color="auto"/>
        <w:left w:val="none" w:sz="0" w:space="0" w:color="auto"/>
        <w:bottom w:val="none" w:sz="0" w:space="0" w:color="auto"/>
        <w:right w:val="none" w:sz="0" w:space="0" w:color="auto"/>
      </w:divBdr>
    </w:div>
    <w:div w:id="21344003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5.xml"/><Relationship Id="rId26" Type="http://schemas.openxmlformats.org/officeDocument/2006/relationships/header" Target="header9.xml"/><Relationship Id="rId39" Type="http://schemas.openxmlformats.org/officeDocument/2006/relationships/theme" Target="theme/theme1.xml"/><Relationship Id="rId21" Type="http://schemas.openxmlformats.org/officeDocument/2006/relationships/header" Target="header5.xml"/><Relationship Id="rId34" Type="http://schemas.openxmlformats.org/officeDocument/2006/relationships/header" Target="header17.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2.xml"/><Relationship Id="rId25" Type="http://schemas.openxmlformats.org/officeDocument/2006/relationships/header" Target="header8.xml"/><Relationship Id="rId33" Type="http://schemas.openxmlformats.org/officeDocument/2006/relationships/header" Target="header16.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4.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header" Target="header15.xml"/><Relationship Id="rId37" Type="http://schemas.openxmlformats.org/officeDocument/2006/relationships/header" Target="header20.xml"/><Relationship Id="rId5" Type="http://schemas.openxmlformats.org/officeDocument/2006/relationships/numbering" Target="numbering.xml"/><Relationship Id="rId15" Type="http://schemas.openxmlformats.org/officeDocument/2006/relationships/image" Target="media/image1.wmf"/><Relationship Id="rId23" Type="http://schemas.openxmlformats.org/officeDocument/2006/relationships/header" Target="header7.xml"/><Relationship Id="rId28" Type="http://schemas.openxmlformats.org/officeDocument/2006/relationships/header" Target="header11.xml"/><Relationship Id="rId36" Type="http://schemas.openxmlformats.org/officeDocument/2006/relationships/header" Target="header19.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eader" Target="header1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c9c46bb-2eba-4110-8d64-00106886c3a4">
      <Terms xmlns="http://schemas.microsoft.com/office/infopath/2007/PartnerControls"/>
    </lcf76f155ced4ddcb4097134ff3c332f>
    <TaxCatchAll xmlns="fbd419f6-9b38-4814-bcd4-094fd5df534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A95F046E720043B3F87C9930BAB631" ma:contentTypeVersion="15" ma:contentTypeDescription="Create a new document." ma:contentTypeScope="" ma:versionID="0483ffd95c5cecdd93393ab2ea057784">
  <xsd:schema xmlns:xsd="http://www.w3.org/2001/XMLSchema" xmlns:xs="http://www.w3.org/2001/XMLSchema" xmlns:p="http://schemas.microsoft.com/office/2006/metadata/properties" xmlns:ns2="fbd419f6-9b38-4814-bcd4-094fd5df534b" xmlns:ns3="fc9c46bb-2eba-4110-8d64-00106886c3a4" targetNamespace="http://schemas.microsoft.com/office/2006/metadata/properties" ma:root="true" ma:fieldsID="09079fb9ae2069f712836b70061f5129" ns2:_="" ns3:_="">
    <xsd:import namespace="fbd419f6-9b38-4814-bcd4-094fd5df534b"/>
    <xsd:import namespace="fc9c46bb-2eba-4110-8d64-00106886c3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d419f6-9b38-4814-bcd4-094fd5df534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e6bad39-f326-4d7f-a8bf-b1b34b696c86}" ma:internalName="TaxCatchAll" ma:showField="CatchAllData" ma:web="fbd419f6-9b38-4814-bcd4-094fd5df53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9c46bb-2eba-4110-8d64-00106886c3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89DA45-E515-41C6-B843-FD40A85400E1}">
  <ds:schemaRefs>
    <ds:schemaRef ds:uri="http://schemas.openxmlformats.org/officeDocument/2006/bibliography"/>
  </ds:schemaRefs>
</ds:datastoreItem>
</file>

<file path=customXml/itemProps2.xml><?xml version="1.0" encoding="utf-8"?>
<ds:datastoreItem xmlns:ds="http://schemas.openxmlformats.org/officeDocument/2006/customXml" ds:itemID="{664EC0D1-B010-4317-9DD8-43E7C1C329F7}">
  <ds:schemaRefs>
    <ds:schemaRef ds:uri="http://schemas.microsoft.com/office/2006/metadata/properties"/>
    <ds:schemaRef ds:uri="http://schemas.microsoft.com/office/infopath/2007/PartnerControls"/>
    <ds:schemaRef ds:uri="fc9c46bb-2eba-4110-8d64-00106886c3a4"/>
    <ds:schemaRef ds:uri="fbd419f6-9b38-4814-bcd4-094fd5df534b"/>
  </ds:schemaRefs>
</ds:datastoreItem>
</file>

<file path=customXml/itemProps3.xml><?xml version="1.0" encoding="utf-8"?>
<ds:datastoreItem xmlns:ds="http://schemas.openxmlformats.org/officeDocument/2006/customXml" ds:itemID="{8D2B698B-152F-4B12-97F6-B535785FD4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d419f6-9b38-4814-bcd4-094fd5df534b"/>
    <ds:schemaRef ds:uri="fc9c46bb-2eba-4110-8d64-00106886c3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ADF903-5296-4EBF-9D78-228E37F4FA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72</Pages>
  <Words>26616</Words>
  <Characters>133082</Characters>
  <Application>Microsoft Office Word</Application>
  <DocSecurity>0</DocSecurity>
  <Lines>1109</Lines>
  <Paragraphs>318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Consolidated Financial Statements</vt:lpstr>
      <vt:lpstr>Consolidated Financial Statements</vt:lpstr>
    </vt:vector>
  </TitlesOfParts>
  <Company>KPMG</Company>
  <LinksUpToDate>false</LinksUpToDate>
  <CharactersWithSpaces>159380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Consolidated Financial Statements</dc:title>
  <dc:subject/>
  <dc:creator>DBERNSTEIN</dc:creator>
  <cp:keywords>Produced By WeCo Office Accessibilty</cp:keywords>
  <dc:description>שלב 4 - טיפול בתמונות וקישורים</dc:description>
  <cp:lastModifiedBy>ravit yochay</cp:lastModifiedBy>
  <cp:revision>2</cp:revision>
  <cp:lastPrinted>2023-03-07T08:31:00Z</cp:lastPrinted>
  <dcterms:created xsi:type="dcterms:W3CDTF">2025-03-10T14:44:00Z</dcterms:created>
  <dcterms:modified xsi:type="dcterms:W3CDTF">2025-03-10T14:44:00Z</dcterms:modified>
  <cp:category>Clean Validation report was produced on: 18/01/2023 20:48:24</cp:category>
  <dc:language>עברית</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1246468</vt:i4>
  </property>
  <property fmtid="{D5CDD505-2E9C-101B-9397-08002B2CF9AE}" pid="3" name="ContentTypeId">
    <vt:lpwstr>0x010100F9A95F046E720043B3F87C9930BAB631</vt:lpwstr>
  </property>
  <property fmtid="{D5CDD505-2E9C-101B-9397-08002B2CF9AE}" pid="4" name="GrammarlyDocumentId">
    <vt:lpwstr>50364eb71e3ec0ef2a849d37cf616bfd0509eb3d3ea3c5e77c5efcef3996f393</vt:lpwstr>
  </property>
  <property fmtid="{D5CDD505-2E9C-101B-9397-08002B2CF9AE}" pid="5" name="MediaServiceImageTags">
    <vt:lpwstr/>
  </property>
</Properties>
</file>